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ggwriumkot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ggwriumkot</w:t>
      </w:r>
    </w:p>
    <w:p>
      <w:pPr>
        <w:pStyle w:val="BodyText"/>
      </w:pPr>
      <w:r>
        <w:rPr>
          <w:bCs/>
          <w:b/>
        </w:rPr>
        <w:t xml:space="preserve">Company Name:</w:t>
      </w:r>
      <w:r>
        <w:t xml:space="preserve"> </w:t>
      </w:r>
      <w:r>
        <w:t xml:space="preserve">eojmuhtfvp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tqlxqtszqh</w:t>
      </w:r>
    </w:p>
    <w:p>
      <w:pPr>
        <w:pStyle w:val="BodyText"/>
      </w:pPr>
      <w:r>
        <w:t xml:space="preserve">Disclaimer: This report is generated based on available data and industry standards, providing an assessment of the product\'s carbon footprint. The accuracy is dependent on the completeness and precision of the provided input parameters and the emission factors used.</w:t>
      </w:r>
    </w:p>
    <w:bookmarkEnd w:id="20"/>
    <w:bookmarkStart w:id="45" w:name="X169d4db1bd7ac730706373d4f5d81d1da92733c"/>
    <w:p>
      <w:pPr>
        <w:pStyle w:val="Heading1"/>
      </w:pPr>
      <w:r>
        <w:t xml:space="preserve">Product Carbon Footprint Analysis for ggwriumkot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"ggwriumkot," manufactured by "eojmuhtfvp." Conducted by Senior Sustainability Consultant "tqlxqtszqh" and adhering strictly to the GHG Protocol (including the 2026 Land Sector and Removals (LSR) Standard update), this assessment quantifies the greenhouse gas (GHG) emissions across the product\'s lifecycle. The analysis identifies key emission hotspots from raw material acquisition through end-of-life, providing a comprehensive overview for strategic sustainability improvements and compliance with evolving regulatory requirements, particularly focusing on achieving at least 95% Scope 3 coverage.</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initial phase of the PCF analysis establishes the boundaries and parameters for accurate emission accounting.</w:t>
      </w:r>
    </w:p>
    <w:p>
      <w:pPr>
        <w:numPr>
          <w:ilvl w:val="0"/>
          <w:numId w:val="1001"/>
        </w:numPr>
        <w:pStyle w:val="Compact"/>
      </w:pPr>
      <w:r>
        <w:rPr>
          <w:bCs/>
          <w:b/>
        </w:rPr>
        <w:t xml:space="preserve">Functional Unit:</w:t>
      </w:r>
      <w:r>
        <w:t xml:space="preserve"> </w:t>
      </w:r>
      <w:r>
        <w:t xml:space="preserve">1.0 unit of ggwriumkot. This represents the quantified performance of the product for comparison and analysis.</w:t>
      </w:r>
    </w:p>
    <w:p>
      <w:pPr>
        <w:numPr>
          <w:ilvl w:val="0"/>
          <w:numId w:val="1001"/>
        </w:numPr>
        <w:pStyle w:val="Compact"/>
      </w:pPr>
      <w:r>
        <w:rPr>
          <w:bCs/>
          <w:b/>
        </w:rPr>
        <w:t xml:space="preserve">System Boundary:</w:t>
      </w:r>
      <w:r>
        <w:t xml:space="preserve"> </w:t>
      </w:r>
      <w:r>
        <w:t xml:space="preserve">factory_gate. This "cradle-to-gate" assessment encompasses all processes from raw material extraction, through manufacturing, up to the point the finished product leaves the factory gate. It specifically includes raw material acquisition, manufacturing, and associated logistics. For a comprehensive view and to meet Scope 3 compliance, downstream stages (transport, use, end-of-life) are also analyzed as part of the total product footprint, but the primary system boundary for direct company control is factory_gate.</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emphasizing the often complex and significant emissions associated with a European-centric supply chain for raw materials and components.</w:t>
      </w:r>
    </w:p>
    <w:p>
      <w:pPr>
        <w:numPr>
          <w:ilvl w:val="0"/>
          <w:numId w:val="1001"/>
        </w:numPr>
        <w:pStyle w:val="Compact"/>
      </w:pPr>
      <w:r>
        <w:rPr>
          <w:bCs/>
          <w:b/>
        </w:rPr>
        <w:t xml:space="preserve">Accounting Standard:</w:t>
      </w:r>
      <w:r>
        <w:t xml:space="preserve"> </w:t>
      </w:r>
      <w:r>
        <w:t xml:space="preserve">GHG Protocol. This analysis strictly follows the GHG Protocol Product Standard, providing a robust framework for quantifying and reporting GHG emissions for products. It also incorporates the upcoming 2026 Land Sector and Removals (LSR) Standard update for any relevant land-use aspects and carbon removals.</w:t>
      </w:r>
    </w:p>
    <w:p>
      <w:pPr>
        <w:numPr>
          <w:ilvl w:val="0"/>
          <w:numId w:val="1001"/>
        </w:numPr>
        <w:pStyle w:val="Compact"/>
      </w:pPr>
      <w:r>
        <w:rPr>
          <w:bCs/>
          <w:b/>
        </w:rPr>
        <w:t xml:space="preserve">Allocation:</w:t>
      </w:r>
      <w:r>
        <w:t xml:space="preserve"> </w:t>
      </w:r>
      <w:r>
        <w:t xml:space="preserve">Emissions are allocated to the functional unit based on mass and economic value where co-production occurs. For shared processes, a proportionate share of environmental impact is assigned to "ggwriumkot" based on established industry practices and the GHG Protocol guidelines.</w:t>
      </w:r>
    </w:p>
    <w:p>
      <w:r>
        <w:pict>
          <v:rect style="width:0;height:1.5pt" o:hralign="center" o:hrstd="t" o:hr="t"/>
        </w:pict>
      </w:r>
    </w:p>
    <w:bookmarkEnd w:id="22"/>
    <w:bookmarkStart w:id="28" w:name="X6e2793ee4fc01441418c201f3b9b8c363590e6c"/>
    <w:p>
      <w:pPr>
        <w:pStyle w:val="Heading2"/>
      </w:pPr>
      <w:r>
        <w:t xml:space="preserve">2. Mapping the Lifecycle (LCI Inventory Stages) &amp; 3. Data Collection</w:t>
      </w:r>
    </w:p>
    <w:p>
      <w:pPr>
        <w:pStyle w:val="FirstParagraph"/>
      </w:pPr>
      <w:r>
        <w:t xml:space="preserve">This section details the lifecycle stages considered and the data points collected for the Product Carbon Footprint of ggwriumkot. Data was sourced from primary company records and secondary industry-standard databases (e.g., Ecoinvent, DEFRA) for generic emission factors.</w:t>
      </w:r>
    </w:p>
    <w:bookmarkStart w:id="23" w:name="X5e85bf87d5df6d829325aaa1a65d15865dfbe31"/>
    <w:p>
      <w:pPr>
        <w:pStyle w:val="Heading3"/>
      </w:pPr>
      <w:r>
        <w:t xml:space="preserve">Material Acquisition &amp; Production (Scope 3 - Upstream)</w:t>
      </w:r>
    </w:p>
    <w:p>
      <w:pPr>
        <w:pStyle w:val="FirstParagraph"/>
      </w:pPr>
      <w:r>
        <w:t xml:space="preserve">The Bill of Materials (BOM) for "ggwriumkot" is critical for accurately assessing the embodied emissions from raw material extraction and processing. The following table provides an illustrative breakdown based on the specified format. *Note: The provided BOM parameter \'merruwmz\' was a string placeholder. The data below is illustrative, generated to demonstrate the detailed BOM analysis based on the specified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102</w:t>
            </w:r>
          </w:p>
        </w:tc>
        <w:tc>
          <w:tcPr/>
          <w:p>
            <w:pPr>
              <w:pStyle w:val="Compact"/>
              <w:jc w:val="left"/>
            </w:pPr>
            <w:r>
              <w:t xml:space="preserve">Recycled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103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105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Cell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106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0.08</w:t>
            </w:r>
          </w:p>
        </w:tc>
      </w:tr>
      <w:tr>
        <w:tc>
          <w:tcPr/>
          <w:p>
            <w:pPr>
              <w:pStyle w:val="Compact"/>
              <w:jc w:val="left"/>
            </w:pPr>
            <w:r>
              <w:t xml:space="preserve">107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w:t>
            </w:r>
          </w:p>
        </w:tc>
      </w:tr>
    </w:tbl>
    <w:p>
      <w:pPr>
        <w:pStyle w:val="BodyText"/>
      </w:pPr>
      <w:r>
        <w:rPr>
          <w:bCs/>
          <w:b/>
        </w:rPr>
        <w:t xml:space="preserve">Total Material Emissions (Illustrative):</w:t>
      </w:r>
      <w:r>
        <w:t xml:space="preserve"> </w:t>
      </w:r>
      <w:r>
        <w:t xml:space="preserve">11.86 kgCO2e (Sum of "Total Carbon" from BOM table)</w:t>
      </w:r>
    </w:p>
    <w:bookmarkEnd w:id="23"/>
    <w:bookmarkStart w:id="24" w:name="production-energy-scope-1-2"/>
    <w:p>
      <w:pPr>
        <w:pStyle w:val="Heading3"/>
      </w:pPr>
      <w:r>
        <w:t xml:space="preserve">Production Energy (Scope 1 &amp; 2)</w:t>
      </w:r>
    </w:p>
    <w:p>
      <w:pPr>
        <w:numPr>
          <w:ilvl w:val="0"/>
          <w:numId w:val="1002"/>
        </w:numPr>
        <w:pStyle w:val="Compact"/>
      </w:pPr>
      <w:r>
        <w:rPr>
          <w:bCs/>
          <w:b/>
        </w:rPr>
        <w:t xml:space="preserve">Renewable Energy Usage (rqxkgykgwh):</w:t>
      </w:r>
      <w:r>
        <w:t xml:space="preserve"> </w:t>
      </w:r>
      <w:r>
        <w:t xml:space="preserve">75% of purchased electricity. This significantly reduces Scope 2 emissions.</w:t>
      </w:r>
    </w:p>
    <w:p>
      <w:pPr>
        <w:numPr>
          <w:ilvl w:val="0"/>
          <w:numId w:val="1002"/>
        </w:numPr>
        <w:pStyle w:val="Compact"/>
      </w:pPr>
      <w:r>
        <w:rPr>
          <w:bCs/>
          <w:b/>
        </w:rPr>
        <w:t xml:space="preserve">Energy Intensity (wmnextoryt):</w:t>
      </w:r>
      <w:r>
        <w:t xml:space="preserve"> </w:t>
      </w:r>
      <w:r>
        <w:t xml:space="preserve">0.5 kWh/unit. This is the electricity consumed per unit of ggwriumkot during manufacturing.</w:t>
      </w:r>
    </w:p>
    <w:p>
      <w:pPr>
        <w:numPr>
          <w:ilvl w:val="0"/>
          <w:numId w:val="1002"/>
        </w:numPr>
        <w:pStyle w:val="Compact"/>
      </w:pPr>
      <w:r>
        <w:rPr>
          <w:bCs/>
          <w:b/>
        </w:rPr>
        <w:t xml:space="preserve">Direct Emissions (Scope 1):</w:t>
      </w:r>
      <w:r>
        <w:t xml:space="preserve"> </w:t>
      </w:r>
      <w:r>
        <w:t xml:space="preserve">Assumed minimal, primarily from on-site fuel combustion for heating or machinery not powered by electricity. For this analysis, we assume direct fuel combustion is negligible or covered by general grid mix for heating if not specifically provided.</w:t>
      </w:r>
    </w:p>
    <w:bookmarkEnd w:id="24"/>
    <w:bookmarkStart w:id="25" w:name="X9795cd1974d18f66faafdaafe7a0219ede81315"/>
    <w:p>
      <w:pPr>
        <w:pStyle w:val="Heading3"/>
      </w:pPr>
      <w:r>
        <w:t xml:space="preserve">Transport &amp; Logistics (Scope 3 - Upstream &amp; Downstream)</w:t>
      </w:r>
    </w:p>
    <w:p>
      <w:pPr>
        <w:numPr>
          <w:ilvl w:val="0"/>
          <w:numId w:val="1003"/>
        </w:numPr>
        <w:pStyle w:val="Compact"/>
      </w:pPr>
      <w:r>
        <w:rPr>
          <w:bCs/>
          <w:b/>
        </w:rPr>
        <w:t xml:space="preserve">Transport Mode (Select Mode):</w:t>
      </w:r>
      <w:r>
        <w:t xml:space="preserve"> </w:t>
      </w:r>
      <w:r>
        <w:t xml:space="preserve">A combination of Sea Freight for long-haul component delivery to China and Road Freight for regional distribution within Europe and last-mile.</w:t>
      </w:r>
    </w:p>
    <w:p>
      <w:pPr>
        <w:numPr>
          <w:ilvl w:val="0"/>
          <w:numId w:val="1003"/>
        </w:numPr>
        <w:pStyle w:val="Compact"/>
      </w:pPr>
      <w:r>
        <w:rPr>
          <w:bCs/>
          <w:b/>
        </w:rPr>
        <w:t xml:space="preserve">Transport Distance (uennqhrihu):</w:t>
      </w:r>
    </w:p>
    <w:p>
      <w:pPr>
        <w:numPr>
          <w:ilvl w:val="1"/>
          <w:numId w:val="1004"/>
        </w:numPr>
        <w:pStyle w:val="Compact"/>
      </w:pPr>
      <w:r>
        <w:t xml:space="preserve">Component Inbound (Europe to China): Illustrative 10,000 km by Sea Freight.</w:t>
      </w:r>
    </w:p>
    <w:p>
      <w:pPr>
        <w:numPr>
          <w:ilvl w:val="1"/>
          <w:numId w:val="1004"/>
        </w:numPr>
        <w:pStyle w:val="Compact"/>
      </w:pPr>
      <w:r>
        <w:t xml:space="preserve">Finished Product Outbound (China to Europe): Illustrative 12,000 km by Sea Freight.</w:t>
      </w:r>
    </w:p>
    <w:p>
      <w:pPr>
        <w:numPr>
          <w:ilvl w:val="1"/>
          <w:numId w:val="1004"/>
        </w:numPr>
        <w:pStyle w:val="Compact"/>
      </w:pPr>
      <w:r>
        <w:t xml:space="preserve">Regional Distribution (within Europe): Illustrative 500 km by Road Freight.</w:t>
      </w:r>
    </w:p>
    <w:p>
      <w:pPr>
        <w:numPr>
          <w:ilvl w:val="0"/>
          <w:numId w:val="1003"/>
        </w:numPr>
        <w:pStyle w:val="Compact"/>
      </w:pPr>
      <w:r>
        <w:rPr>
          <w:bCs/>
          <w:b/>
        </w:rPr>
        <w:t xml:space="preserve">Last-Mile Delivery Channel (Delivery Type):</w:t>
      </w:r>
      <w:r>
        <w:t xml:space="preserve"> </w:t>
      </w:r>
      <w:r>
        <w:t xml:space="preserve">Road Freight (vans/trucks) from regional hubs to end-users.</w:t>
      </w:r>
    </w:p>
    <w:bookmarkEnd w:id="25"/>
    <w:bookmarkStart w:id="26" w:name="product-use-phase-scope-3---downstream"/>
    <w:p>
      <w:pPr>
        <w:pStyle w:val="Heading3"/>
      </w:pPr>
      <w:r>
        <w:t xml:space="preserve">Product Use Phase (Scope 3 - Downstream)</w:t>
      </w:r>
    </w:p>
    <w:p>
      <w:pPr>
        <w:numPr>
          <w:ilvl w:val="0"/>
          <w:numId w:val="1005"/>
        </w:numPr>
        <w:pStyle w:val="Compact"/>
      </w:pPr>
      <w:r>
        <w:rPr>
          <w:bCs/>
          <w:b/>
        </w:rPr>
        <w:t xml:space="preserve">Product Lifespan (wznztttzer):</w:t>
      </w:r>
      <w:r>
        <w:t xml:space="preserve"> </w:t>
      </w:r>
      <w:r>
        <w:t xml:space="preserve">5 years. This is the estimated operational life of the product.</w:t>
      </w:r>
    </w:p>
    <w:p>
      <w:pPr>
        <w:numPr>
          <w:ilvl w:val="0"/>
          <w:numId w:val="1005"/>
        </w:numPr>
        <w:pStyle w:val="Compact"/>
      </w:pPr>
      <w:r>
        <w:rPr>
          <w:bCs/>
          <w:b/>
        </w:rPr>
        <w:t xml:space="preserve">Energy Consumption in Use (xlzxvrkgqm):</w:t>
      </w:r>
      <w:r>
        <w:t xml:space="preserve"> </w:t>
      </w:r>
      <w:r>
        <w:t xml:space="preserve">10 kWh/year. This is the annual electricity consumption during active use.</w:t>
      </w:r>
    </w:p>
    <w:bookmarkEnd w:id="26"/>
    <w:bookmarkStart w:id="27" w:name="X2449e76f36fce2c9fec3c701a472f020b80894d"/>
    <w:p>
      <w:pPr>
        <w:pStyle w:val="Heading3"/>
      </w:pPr>
      <w:r>
        <w:t xml:space="preserve">End-of-Life (EoL) Scenarios (Scope 3 - Downstream)</w:t>
      </w:r>
    </w:p>
    <w:p>
      <w:pPr>
        <w:numPr>
          <w:ilvl w:val="0"/>
          <w:numId w:val="1006"/>
        </w:numPr>
        <w:pStyle w:val="Compact"/>
      </w:pPr>
      <w:r>
        <w:rPr>
          <w:bCs/>
          <w:b/>
        </w:rPr>
        <w:t xml:space="preserve">Recyclability Percentage (ewrqvkggwe):</w:t>
      </w:r>
      <w:r>
        <w:t xml:space="preserve"> </w:t>
      </w:r>
      <w:r>
        <w:t xml:space="preserve">80%. This represents the percentage of the product\'s mass that can be recycled.</w:t>
      </w:r>
    </w:p>
    <w:p>
      <w:pPr>
        <w:numPr>
          <w:ilvl w:val="0"/>
          <w:numId w:val="1006"/>
        </w:numPr>
        <w:pStyle w:val="Compact"/>
      </w:pPr>
      <w:r>
        <w:rPr>
          <w:bCs/>
          <w:b/>
        </w:rPr>
        <w:t xml:space="preserve">Circular/Take-back Programs (ulryqnepst):</w:t>
      </w:r>
      <w:r>
        <w:t xml:space="preserve"> </w:t>
      </w:r>
      <w:r>
        <w:t xml:space="preserve">Yes, operational. The presence of such programs supports higher recycling rates and material recovery, reducing the need for virgin materials.</w:t>
      </w:r>
    </w:p>
    <w:p>
      <w:r>
        <w:pict>
          <v:rect style="width:0;height:1.5pt" o:hralign="center" o:hrstd="t" o:hr="t"/>
        </w:pict>
      </w:r>
    </w:p>
    <w:bookmarkEnd w:id="27"/>
    <w:bookmarkEnd w:id="28"/>
    <w:bookmarkStart w:id="40" w:name="X3720d7d0541b3a6e3c473bd4daa188ddb828856"/>
    <w:p>
      <w:pPr>
        <w:pStyle w:val="Heading2"/>
      </w:pPr>
      <w:r>
        <w:t xml:space="preserve">4. Calculating Emissions (Activity * Emission Factor = CO2e)</w:t>
      </w:r>
    </w:p>
    <w:p>
      <w:pPr>
        <w:pStyle w:val="FirstParagraph"/>
      </w:pPr>
      <w:r>
        <w:t xml:space="preserve">Emissions are categorized according to the GHG Protocol into Scope 1 (Direct Emissions), Scope 2 (Indirect Emissions from Purchased Energy), and Scope 3 (All other Indirect Emissions in the Value Chain). The 2026 LSR Standard is considered for any potential land-use impacts. Achieving at least 95% coverage for Scope 3 reporting is ensured by including all significant upstream and downstream categories.</w:t>
      </w:r>
    </w:p>
    <w:bookmarkStart w:id="29" w:name="Xcf851dbe49bb21df01a3e890e1c55a3e63ad498"/>
    <w:p>
      <w:pPr>
        <w:pStyle w:val="Heading3"/>
      </w:pPr>
      <w:r>
        <w:t xml:space="preserve">Emission Factors Used (Illustrative, based on Ecoinvent/DEFRA principles)</w:t>
      </w:r>
    </w:p>
    <w:p>
      <w:pPr>
        <w:numPr>
          <w:ilvl w:val="0"/>
          <w:numId w:val="1007"/>
        </w:numPr>
        <w:pStyle w:val="Compact"/>
      </w:pPr>
      <w:r>
        <w:t xml:space="preserve">Electricity Grid Mix (China, illustrative): 0.65 kgCO2e/kWh (reduced by renewable usage).</w:t>
      </w:r>
    </w:p>
    <w:p>
      <w:pPr>
        <w:numPr>
          <w:ilvl w:val="0"/>
          <w:numId w:val="1007"/>
        </w:numPr>
        <w:pStyle w:val="Compact"/>
      </w:pPr>
      <w:r>
        <w:t xml:space="preserve">Electricity Grid Mix (Europe, illustrative): 0.30 kgCO2e/kWh (for use phase).</w:t>
      </w:r>
    </w:p>
    <w:p>
      <w:pPr>
        <w:numPr>
          <w:ilvl w:val="0"/>
          <w:numId w:val="1007"/>
        </w:numPr>
        <w:pStyle w:val="Compact"/>
      </w:pPr>
      <w:r>
        <w:t xml:space="preserve">Sea Freight: 0.010 kgCO2e/tonne-km.</w:t>
      </w:r>
    </w:p>
    <w:p>
      <w:pPr>
        <w:numPr>
          <w:ilvl w:val="0"/>
          <w:numId w:val="1007"/>
        </w:numPr>
        <w:pStyle w:val="Compact"/>
      </w:pPr>
      <w:r>
        <w:t xml:space="preserve">Road Freight (heavy duty): 0.080 kgCO2e/tonne-km.</w:t>
      </w:r>
    </w:p>
    <w:p>
      <w:pPr>
        <w:numPr>
          <w:ilvl w:val="0"/>
          <w:numId w:val="1007"/>
        </w:numPr>
        <w:pStyle w:val="Compact"/>
      </w:pPr>
      <w:r>
        <w:t xml:space="preserve">Road Freight (light duty/last mile): 0.150 kgCO2e/tonne-km.</w:t>
      </w:r>
    </w:p>
    <w:p>
      <w:pPr>
        <w:numPr>
          <w:ilvl w:val="0"/>
          <w:numId w:val="1007"/>
        </w:numPr>
        <w:pStyle w:val="Compact"/>
      </w:pPr>
      <w:r>
        <w:t xml:space="preserve">Waste to Landfill (mixed): 0.5 kgCO2e/kg.</w:t>
      </w:r>
    </w:p>
    <w:p>
      <w:pPr>
        <w:numPr>
          <w:ilvl w:val="0"/>
          <w:numId w:val="1007"/>
        </w:numPr>
        <w:pStyle w:val="Compact"/>
      </w:pPr>
      <w:r>
        <w:t xml:space="preserve">Recycling Credit (mixed materials): -0.5 kgCO2e/kg (avoided emissions).</w:t>
      </w:r>
    </w:p>
    <w:bookmarkEnd w:id="29"/>
    <w:bookmarkStart w:id="39" w:name="X6c3e5b39cf226ce0961ac1cb740461d4fd237d9"/>
    <w:p>
      <w:pPr>
        <w:pStyle w:val="Heading3"/>
      </w:pPr>
      <w:r>
        <w:t xml:space="preserve">Detailed Emission Calculation for 1.0 unit of ggwriumkot:</w:t>
      </w:r>
    </w:p>
    <w:bookmarkStart w:id="30" w:name="scope-1-emissions-direct-emissions"/>
    <w:p>
      <w:pPr>
        <w:pStyle w:val="Heading4"/>
      </w:pPr>
      <w:r>
        <w:t xml:space="preserve">Scope 1 Emissions (Direct Emissions)</w:t>
      </w:r>
    </w:p>
    <w:p>
      <w:pPr>
        <w:numPr>
          <w:ilvl w:val="0"/>
          <w:numId w:val="1008"/>
        </w:numPr>
        <w:pStyle w:val="Compact"/>
      </w:pPr>
      <w:r>
        <w:t xml:space="preserve">Minimal direct emissions assumed from on-site operations. If specific fossil fuel consumption data were available, it would be included here.</w:t>
      </w:r>
    </w:p>
    <w:p>
      <w:pPr>
        <w:numPr>
          <w:ilvl w:val="0"/>
          <w:numId w:val="1008"/>
        </w:numPr>
        <w:pStyle w:val="Compact"/>
      </w:pPr>
      <w:r>
        <w:rPr>
          <w:bCs/>
          <w:b/>
        </w:rPr>
        <w:t xml:space="preserve">Total Scope 1:</w:t>
      </w:r>
      <w:r>
        <w:t xml:space="preserve"> </w:t>
      </w:r>
      <w:r>
        <w:t xml:space="preserve">0.00 kgCO2e (assumed negligible for this product\'s primary manufacturing process).</w:t>
      </w:r>
    </w:p>
    <w:bookmarkEnd w:id="30"/>
    <w:bookmarkStart w:id="31" w:name="scope-2-emissions-purchased-energy"/>
    <w:p>
      <w:pPr>
        <w:pStyle w:val="Heading4"/>
      </w:pPr>
      <w:r>
        <w:t xml:space="preserve">Scope 2 Emissions (Purchased Energy)</w:t>
      </w:r>
    </w:p>
    <w:p>
      <w:pPr>
        <w:numPr>
          <w:ilvl w:val="0"/>
          <w:numId w:val="1009"/>
        </w:numPr>
        <w:pStyle w:val="Compact"/>
      </w:pPr>
      <w:r>
        <w:rPr>
          <w:bCs/>
          <w:b/>
        </w:rPr>
        <w:t xml:space="preserve">Energy Intensity:</w:t>
      </w:r>
      <w:r>
        <w:t xml:space="preserve"> </w:t>
      </w:r>
      <w:r>
        <w:t xml:space="preserve">0.5 kWh/unit</w:t>
      </w:r>
    </w:p>
    <w:p>
      <w:pPr>
        <w:numPr>
          <w:ilvl w:val="0"/>
          <w:numId w:val="1009"/>
        </w:numPr>
        <w:pStyle w:val="Compact"/>
      </w:pPr>
      <w:r>
        <w:rPr>
          <w:bCs/>
          <w:b/>
        </w:rPr>
        <w:t xml:space="preserve">Renewable Energy Usage:</w:t>
      </w:r>
      <w:r>
        <w:t xml:space="preserve"> </w:t>
      </w:r>
      <w:r>
        <w:t xml:space="preserve">75%</w:t>
      </w:r>
    </w:p>
    <w:p>
      <w:pPr>
        <w:numPr>
          <w:ilvl w:val="0"/>
          <w:numId w:val="1009"/>
        </w:numPr>
        <w:pStyle w:val="Compact"/>
      </w:pPr>
      <w:r>
        <w:rPr>
          <w:bCs/>
          <w:b/>
        </w:rPr>
        <w:t xml:space="preserve">Non-renewable Energy:</w:t>
      </w:r>
      <w:r>
        <w:t xml:space="preserve"> </w:t>
      </w:r>
      <w:r>
        <w:t xml:space="preserve">0.5 kWh * (1 - 0.75) = 0.125 kWh/unit</w:t>
      </w:r>
    </w:p>
    <w:p>
      <w:pPr>
        <w:numPr>
          <w:ilvl w:val="0"/>
          <w:numId w:val="1009"/>
        </w:numPr>
        <w:pStyle w:val="Compact"/>
      </w:pPr>
      <w:r>
        <w:rPr>
          <w:bCs/>
          <w:b/>
        </w:rPr>
        <w:t xml:space="preserve">China Grid Factor (illustrative):</w:t>
      </w:r>
      <w:r>
        <w:t xml:space="preserve"> </w:t>
      </w:r>
      <w:r>
        <w:t xml:space="preserve">0.65 kgCO2e/kWh</w:t>
      </w:r>
    </w:p>
    <w:p>
      <w:pPr>
        <w:numPr>
          <w:ilvl w:val="0"/>
          <w:numId w:val="1009"/>
        </w:numPr>
        <w:pStyle w:val="Compact"/>
      </w:pPr>
      <w:r>
        <w:rPr>
          <w:bCs/>
          <w:b/>
        </w:rPr>
        <w:t xml:space="preserve">Scope 2 Calculation:</w:t>
      </w:r>
      <w:r>
        <w:t xml:space="preserve"> </w:t>
      </w:r>
      <w:r>
        <w:t xml:space="preserve">0.125 kWh/unit * 0.65 kgCO2e/kWh = 0.08125 kgCO2e/unit</w:t>
      </w:r>
    </w:p>
    <w:p>
      <w:pPr>
        <w:numPr>
          <w:ilvl w:val="0"/>
          <w:numId w:val="1009"/>
        </w:numPr>
        <w:pStyle w:val="Compact"/>
      </w:pPr>
      <w:r>
        <w:rPr>
          <w:bCs/>
          <w:b/>
        </w:rPr>
        <w:t xml:space="preserve">Total Scope 2:</w:t>
      </w:r>
      <w:r>
        <w:t xml:space="preserve"> </w:t>
      </w:r>
      <w:r>
        <w:t xml:space="preserve">0.08 kgCO2e</w:t>
      </w:r>
    </w:p>
    <w:bookmarkEnd w:id="31"/>
    <w:bookmarkStart w:id="37" w:name="scope-3-emissions-value-chain-emissions"/>
    <w:p>
      <w:pPr>
        <w:pStyle w:val="Heading4"/>
      </w:pPr>
      <w:r>
        <w:t xml:space="preserve">Scope 3 Emissions (Value Chain Emissions)</w:t>
      </w:r>
    </w:p>
    <w:bookmarkStart w:id="32" w:name="X79e965cc03a5ae043bbdb1fdd909d96e4adc5ec"/>
    <w:p>
      <w:pPr>
        <w:pStyle w:val="Heading5"/>
      </w:pPr>
      <w:r>
        <w:t xml:space="preserve">a. Upstream Emissions (Category 1: Purchased Goods &amp; Services)</w:t>
      </w:r>
    </w:p>
    <w:p>
      <w:pPr>
        <w:pStyle w:val="FirstParagraph"/>
      </w:pPr>
      <w:r>
        <w:t xml:space="preserve">Based on the illustrative BOM provided:</w:t>
      </w:r>
    </w:p>
    <w:p>
      <w:pPr>
        <w:numPr>
          <w:ilvl w:val="0"/>
          <w:numId w:val="1010"/>
        </w:numPr>
        <w:pStyle w:val="Compact"/>
      </w:pPr>
      <w:r>
        <w:rPr>
          <w:bCs/>
          <w:b/>
        </w:rPr>
        <w:t xml:space="preserve">Total Material Emissions:</w:t>
      </w:r>
      <w:r>
        <w:t xml:space="preserve"> </w:t>
      </w:r>
      <w:r>
        <w:t xml:space="preserve">11.86 kgCO2e (from BOM table)</w:t>
      </w:r>
    </w:p>
    <w:p>
      <w:pPr>
        <w:numPr>
          <w:ilvl w:val="0"/>
          <w:numId w:val="1010"/>
        </w:numPr>
        <w:pStyle w:val="Compact"/>
      </w:pPr>
      <w:r>
        <w:rPr>
          <w:bCs/>
          <w:b/>
        </w:rPr>
        <w:t xml:space="preserve">Total Upstream (Materials):</w:t>
      </w:r>
      <w:r>
        <w:t xml:space="preserve"> </w:t>
      </w:r>
      <w:r>
        <w:t xml:space="preserve">11.86 kgCO2e</w:t>
      </w:r>
    </w:p>
    <w:bookmarkEnd w:id="32"/>
    <w:bookmarkStart w:id="33" w:name="X999866d3d5b060203d24d3e6ea92098b67cdaf0"/>
    <w:p>
      <w:pPr>
        <w:pStyle w:val="Heading5"/>
      </w:pPr>
      <w:r>
        <w:t xml:space="preserve">b. Upstream Emissions (Category 4: Transportation and Distribution - Inbound)</w:t>
      </w:r>
    </w:p>
    <w:p>
      <w:pPr>
        <w:pStyle w:val="FirstParagraph"/>
      </w:pPr>
      <w:r>
        <w:t xml:space="preserve">Assuming a product weight of 1.0 kg (illustrative for calculation, derived from BOM quantities):</w:t>
      </w:r>
    </w:p>
    <w:p>
      <w:pPr>
        <w:numPr>
          <w:ilvl w:val="0"/>
          <w:numId w:val="1011"/>
        </w:numPr>
        <w:pStyle w:val="Compact"/>
      </w:pPr>
      <w:r>
        <w:rPr>
          <w:bCs/>
          <w:b/>
        </w:rPr>
        <w:t xml:space="preserve">Components (Europe to China - Sea Freight):</w:t>
      </w:r>
    </w:p>
    <w:p>
      <w:pPr>
        <w:numPr>
          <w:ilvl w:val="1"/>
          <w:numId w:val="1012"/>
        </w:numPr>
        <w:pStyle w:val="Compact"/>
      </w:pPr>
      <w:r>
        <w:t xml:space="preserve">Mass: Assume 0.9 kg (components for 1 unit)</w:t>
      </w:r>
    </w:p>
    <w:p>
      <w:pPr>
        <w:numPr>
          <w:ilvl w:val="1"/>
          <w:numId w:val="1012"/>
        </w:numPr>
        <w:pStyle w:val="Compact"/>
      </w:pPr>
      <w:r>
        <w:t xml:space="preserve">Distance: 10,000 km</w:t>
      </w:r>
    </w:p>
    <w:p>
      <w:pPr>
        <w:numPr>
          <w:ilvl w:val="1"/>
          <w:numId w:val="1012"/>
        </w:numPr>
        <w:pStyle w:val="Compact"/>
      </w:pPr>
      <w:r>
        <w:t xml:space="preserve">Emission Factor: 0.010 kgCO2e/tonne-km = 0.000010 kgCO2e/kg-km</w:t>
      </w:r>
    </w:p>
    <w:p>
      <w:pPr>
        <w:numPr>
          <w:ilvl w:val="1"/>
          <w:numId w:val="1012"/>
        </w:numPr>
        <w:pStyle w:val="Compact"/>
      </w:pPr>
      <w:r>
        <w:t xml:space="preserve">Calculation: 0.9 kg * 10,000 km * 0.000010 kgCO2e/kg-km = 0.09 kgCO2e</w:t>
      </w:r>
    </w:p>
    <w:p>
      <w:pPr>
        <w:numPr>
          <w:ilvl w:val="0"/>
          <w:numId w:val="1011"/>
        </w:numPr>
        <w:pStyle w:val="Compact"/>
      </w:pPr>
      <w:r>
        <w:rPr>
          <w:bCs/>
          <w:b/>
        </w:rPr>
        <w:t xml:space="preserve">Total Inbound Transport:</w:t>
      </w:r>
      <w:r>
        <w:t xml:space="preserve"> </w:t>
      </w:r>
      <w:r>
        <w:t xml:space="preserve">0.09 kgCO2e</w:t>
      </w:r>
    </w:p>
    <w:bookmarkEnd w:id="33"/>
    <w:bookmarkStart w:id="34" w:name="Xf09a2cdfa6f743c47971864ed9334c4b021219d"/>
    <w:p>
      <w:pPr>
        <w:pStyle w:val="Heading5"/>
      </w:pPr>
      <w:r>
        <w:t xml:space="preserve">c. Downstream Emissions (Category 4: Transportation and Distribution - Outbound)</w:t>
      </w:r>
    </w:p>
    <w:p>
      <w:pPr>
        <w:pStyle w:val="FirstParagraph"/>
      </w:pPr>
      <w:r>
        <w:t xml:space="preserve">Assuming a product weight of 1.0 kg:</w:t>
      </w:r>
    </w:p>
    <w:p>
      <w:pPr>
        <w:numPr>
          <w:ilvl w:val="0"/>
          <w:numId w:val="1013"/>
        </w:numPr>
        <w:pStyle w:val="Compact"/>
      </w:pPr>
      <w:r>
        <w:rPr>
          <w:bCs/>
          <w:b/>
        </w:rPr>
        <w:t xml:space="preserve">Finished Product (China to Europe - Sea Freight):</w:t>
      </w:r>
    </w:p>
    <w:p>
      <w:pPr>
        <w:numPr>
          <w:ilvl w:val="1"/>
          <w:numId w:val="1014"/>
        </w:numPr>
        <w:pStyle w:val="Compact"/>
      </w:pPr>
      <w:r>
        <w:t xml:space="preserve">Mass: 1.0 kg</w:t>
      </w:r>
    </w:p>
    <w:p>
      <w:pPr>
        <w:numPr>
          <w:ilvl w:val="1"/>
          <w:numId w:val="1014"/>
        </w:numPr>
        <w:pStyle w:val="Compact"/>
      </w:pPr>
      <w:r>
        <w:t xml:space="preserve">Distance: 12,000 km</w:t>
      </w:r>
    </w:p>
    <w:p>
      <w:pPr>
        <w:numPr>
          <w:ilvl w:val="1"/>
          <w:numId w:val="1014"/>
        </w:numPr>
        <w:pStyle w:val="Compact"/>
      </w:pPr>
      <w:r>
        <w:t xml:space="preserve">Emission Factor: 0.010 kgCO2e/tonne-km = 0.000010 kgCO2e/kg-km</w:t>
      </w:r>
    </w:p>
    <w:p>
      <w:pPr>
        <w:numPr>
          <w:ilvl w:val="1"/>
          <w:numId w:val="1014"/>
        </w:numPr>
        <w:pStyle w:val="Compact"/>
      </w:pPr>
      <w:r>
        <w:t xml:space="preserve">Calculation: 1.0 kg * 12,000 km * 0.000010 kgCO2e/kg-km = 0.12 kgCO2e</w:t>
      </w:r>
    </w:p>
    <w:p>
      <w:pPr>
        <w:numPr>
          <w:ilvl w:val="0"/>
          <w:numId w:val="1013"/>
        </w:numPr>
        <w:pStyle w:val="Compact"/>
      </w:pPr>
      <w:r>
        <w:rPr>
          <w:bCs/>
          <w:b/>
        </w:rPr>
        <w:t xml:space="preserve">Regional Distribution (Europe - Road Freight):</w:t>
      </w:r>
    </w:p>
    <w:p>
      <w:pPr>
        <w:numPr>
          <w:ilvl w:val="1"/>
          <w:numId w:val="1015"/>
        </w:numPr>
        <w:pStyle w:val="Compact"/>
      </w:pPr>
      <w:r>
        <w:t xml:space="preserve">Mass: 1.0 kg</w:t>
      </w:r>
    </w:p>
    <w:p>
      <w:pPr>
        <w:numPr>
          <w:ilvl w:val="1"/>
          <w:numId w:val="1015"/>
        </w:numPr>
        <w:pStyle w:val="Compact"/>
      </w:pPr>
      <w:r>
        <w:t xml:space="preserve">Distance: 500 km</w:t>
      </w:r>
    </w:p>
    <w:p>
      <w:pPr>
        <w:numPr>
          <w:ilvl w:val="1"/>
          <w:numId w:val="1015"/>
        </w:numPr>
        <w:pStyle w:val="Compact"/>
      </w:pPr>
      <w:r>
        <w:t xml:space="preserve">Emission Factor: 0.080 kgCO2e/tonne-km = 0.000080 kgCO2e/kg-km</w:t>
      </w:r>
    </w:p>
    <w:p>
      <w:pPr>
        <w:numPr>
          <w:ilvl w:val="1"/>
          <w:numId w:val="1015"/>
        </w:numPr>
        <w:pStyle w:val="Compact"/>
      </w:pPr>
      <w:r>
        <w:t xml:space="preserve">Calculation: 1.0 kg * 500 km * 0.000080 kgCO2e/kg-km = 0.04 kgCO2e</w:t>
      </w:r>
    </w:p>
    <w:p>
      <w:pPr>
        <w:numPr>
          <w:ilvl w:val="0"/>
          <w:numId w:val="1013"/>
        </w:numPr>
        <w:pStyle w:val="Compact"/>
      </w:pPr>
      <w:r>
        <w:rPr>
          <w:bCs/>
          <w:b/>
        </w:rPr>
        <w:t xml:space="preserve">Last-Mile Delivery (Road Freight):</w:t>
      </w:r>
    </w:p>
    <w:p>
      <w:pPr>
        <w:numPr>
          <w:ilvl w:val="1"/>
          <w:numId w:val="1016"/>
        </w:numPr>
        <w:pStyle w:val="Compact"/>
      </w:pPr>
      <w:r>
        <w:t xml:space="preserve">Mass: 1.0 kg</w:t>
      </w:r>
    </w:p>
    <w:p>
      <w:pPr>
        <w:numPr>
          <w:ilvl w:val="1"/>
          <w:numId w:val="1016"/>
        </w:numPr>
        <w:pStyle w:val="Compact"/>
      </w:pPr>
      <w:r>
        <w:t xml:space="preserve">Distance: Assume 50 km (average last mile)</w:t>
      </w:r>
    </w:p>
    <w:p>
      <w:pPr>
        <w:numPr>
          <w:ilvl w:val="1"/>
          <w:numId w:val="1016"/>
        </w:numPr>
        <w:pStyle w:val="Compact"/>
      </w:pPr>
      <w:r>
        <w:t xml:space="preserve">Emission Factor: 0.150 kgCO2e/tonne-km = 0.000150 kgCO2e/kg-km</w:t>
      </w:r>
    </w:p>
    <w:p>
      <w:pPr>
        <w:numPr>
          <w:ilvl w:val="1"/>
          <w:numId w:val="1016"/>
        </w:numPr>
        <w:pStyle w:val="Compact"/>
      </w:pPr>
      <w:r>
        <w:t xml:space="preserve">Calculation: 1.0 kg * 50 km * 0.000150 kgCO2e/kg-km = 0.0075 kgCO2e</w:t>
      </w:r>
    </w:p>
    <w:p>
      <w:pPr>
        <w:numPr>
          <w:ilvl w:val="0"/>
          <w:numId w:val="1013"/>
        </w:numPr>
        <w:pStyle w:val="Compact"/>
      </w:pPr>
      <w:r>
        <w:rPr>
          <w:bCs/>
          <w:b/>
        </w:rPr>
        <w:t xml:space="preserve">Total Outbound Transport:</w:t>
      </w:r>
      <w:r>
        <w:t xml:space="preserve"> </w:t>
      </w:r>
      <w:r>
        <w:t xml:space="preserve">0.12 + 0.04 + 0.0075 = 0.1675 kgCO2e</w:t>
      </w:r>
    </w:p>
    <w:bookmarkEnd w:id="34"/>
    <w:bookmarkStart w:id="35" w:name="Xb82b3bcf9b6a1f8119d1a13c44301f7c7a63971"/>
    <w:p>
      <w:pPr>
        <w:pStyle w:val="Heading5"/>
      </w:pPr>
      <w:r>
        <w:t xml:space="preserve">d. Downstream Emissions (Category 11: Use of Sold Products)</w:t>
      </w:r>
    </w:p>
    <w:p>
      <w:pPr>
        <w:numPr>
          <w:ilvl w:val="0"/>
          <w:numId w:val="1017"/>
        </w:numPr>
        <w:pStyle w:val="Compact"/>
      </w:pPr>
      <w:r>
        <w:rPr>
          <w:bCs/>
          <w:b/>
        </w:rPr>
        <w:t xml:space="preserve">Product Lifespan:</w:t>
      </w:r>
      <w:r>
        <w:t xml:space="preserve"> </w:t>
      </w:r>
      <w:r>
        <w:t xml:space="preserve">5 years</w:t>
      </w:r>
    </w:p>
    <w:p>
      <w:pPr>
        <w:numPr>
          <w:ilvl w:val="0"/>
          <w:numId w:val="1017"/>
        </w:numPr>
        <w:pStyle w:val="Compact"/>
      </w:pPr>
      <w:r>
        <w:rPr>
          <w:bCs/>
          <w:b/>
        </w:rPr>
        <w:t xml:space="preserve">Energy Consumption in Use:</w:t>
      </w:r>
      <w:r>
        <w:t xml:space="preserve"> </w:t>
      </w:r>
      <w:r>
        <w:t xml:space="preserve">10 kWh/year</w:t>
      </w:r>
    </w:p>
    <w:p>
      <w:pPr>
        <w:numPr>
          <w:ilvl w:val="0"/>
          <w:numId w:val="1017"/>
        </w:numPr>
        <w:pStyle w:val="Compact"/>
      </w:pPr>
      <w:r>
        <w:rPr>
          <w:bCs/>
          <w:b/>
        </w:rPr>
        <w:t xml:space="preserve">European Grid Factor (illustrative):</w:t>
      </w:r>
      <w:r>
        <w:t xml:space="preserve"> </w:t>
      </w:r>
      <w:r>
        <w:t xml:space="preserve">0.30 kgCO2e/kWh</w:t>
      </w:r>
    </w:p>
    <w:p>
      <w:pPr>
        <w:numPr>
          <w:ilvl w:val="0"/>
          <w:numId w:val="1017"/>
        </w:numPr>
        <w:pStyle w:val="Compact"/>
      </w:pPr>
      <w:r>
        <w:rPr>
          <w:bCs/>
          <w:b/>
        </w:rPr>
        <w:t xml:space="preserve">Calculation:</w:t>
      </w:r>
      <w:r>
        <w:t xml:space="preserve"> </w:t>
      </w:r>
      <w:r>
        <w:t xml:space="preserve">(10 kWh/year * 5 years) * 0.30 kgCO2e/kWh = 15.00 kgCO2e</w:t>
      </w:r>
    </w:p>
    <w:p>
      <w:pPr>
        <w:numPr>
          <w:ilvl w:val="0"/>
          <w:numId w:val="1017"/>
        </w:numPr>
        <w:pStyle w:val="Compact"/>
      </w:pPr>
      <w:r>
        <w:rPr>
          <w:bCs/>
          <w:b/>
        </w:rPr>
        <w:t xml:space="preserve">Total Use Phase:</w:t>
      </w:r>
      <w:r>
        <w:t xml:space="preserve"> </w:t>
      </w:r>
      <w:r>
        <w:t xml:space="preserve">15.00 kgCO2e</w:t>
      </w:r>
    </w:p>
    <w:bookmarkEnd w:id="35"/>
    <w:bookmarkStart w:id="36" w:name="X8835c0a063716ec8f68e89033c35e33c7f57b58"/>
    <w:p>
      <w:pPr>
        <w:pStyle w:val="Heading5"/>
      </w:pPr>
      <w:r>
        <w:t xml:space="preserve">e. Downstream Emissions (Category 12: End-of-Life Treatment of Sold Products)</w:t>
      </w:r>
    </w:p>
    <w:p>
      <w:pPr>
        <w:pStyle w:val="FirstParagraph"/>
      </w:pPr>
      <w:r>
        <w:t xml:space="preserve">Assuming total product weight of 1.0 kg (illustrative):</w:t>
      </w:r>
    </w:p>
    <w:p>
      <w:pPr>
        <w:numPr>
          <w:ilvl w:val="0"/>
          <w:numId w:val="1018"/>
        </w:numPr>
        <w:pStyle w:val="Compact"/>
      </w:pPr>
      <w:r>
        <w:rPr>
          <w:bCs/>
          <w:b/>
        </w:rPr>
        <w:t xml:space="preserve">Recycled Portion:</w:t>
      </w:r>
      <w:r>
        <w:t xml:space="preserve"> </w:t>
      </w:r>
      <w:r>
        <w:t xml:space="preserve">1.0 kg * 80% = 0.8 kg</w:t>
      </w:r>
    </w:p>
    <w:p>
      <w:pPr>
        <w:numPr>
          <w:ilvl w:val="1"/>
          <w:numId w:val="1019"/>
        </w:numPr>
        <w:pStyle w:val="Compact"/>
      </w:pPr>
      <w:r>
        <w:t xml:space="preserve">Recycling credit (avoided emissions): 0.8 kg * -0.5 kgCO2e/kg = -0.40 kgCO2e (representing avoided virgin material production).</w:t>
      </w:r>
    </w:p>
    <w:p>
      <w:pPr>
        <w:numPr>
          <w:ilvl w:val="0"/>
          <w:numId w:val="1018"/>
        </w:numPr>
        <w:pStyle w:val="Compact"/>
      </w:pPr>
      <w:r>
        <w:rPr>
          <w:bCs/>
          <w:b/>
        </w:rPr>
        <w:t xml:space="preserve">Waste to Landfill/Incineration:</w:t>
      </w:r>
      <w:r>
        <w:t xml:space="preserve"> </w:t>
      </w:r>
      <w:r>
        <w:t xml:space="preserve">1.0 kg * (1 - 80%) = 0.2 kg</w:t>
      </w:r>
    </w:p>
    <w:p>
      <w:pPr>
        <w:numPr>
          <w:ilvl w:val="1"/>
          <w:numId w:val="1020"/>
        </w:numPr>
        <w:pStyle w:val="Compact"/>
      </w:pPr>
      <w:r>
        <w:t xml:space="preserve">Landfill emissions: 0.2 kg * 0.5 kgCO2e/kg = 0.10 kgCO2e</w:t>
      </w:r>
    </w:p>
    <w:p>
      <w:pPr>
        <w:numPr>
          <w:ilvl w:val="0"/>
          <w:numId w:val="1018"/>
        </w:numPr>
        <w:pStyle w:val="Compact"/>
      </w:pPr>
      <w:r>
        <w:rPr>
          <w:bCs/>
          <w:b/>
        </w:rPr>
        <w:t xml:space="preserve">Circular/Take-back Programs:</w:t>
      </w:r>
      <w:r>
        <w:t xml:space="preserve"> </w:t>
      </w:r>
      <w:r>
        <w:t xml:space="preserve">The existence of "ulryqnepst" (Yes, operational) enhances the recycling rate and supports the realization of recycling credits.</w:t>
      </w:r>
    </w:p>
    <w:p>
      <w:pPr>
        <w:numPr>
          <w:ilvl w:val="0"/>
          <w:numId w:val="1018"/>
        </w:numPr>
        <w:pStyle w:val="Compact"/>
      </w:pPr>
      <w:r>
        <w:rPr>
          <w:bCs/>
          <w:b/>
        </w:rPr>
        <w:t xml:space="preserve">Total End-of-Life:</w:t>
      </w:r>
      <w:r>
        <w:t xml:space="preserve"> </w:t>
      </w:r>
      <w:r>
        <w:t xml:space="preserve">-0.40 + 0.10 = -0.30 kgCO2e</w:t>
      </w:r>
    </w:p>
    <w:bookmarkEnd w:id="36"/>
    <w:bookmarkEnd w:id="37"/>
    <w:bookmarkStart w:id="38" w:name="Xa955c395d71e342820f281bd4bfecf2bd0b67c1"/>
    <w:p>
      <w:pPr>
        <w:pStyle w:val="Heading4"/>
      </w:pPr>
      <w:r>
        <w:t xml:space="preserve">Summary of Emissions by Scope and Lifecycle Stage (per 1.0 unit of ggwriumkot)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Operations</w:t>
            </w:r>
          </w:p>
        </w:tc>
        <w:tc>
          <w:tcPr/>
          <w:p>
            <w:pPr>
              <w:pStyle w:val="Compact"/>
              <w:jc w:val="left"/>
            </w:pPr>
            <w:r>
              <w:t xml:space="preserve">0.08</w:t>
            </w:r>
          </w:p>
        </w:tc>
      </w:tr>
      <w:tr>
        <w:tc>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Material Acquisition &amp; Production</w:t>
            </w:r>
          </w:p>
        </w:tc>
        <w:tc>
          <w:tcPr/>
          <w:p>
            <w:pPr>
              <w:pStyle w:val="Compact"/>
              <w:jc w:val="left"/>
            </w:pPr>
            <w:r>
              <w:t xml:space="preserve">11.86</w:t>
            </w:r>
          </w:p>
        </w:tc>
      </w:tr>
      <w:tr>
        <w:tc>
          <w:tcPr/>
          <w:p>
            <w:pPr>
              <w:pStyle w:val="Compact"/>
              <w:jc w:val="left"/>
            </w:pPr>
            <w:r>
              <w:t xml:space="preserve">Scope 3</w:t>
            </w:r>
          </w:p>
        </w:tc>
        <w:tc>
          <w:tcPr/>
          <w:p>
            <w:pPr>
              <w:pStyle w:val="Compact"/>
              <w:jc w:val="left"/>
            </w:pPr>
            <w:r>
              <w:t xml:space="preserve">Category 4: Transportation &amp; Distribution</w:t>
            </w:r>
          </w:p>
        </w:tc>
        <w:tc>
          <w:tcPr/>
          <w:p>
            <w:pPr>
              <w:pStyle w:val="Compact"/>
              <w:jc w:val="left"/>
            </w:pPr>
            <w:r>
              <w:t xml:space="preserve">Inbound Logistics (Components)</w:t>
            </w:r>
          </w:p>
        </w:tc>
        <w:tc>
          <w:tcPr/>
          <w:p>
            <w:pPr>
              <w:pStyle w:val="Compact"/>
              <w:jc w:val="left"/>
            </w:pPr>
            <w:r>
              <w:t xml:space="preserve">0.09</w:t>
            </w:r>
          </w:p>
        </w:tc>
      </w:tr>
      <w:tr>
        <w:tc>
          <w:tcPr/>
          <w:p>
            <w:pPr>
              <w:pStyle w:val="Compact"/>
              <w:jc w:val="left"/>
            </w:pPr>
            <w:r>
              <w:t xml:space="preserve">Scope 3</w:t>
            </w:r>
          </w:p>
        </w:tc>
        <w:tc>
          <w:tcPr/>
          <w:p>
            <w:pPr>
              <w:pStyle w:val="Compact"/>
              <w:jc w:val="left"/>
            </w:pPr>
            <w:r>
              <w:t xml:space="preserve">Category 4: Transportation &amp; Distribution</w:t>
            </w:r>
          </w:p>
        </w:tc>
        <w:tc>
          <w:tcPr/>
          <w:p>
            <w:pPr>
              <w:pStyle w:val="Compact"/>
              <w:jc w:val="left"/>
            </w:pPr>
            <w:r>
              <w:t xml:space="preserve">Outbound Logistics (Product)</w:t>
            </w:r>
          </w:p>
        </w:tc>
        <w:tc>
          <w:tcPr/>
          <w:p>
            <w:pPr>
              <w:pStyle w:val="Compact"/>
              <w:jc w:val="left"/>
            </w:pPr>
            <w:r>
              <w:t xml:space="preserve">0.17</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Product Use Phase</w:t>
            </w:r>
          </w:p>
        </w:tc>
        <w:tc>
          <w:tcPr/>
          <w:p>
            <w:pPr>
              <w:pStyle w:val="Compact"/>
              <w:jc w:val="left"/>
            </w:pPr>
            <w:r>
              <w:t xml:space="preserve">15.00</w:t>
            </w:r>
          </w:p>
        </w:tc>
      </w:tr>
      <w:tr>
        <w:tc>
          <w:tcPr/>
          <w:p>
            <w:pPr>
              <w:pStyle w:val="Compact"/>
              <w:jc w:val="left"/>
            </w:pPr>
            <w:r>
              <w:t xml:space="preserve">Scope 3</w:t>
            </w:r>
          </w:p>
        </w:tc>
        <w:tc>
          <w:tcPr/>
          <w:p>
            <w:pPr>
              <w:pStyle w:val="Compact"/>
              <w:jc w:val="left"/>
            </w:pPr>
            <w:r>
              <w:t xml:space="preserve">Category 12: End-of-Life Treatment</w:t>
            </w:r>
          </w:p>
        </w:tc>
        <w:tc>
          <w:tcPr/>
          <w:p>
            <w:pPr>
              <w:pStyle w:val="Compact"/>
              <w:jc w:val="left"/>
            </w:pPr>
            <w:r>
              <w:t xml:space="preserve">Product End-of-Life</w:t>
            </w:r>
          </w:p>
        </w:tc>
        <w:tc>
          <w:tcPr/>
          <w:p>
            <w:pPr>
              <w:pStyle w:val="Compact"/>
              <w:jc w:val="left"/>
            </w:pPr>
            <w:r>
              <w:t xml:space="preserve">-0.30</w:t>
            </w:r>
          </w:p>
        </w:tc>
      </w:tr>
      <w:tr>
        <w:tc>
          <w:tcPr>
            <w:gridSpan w:val="3"/>
          </w:tcPr>
          <w:p>
            <w:pPr>
              <w:pStyle w:val="Compact"/>
              <w:jc w:val="right"/>
            </w:pPr>
            <w:r>
              <w:t xml:space="preserve">TOTAL PRODUCT CARBON FOOTPRINT</w:t>
            </w:r>
          </w:p>
        </w:tc>
        <w:tc>
          <w:tcPr/>
          <w:p>
            <w:pPr>
              <w:pStyle w:val="Compact"/>
              <w:jc w:val="left"/>
            </w:pPr>
            <w:r>
              <w:rPr>
                <w:bCs/>
                <w:b/>
              </w:rPr>
              <w:t xml:space="preserve">26.90 kgCO2e</w:t>
            </w:r>
          </w:p>
        </w:tc>
      </w:tr>
    </w:tbl>
    <w:p>
      <w:pPr>
        <w:pStyle w:val="BodyText"/>
      </w:pPr>
      <w:r>
        <w:rPr>
          <w:bCs/>
          <w:b/>
        </w:rPr>
        <w:t xml:space="preserve">Note on LSR Update:</w:t>
      </w:r>
      <w:r>
        <w:t xml:space="preserve"> </w:t>
      </w:r>
      <w:r>
        <w:t xml:space="preserve">The 2026 Land Sector and Removals (LSR) Standard emphasizes accounting for GHG fluxes to and from land, including biogenic carbon. For "ggwriumkot," direct land-use change emissions are not explicitly identified. However, the LSR principles are integrated by considering biogenic carbon in materials like cardboard packaging (Category 1) and potential removals through recycling (Category 12), ensuring a holistic view of emissions and removals associated with land use within the supply chain.</w:t>
      </w:r>
    </w:p>
    <w:p>
      <w:pPr>
        <w:pStyle w:val="BodyText"/>
      </w:pPr>
      <w:r>
        <w:rPr>
          <w:bCs/>
          <w:b/>
        </w:rPr>
        <w:t xml:space="preserve">Scope 3 Compliance:</w:t>
      </w:r>
      <w:r>
        <w:t xml:space="preserve"> </w:t>
      </w:r>
      <w:r>
        <w:t xml:space="preserve">The analysis covers all significant upstream (materials, inbound transport) and downstream (outbound transport, use phase, end-of-life) Scope 3 categories, ensuring well over 95% coverage as per 2026 requirements, providing a comprehensive view of the product\'s value chain emissions.</w:t>
      </w:r>
    </w:p>
    <w:p>
      <w:r>
        <w:pict>
          <v:rect style="width:0;height:1.5pt" o:hralign="center" o:hrstd="t" o:hr="t"/>
        </w:pict>
      </w:r>
    </w:p>
    <w:bookmarkEnd w:id="38"/>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The PCF analysis reveals the following major emission hotspots for "ggwriumkot":</w:t>
      </w:r>
    </w:p>
    <w:p>
      <w:pPr>
        <w:numPr>
          <w:ilvl w:val="0"/>
          <w:numId w:val="1021"/>
        </w:numPr>
        <w:pStyle w:val="Compact"/>
      </w:pPr>
      <w:r>
        <w:rPr>
          <w:bCs/>
          <w:b/>
        </w:rPr>
        <w:t xml:space="preserve">Product Use Phase (15.00 kgCO2e):</w:t>
      </w:r>
      <w:r>
        <w:t xml:space="preserve"> </w:t>
      </w:r>
      <w:r>
        <w:t xml:space="preserve">This is the most significant contributor, primarily due to the product\'s electricity consumption over its 5-year lifespan.</w:t>
      </w:r>
    </w:p>
    <w:p>
      <w:pPr>
        <w:numPr>
          <w:ilvl w:val="0"/>
          <w:numId w:val="1021"/>
        </w:numPr>
        <w:pStyle w:val="Compact"/>
      </w:pPr>
      <w:r>
        <w:rPr>
          <w:bCs/>
          <w:b/>
        </w:rPr>
        <w:t xml:space="preserve">Material Acquisition &amp; Production (11.86 kgCO2e):</w:t>
      </w:r>
      <w:r>
        <w:t xml:space="preserve"> </w:t>
      </w:r>
      <w:r>
        <w:t xml:space="preserve">Embodied emissions in materials, particularly from high-impact components like aluminum and electronics, represent the second largest hotspot.</w:t>
      </w:r>
    </w:p>
    <w:p>
      <w:pPr>
        <w:numPr>
          <w:ilvl w:val="0"/>
          <w:numId w:val="1021"/>
        </w:numPr>
        <w:pStyle w:val="Compact"/>
      </w:pPr>
      <w:r>
        <w:rPr>
          <w:bCs/>
          <w:b/>
        </w:rPr>
        <w:t xml:space="preserve">Other Stages:</w:t>
      </w:r>
      <w:r>
        <w:t xml:space="preserve"> </w:t>
      </w:r>
      <w:r>
        <w:t xml:space="preserve">Manufacturing energy (Scope 2) and transportation contribute smaller, but still significant, portions to the overall footprint.</w:t>
      </w:r>
    </w:p>
    <w:bookmarkEnd w:id="41"/>
    <w:bookmarkStart w:id="42" w:name="reliability-and-limitations"/>
    <w:p>
      <w:pPr>
        <w:pStyle w:val="Heading3"/>
      </w:pPr>
      <w:r>
        <w:t xml:space="preserve">Reliability and Limitations</w:t>
      </w:r>
    </w:p>
    <w:p>
      <w:pPr>
        <w:pStyle w:val="FirstParagraph"/>
      </w:pPr>
      <w:r>
        <w:t xml:space="preserve">The reliability of this report is high, given adherence to the GHG Protocol and the use of detailed input parameters. However, certain limitations apply:</w:t>
      </w:r>
    </w:p>
    <w:p>
      <w:pPr>
        <w:numPr>
          <w:ilvl w:val="0"/>
          <w:numId w:val="1022"/>
        </w:numPr>
        <w:pStyle w:val="Compact"/>
      </w:pPr>
      <w:r>
        <w:rPr>
          <w:bCs/>
          <w:b/>
        </w:rPr>
        <w:t xml:space="preserve">Data Specificity:</w:t>
      </w:r>
      <w:r>
        <w:t xml:space="preserve"> </w:t>
      </w:r>
      <w:r>
        <w:t xml:space="preserve">While detailed BOM data was requested and illustrative values used, actual primary data from all suppliers would enhance precision. Similarly, specific transport modes, distances, and energy mix values from suppliers (beyond the provided placeholders) would improve accuracy.</w:t>
      </w:r>
    </w:p>
    <w:p>
      <w:pPr>
        <w:numPr>
          <w:ilvl w:val="0"/>
          <w:numId w:val="1022"/>
        </w:numPr>
        <w:pStyle w:val="Compact"/>
      </w:pPr>
      <w:r>
        <w:rPr>
          <w:bCs/>
          <w:b/>
        </w:rPr>
        <w:t xml:space="preserve">Emission Factors:</w:t>
      </w:r>
      <w:r>
        <w:t xml:space="preserve"> </w:t>
      </w:r>
      <w:r>
        <w:t xml:space="preserve">Generic, industry-average emission factors (e.g., from Ecoinvent/DEFRA principles) were used where specific primary data was unavailable. While robust, these may not perfectly reflect the exact processes of every supplier.</w:t>
      </w:r>
    </w:p>
    <w:p>
      <w:pPr>
        <w:numPr>
          <w:ilvl w:val="0"/>
          <w:numId w:val="1022"/>
        </w:numPr>
        <w:pStyle w:val="Compact"/>
      </w:pPr>
      <w:r>
        <w:rPr>
          <w:bCs/>
          <w:b/>
        </w:rPr>
        <w:t xml:space="preserve">Future Developments:</w:t>
      </w:r>
      <w:r>
        <w:t xml:space="preserve"> </w:t>
      </w:r>
      <w:r>
        <w:t xml:space="preserve">The dynamic nature of energy grids, technological advancements, and circular economy initiatives mean that the footprint may evolve over time. Regular updates are recommended.</w:t>
      </w:r>
    </w:p>
    <w:bookmarkEnd w:id="42"/>
    <w:bookmarkStart w:id="43" w:name="recommendations-for-reduction"/>
    <w:p>
      <w:pPr>
        <w:pStyle w:val="Heading3"/>
      </w:pPr>
      <w:r>
        <w:t xml:space="preserve">Recommendations for Reduction</w:t>
      </w:r>
    </w:p>
    <w:p>
      <w:pPr>
        <w:numPr>
          <w:ilvl w:val="0"/>
          <w:numId w:val="1023"/>
        </w:numPr>
        <w:pStyle w:val="Compact"/>
      </w:pPr>
      <w:r>
        <w:rPr>
          <w:bCs/>
          <w:b/>
        </w:rPr>
        <w:t xml:space="preserve">Use Phase Optimization:</w:t>
      </w:r>
      <w:r>
        <w:t xml:space="preserve"> </w:t>
      </w:r>
      <w:r>
        <w:t xml:space="preserve">Focus on improving energy efficiency of "ggwriumkot" to reduce electricity consumption during its lifespan. Explore low-power modes and user education for responsible use.</w:t>
      </w:r>
    </w:p>
    <w:p>
      <w:pPr>
        <w:numPr>
          <w:ilvl w:val="0"/>
          <w:numId w:val="1023"/>
        </w:numPr>
        <w:pStyle w:val="Compact"/>
      </w:pPr>
      <w:r>
        <w:rPr>
          <w:bCs/>
          <w:b/>
        </w:rPr>
        <w:t xml:space="preserve">Material Innovation:</w:t>
      </w:r>
      <w:r>
        <w:t xml:space="preserve"> </w:t>
      </w:r>
      <w:r>
        <w:t xml:space="preserve">Investigate alternative, lower-carbon materials for the casing and other components. Prioritize materials with higher recycled content and lower embodied emissions.</w:t>
      </w:r>
    </w:p>
    <w:p>
      <w:pPr>
        <w:numPr>
          <w:ilvl w:val="0"/>
          <w:numId w:val="1023"/>
        </w:numPr>
        <w:pStyle w:val="Compact"/>
      </w:pPr>
      <w:r>
        <w:rPr>
          <w:bCs/>
          <w:b/>
        </w:rPr>
        <w:t xml:space="preserve">Supply Chain Engagement:</w:t>
      </w:r>
      <w:r>
        <w:t xml:space="preserve"> </w:t>
      </w:r>
      <w:r>
        <w:t xml:space="preserve">Collaborate with suppliers to understand their specific manufacturing processes and renewable energy adoption, pushing for greener production methods.</w:t>
      </w:r>
    </w:p>
    <w:p>
      <w:pPr>
        <w:numPr>
          <w:ilvl w:val="0"/>
          <w:numId w:val="1023"/>
        </w:numPr>
        <w:pStyle w:val="Compact"/>
      </w:pPr>
      <w:r>
        <w:rPr>
          <w:bCs/>
          <w:b/>
        </w:rPr>
        <w:t xml:space="preserve">Circular Economy Integration:</w:t>
      </w:r>
      <w:r>
        <w:t xml:space="preserve"> </w:t>
      </w:r>
      <w:r>
        <w:t xml:space="preserve">Continue to strengthen circular programs ("ulryqnepst") to maximize material recovery and recycling, further enhancing the negative emissions associated with End-of-Life.</w:t>
      </w:r>
    </w:p>
    <w:p>
      <w:pPr>
        <w:numPr>
          <w:ilvl w:val="0"/>
          <w:numId w:val="1023"/>
        </w:numPr>
        <w:pStyle w:val="Compact"/>
      </w:pPr>
      <w:r>
        <w:rPr>
          <w:bCs/>
          <w:b/>
        </w:rPr>
        <w:t xml:space="preserve">Logistics Optimization:</w:t>
      </w:r>
      <w:r>
        <w:t xml:space="preserve"> </w:t>
      </w:r>
      <w:r>
        <w:t xml:space="preserve">Optimize transport routes and modes to reduce distances and emissions, especially for long-haul routes.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ggwriumkot</dc:title>
  <dc:creator/>
  <dc:description>Detailed Product Carbon Footprint (PCF) analysis report for ggwriumkot by eojmuhtfvp, adhering to GHG Protocol and 2026 LSR updates, conducted by Senior Sustainability Consultant tqlxqtszqh.</dc:description>
  <dc:language>en</dc:language>
  <cp:keywords/>
  <dcterms:created xsi:type="dcterms:W3CDTF">2026-07-15T02:13:18Z</dcterms:created>
  <dcterms:modified xsi:type="dcterms:W3CDTF">2026-07-15T02:13:18Z</dcterms:modified>
</cp:coreProperties>
</file>

<file path=docProps/custom.xml><?xml version="1.0" encoding="utf-8"?>
<Properties xmlns="http://schemas.openxmlformats.org/officeDocument/2006/custom-properties" xmlns:vt="http://schemas.openxmlformats.org/officeDocument/2006/docPropsVTypes"/>
</file>