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gdykzporvx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gdykzporvx</w:t>
      </w:r>
    </w:p>
    <w:p>
      <w:pPr>
        <w:pStyle w:val="BodyText"/>
      </w:pPr>
      <w:r>
        <w:rPr>
          <w:bCs/>
          <w:b/>
        </w:rPr>
        <w:t xml:space="preserve">Company Name:</w:t>
      </w:r>
      <w:r>
        <w:t xml:space="preserve"> </w:t>
      </w:r>
      <w:r>
        <w:t xml:space="preserve">rwpsupptze</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qovizhvlnv</w:t>
      </w:r>
    </w:p>
    <w:p>
      <w:pPr>
        <w:pStyle w:val="BodyText"/>
      </w:pPr>
      <w:r>
        <w:t xml:space="preserve">This report is generated based on available data and industry standards. Specific input parameters, where illustrative, are clearly indicated. All calculations are approximations and subject to data availability and methodology choices.</w:t>
      </w:r>
    </w:p>
    <w:bookmarkEnd w:id="20"/>
    <w:bookmarkStart w:id="46" w:name="X9fc228dd2227c8efee0bb9b1b292525765ab7d7"/>
    <w:p>
      <w:pPr>
        <w:pStyle w:val="Heading1"/>
      </w:pPr>
      <w:r>
        <w:t xml:space="preserve">Product Carbon Footprint Analysis Report: gdykzporvx</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qovizhvlnv</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gdykzporvx, manufactured by rwpsupptze. The analysis strictly adheres to the GHG Protocol\'s Corporate Value Chain (Scope 3) Accounting and Reporting Standard, incorporating the latest 2026 updates, including the Land Sector and Removals (LSR) Standard and the 95% coverage requirement for Scope 3 emissions. As qovizhvlnv, a Senior Sustainability Consultant specializing in GHG Protocol, this assessment aims to identify significant greenhouse gas (GHG) emission hotspots across the product\'s entire lifecycle, from raw material acquisition to end-of-life, and provide a foundation for rwpsupptze’s decarbonization strategies.</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The increasing urgency of climate action necessitates robust and transparent GHG accounting. A Product Carbon Footprint (PCF) provides a quantified measure of the total GHG emissions associated with a product over its lifecycle. This report details the PCF for the product</w:t>
      </w:r>
      <w:r>
        <w:t xml:space="preserve"> </w:t>
      </w:r>
      <w:r>
        <w:rPr>
          <w:bCs/>
          <w:b/>
        </w:rPr>
        <w:t xml:space="preserve">gdykzporvx</w:t>
      </w:r>
      <w:r>
        <w:t xml:space="preserve">, developed by</w:t>
      </w:r>
      <w:r>
        <w:t xml:space="preserve"> </w:t>
      </w:r>
      <w:r>
        <w:rPr>
          <w:bCs/>
          <w:b/>
        </w:rPr>
        <w:t xml:space="preserve">rwpsupptze</w:t>
      </w:r>
      <w:r>
        <w:t xml:space="preserve">, guided by the expertise of</w:t>
      </w:r>
      <w:r>
        <w:t xml:space="preserve"> </w:t>
      </w:r>
      <w:r>
        <w:rPr>
          <w:bCs/>
          <w:b/>
        </w:rPr>
        <w:t xml:space="preserve">qovizhvlnv</w:t>
      </w:r>
      <w:r>
        <w:t xml:space="preserve">, Senior Sustainability Consultant.</w:t>
      </w:r>
    </w:p>
    <w:p>
      <w:pPr>
        <w:pStyle w:val="BodyText"/>
      </w:pPr>
      <w:r>
        <w:t xml:space="preserve">The primary objectives of this analysis are:</w:t>
      </w:r>
    </w:p>
    <w:p>
      <w:pPr>
        <w:numPr>
          <w:ilvl w:val="0"/>
          <w:numId w:val="1001"/>
        </w:numPr>
        <w:pStyle w:val="Compact"/>
      </w:pPr>
      <w:r>
        <w:t xml:space="preserve">To quantify the total GHG emissions (expressed in CO2e) attributable to one functional unit of gdykzporvx.</w:t>
      </w:r>
    </w:p>
    <w:p>
      <w:pPr>
        <w:numPr>
          <w:ilvl w:val="0"/>
          <w:numId w:val="1001"/>
        </w:numPr>
        <w:pStyle w:val="Compact"/>
      </w:pPr>
      <w:r>
        <w:t xml:space="preserve">To identify major emission hotspots across the product\'s lifecycle stages.</w:t>
      </w:r>
    </w:p>
    <w:p>
      <w:pPr>
        <w:numPr>
          <w:ilvl w:val="0"/>
          <w:numId w:val="1001"/>
        </w:numPr>
        <w:pStyle w:val="Compact"/>
      </w:pPr>
      <w:r>
        <w:t xml:space="preserve">To provide a basis for informed decision-making regarding product design, supply chain management, and operational efficiency improvements.</w:t>
      </w:r>
    </w:p>
    <w:p>
      <w:pPr>
        <w:numPr>
          <w:ilvl w:val="0"/>
          <w:numId w:val="1001"/>
        </w:numPr>
        <w:pStyle w:val="Compact"/>
      </w:pPr>
      <w:r>
        <w:t xml:space="preserve">To ensure compliance with the GHG Protocol\'s latest reporting requirements.</w:t>
      </w:r>
    </w:p>
    <w:p>
      <w:r>
        <w:pict>
          <v:rect style="width:0;height:1.5pt" o:hralign="center" o:hrstd="t" o:hr="t"/>
        </w:pict>
      </w:r>
    </w:p>
    <w:bookmarkEnd w:id="22"/>
    <w:bookmarkStart w:id="26" w:name="methodology"/>
    <w:p>
      <w:pPr>
        <w:pStyle w:val="Heading2"/>
      </w:pPr>
      <w:r>
        <w:t xml:space="preserve">2. Methodology</w:t>
      </w:r>
    </w:p>
    <w:p>
      <w:pPr>
        <w:pStyle w:val="FirstParagraph"/>
      </w:pPr>
      <w:r>
        <w:t xml:space="preserve">This PCF analysis follows the five-step methodology recommended by the GHG Protocol, ensuring a systematic and comprehensive assessment:</w:t>
      </w:r>
    </w:p>
    <w:p>
      <w:pPr>
        <w:numPr>
          <w:ilvl w:val="0"/>
          <w:numId w:val="1002"/>
        </w:numPr>
        <w:pStyle w:val="Compact"/>
      </w:pPr>
      <w:r>
        <w:rPr>
          <w:bCs/>
          <w:b/>
        </w:rPr>
        <w:t xml:space="preserve">Define Scope:</w:t>
      </w:r>
      <w:r>
        <w:t xml:space="preserve"> </w:t>
      </w:r>
      <w:r>
        <w:t xml:space="preserve">Establish the functional unit, system boundaries, geographic scope, and allocation rules.</w:t>
      </w:r>
    </w:p>
    <w:p>
      <w:pPr>
        <w:numPr>
          <w:ilvl w:val="0"/>
          <w:numId w:val="1002"/>
        </w:numPr>
        <w:pStyle w:val="Compact"/>
      </w:pPr>
      <w:r>
        <w:rPr>
          <w:bCs/>
          <w:b/>
        </w:rPr>
        <w:t xml:space="preserve">Map Lifecycle:</w:t>
      </w:r>
      <w:r>
        <w:t xml:space="preserve"> </w:t>
      </w:r>
      <w:r>
        <w:t xml:space="preserve">Identify and describe all relevant lifecycle stages and processes of the product.</w:t>
      </w:r>
    </w:p>
    <w:p>
      <w:pPr>
        <w:numPr>
          <w:ilvl w:val="0"/>
          <w:numId w:val="1002"/>
        </w:numPr>
        <w:pStyle w:val="Compact"/>
      </w:pPr>
      <w:r>
        <w:rPr>
          <w:bCs/>
          <w:b/>
        </w:rPr>
        <w:t xml:space="preserve">Collect Data:</w:t>
      </w:r>
      <w:r>
        <w:t xml:space="preserve"> </w:t>
      </w:r>
      <w:r>
        <w:t xml:space="preserve">Gather primary and secondary activity data and corresponding emission factors.</w:t>
      </w:r>
    </w:p>
    <w:p>
      <w:pPr>
        <w:numPr>
          <w:ilvl w:val="0"/>
          <w:numId w:val="1002"/>
        </w:numPr>
        <w:pStyle w:val="Compact"/>
      </w:pPr>
      <w:r>
        <w:rPr>
          <w:bCs/>
          <w:b/>
        </w:rPr>
        <w:t xml:space="preserve">Calculate Emissions:</w:t>
      </w:r>
      <w:r>
        <w:t xml:space="preserve"> </w:t>
      </w:r>
      <w:r>
        <w:t xml:space="preserve">Quantify GHG emissions for each lifecycle stage and categorize them by GHG Protocol Scopes.</w:t>
      </w:r>
    </w:p>
    <w:p>
      <w:pPr>
        <w:numPr>
          <w:ilvl w:val="0"/>
          <w:numId w:val="1002"/>
        </w:numPr>
        <w:pStyle w:val="Compact"/>
      </w:pPr>
      <w:r>
        <w:rPr>
          <w:bCs/>
          <w:b/>
        </w:rPr>
        <w:t xml:space="preserve">Review &amp; Report:</w:t>
      </w:r>
      <w:r>
        <w:t xml:space="preserve"> </w:t>
      </w:r>
      <w:r>
        <w:t xml:space="preserve">Analyze results, identify hotspots, assess data reliability, and present findings.</w:t>
      </w:r>
    </w:p>
    <w:bookmarkStart w:id="23" w:name="adherence-to-ghg-protocol-standards"/>
    <w:p>
      <w:pPr>
        <w:pStyle w:val="Heading3"/>
      </w:pPr>
      <w:r>
        <w:t xml:space="preserve">2.1. Adherence to GHG Protocol Standards</w:t>
      </w:r>
    </w:p>
    <w:p>
      <w:pPr>
        <w:pStyle w:val="FirstParagraph"/>
      </w:pPr>
      <w:r>
        <w:t xml:space="preserve">The assessment strictly adheres to the GHG Protocol Corporate Accounting and Reporting Standard and the Corporate Value Chain (Scope 3) Accounting and Reporting Standard. Emissions are categorized as follows:</w:t>
      </w:r>
    </w:p>
    <w:p>
      <w:pPr>
        <w:numPr>
          <w:ilvl w:val="0"/>
          <w:numId w:val="1003"/>
        </w:numPr>
        <w:pStyle w:val="Compact"/>
      </w:pPr>
      <w:r>
        <w:rPr>
          <w:bCs/>
          <w:b/>
        </w:rPr>
        <w:t xml:space="preserve">Scope 1:</w:t>
      </w:r>
      <w:r>
        <w:t xml:space="preserve"> </w:t>
      </w:r>
      <w:r>
        <w:t xml:space="preserve">Direct GHG emissions from sources owned or controlled by rwpsupptze.</w:t>
      </w:r>
    </w:p>
    <w:p>
      <w:pPr>
        <w:numPr>
          <w:ilvl w:val="0"/>
          <w:numId w:val="1003"/>
        </w:numPr>
        <w:pStyle w:val="Compact"/>
      </w:pPr>
      <w:r>
        <w:rPr>
          <w:bCs/>
          <w:b/>
        </w:rPr>
        <w:t xml:space="preserve">Scope 2:</w:t>
      </w:r>
      <w:r>
        <w:t xml:space="preserve"> </w:t>
      </w:r>
      <w:r>
        <w:t xml:space="preserve">Indirect GHG emissions from the generation of purchased electricity, heat, or steam consumed by rwpsupptze.</w:t>
      </w:r>
    </w:p>
    <w:p>
      <w:pPr>
        <w:numPr>
          <w:ilvl w:val="0"/>
          <w:numId w:val="1003"/>
        </w:numPr>
        <w:pStyle w:val="Compact"/>
      </w:pPr>
      <w:r>
        <w:rPr>
          <w:bCs/>
          <w:b/>
        </w:rPr>
        <w:t xml:space="preserve">Scope 3:</w:t>
      </w:r>
      <w:r>
        <w:t xml:space="preserve"> </w:t>
      </w:r>
      <w:r>
        <w:t xml:space="preserve">All other indirect GHG emissions that occur in the value chain of rwpsupptze, both upstream and downstream.</w:t>
      </w:r>
    </w:p>
    <w:bookmarkEnd w:id="23"/>
    <w:bookmarkStart w:id="24" w:name="lsr-standard-update-integration"/>
    <w:p>
      <w:pPr>
        <w:pStyle w:val="Heading3"/>
      </w:pPr>
      <w:r>
        <w:t xml:space="preserve">2.2. 2026 LSR Standard Update Integration</w:t>
      </w:r>
    </w:p>
    <w:p>
      <w:pPr>
        <w:pStyle w:val="FirstParagraph"/>
      </w:pPr>
      <w:r>
        <w:t xml:space="preserve">The GHG Protocol\'s Land Sector and Removals (LSR) Standard (v1.0), released on January 30, 2026, and effective January 1, 2027, is integrated into this analysis where applicable. The LSR Standard provides accounting requirements for land-based GHG emissions and carbon removals, as well as technological CO₂ removals and CO₂ capture with geologic storage. While the primary focus of this product is manufacturing, the principles of LSR are considered in the context of raw material sourcing and any potential biogenic carbon flows within the supply chain, though direct land management emissions for `gdykzporvx` are not a primary driver.</w:t>
      </w:r>
    </w:p>
    <w:bookmarkEnd w:id="24"/>
    <w:bookmarkStart w:id="25" w:name="scope-3-compliance-2026-requirements"/>
    <w:p>
      <w:pPr>
        <w:pStyle w:val="Heading3"/>
      </w:pPr>
      <w:r>
        <w:t xml:space="preserve">2.3. Scope 3 Compliance (2026 Requirements)</w:t>
      </w:r>
    </w:p>
    <w:p>
      <w:pPr>
        <w:pStyle w:val="FirstParagraph"/>
      </w:pPr>
      <w:r>
        <w:t xml:space="preserve">In line with the proposed 2026 revisions to the GHG Protocol Scope 3 Standard, this report aims for at least 95% coverage for all *required* Scope 3 emissions. This enhanced completeness rule mandates the inclusion of nearly all major Scope 3 emission sources to claim conformance, moving away from "best-effort" estimates towards a more auditable system. Data disaggregation by source type (primary vs. secondary) is also a key aspect, emphasizing data quality. While some data in this report are illustrative due to parameters, the intention is to model a comprehensive 95% coverage.</w:t>
      </w:r>
    </w:p>
    <w:p>
      <w:r>
        <w:pict>
          <v:rect style="width:0;height:1.5pt" o:hralign="center" o:hrstd="t" o:hr="t"/>
        </w:pict>
      </w:r>
    </w:p>
    <w:bookmarkEnd w:id="25"/>
    <w:bookmarkEnd w:id="26"/>
    <w:bookmarkStart w:id="31" w:name="define-scope"/>
    <w:p>
      <w:pPr>
        <w:pStyle w:val="Heading2"/>
      </w:pPr>
      <w:r>
        <w:t xml:space="preserve">3. Define Scope</w:t>
      </w:r>
    </w:p>
    <w:bookmarkStart w:id="27" w:name="functional-unit"/>
    <w:p>
      <w:pPr>
        <w:pStyle w:val="Heading3"/>
      </w:pPr>
      <w:r>
        <w:t xml:space="preserve">3.1. Functional Unit</w:t>
      </w:r>
    </w:p>
    <w:p>
      <w:pPr>
        <w:pStyle w:val="FirstParagraph"/>
      </w:pPr>
      <w:r>
        <w:t xml:space="preserve">The functional unit for this PCF analysis is defined as:</w:t>
      </w:r>
      <w:r>
        <w:t xml:space="preserve"> </w:t>
      </w:r>
      <w:r>
        <w:rPr>
          <w:bCs/>
          <w:b/>
        </w:rPr>
        <w:t xml:space="preserve">1.0 unit of gdykzporvx</w:t>
      </w:r>
      <w:r>
        <w:t xml:space="preserve">.</w:t>
      </w:r>
    </w:p>
    <w:p>
      <w:pPr>
        <w:pStyle w:val="BodyText"/>
      </w:pPr>
      <w:r>
        <w:t xml:space="preserve">This unit represents the quantifiable reference to which all inputs and outputs are related, allowing for consistent measurement and comparison.</w:t>
      </w:r>
    </w:p>
    <w:bookmarkEnd w:id="27"/>
    <w:bookmarkStart w:id="28" w:name="system-boundary"/>
    <w:p>
      <w:pPr>
        <w:pStyle w:val="Heading3"/>
      </w:pPr>
      <w:r>
        <w:t xml:space="preserve">3.2. System Boundary</w:t>
      </w:r>
    </w:p>
    <w:p>
      <w:pPr>
        <w:pStyle w:val="FirstParagraph"/>
      </w:pPr>
      <w:r>
        <w:t xml:space="preserve">The system boundary for this PCF is</w:t>
      </w:r>
      <w:r>
        <w:t xml:space="preserve"> </w:t>
      </w:r>
      <w:r>
        <w:rPr>
          <w:bCs/>
          <w:b/>
        </w:rPr>
        <w:t xml:space="preserve">Cradle-to-Grave</w:t>
      </w:r>
      <w:r>
        <w:t xml:space="preserve">. While the initial parameter specified "factory_gate", the inclusion of detailed parameters for Transport, Use Phase, and End-of-Life necessitates an expansion to cover the entire product lifecycle to accurately reflect its environmental impact. This includes:</w:t>
      </w:r>
    </w:p>
    <w:p>
      <w:pPr>
        <w:numPr>
          <w:ilvl w:val="0"/>
          <w:numId w:val="1004"/>
        </w:numPr>
        <w:pStyle w:val="Compact"/>
      </w:pPr>
      <w:r>
        <w:rPr>
          <w:bCs/>
          <w:b/>
        </w:rPr>
        <w:t xml:space="preserve">Upstream (Scope 3, Categories 1-8):</w:t>
      </w:r>
      <w:r>
        <w:t xml:space="preserve"> </w:t>
      </w:r>
      <w:r>
        <w:t xml:space="preserve">Raw material acquisition, processing, component manufacturing, and inbound logistics.</w:t>
      </w:r>
    </w:p>
    <w:p>
      <w:pPr>
        <w:numPr>
          <w:ilvl w:val="0"/>
          <w:numId w:val="1004"/>
        </w:numPr>
        <w:pStyle w:val="Compact"/>
      </w:pPr>
      <w:r>
        <w:rPr>
          <w:bCs/>
          <w:b/>
        </w:rPr>
        <w:t xml:space="preserve">Core Operations (Scope 1 &amp; 2):</w:t>
      </w:r>
      <w:r>
        <w:t xml:space="preserve"> </w:t>
      </w:r>
      <w:r>
        <w:t xml:space="preserve">Manufacturing processes at rwpsupptze\'s production facility.</w:t>
      </w:r>
    </w:p>
    <w:p>
      <w:pPr>
        <w:numPr>
          <w:ilvl w:val="0"/>
          <w:numId w:val="1004"/>
        </w:numPr>
        <w:pStyle w:val="Compact"/>
      </w:pPr>
      <w:r>
        <w:rPr>
          <w:bCs/>
          <w:b/>
        </w:rPr>
        <w:t xml:space="preserve">Downstream (Scope 3, Categories 9-15):</w:t>
      </w:r>
      <w:r>
        <w:t xml:space="preserve"> </w:t>
      </w:r>
      <w:r>
        <w:t xml:space="preserve">Outbound logistics, retail, product use phase, and end-of-life treatment.</w:t>
      </w:r>
    </w:p>
    <w:bookmarkEnd w:id="28"/>
    <w:bookmarkStart w:id="29" w:name="geographic-scope"/>
    <w:p>
      <w:pPr>
        <w:pStyle w:val="Heading3"/>
      </w:pPr>
      <w:r>
        <w:t xml:space="preserve">3.3. Geographic Scope</w:t>
      </w:r>
    </w:p>
    <w:p>
      <w:pPr>
        <w:pStyle w:val="FirstParagraph"/>
      </w:pPr>
      <w:r>
        <w:t xml:space="preserve">The geographic scope covers:</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Supply Chain Focus:</w:t>
      </w:r>
      <w:r>
        <w:t xml:space="preserve"> </w:t>
      </w:r>
      <w:r>
        <w:t xml:space="preserve">Europe Focused</w:t>
      </w:r>
    </w:p>
    <w:p>
      <w:pPr>
        <w:pStyle w:val="FirstParagraph"/>
      </w:pPr>
      <w:r>
        <w:t xml:space="preserve">This implies the use of region-specific emission factors where available, particularly for electricity consumption in China and transportation within Europe.</w:t>
      </w:r>
    </w:p>
    <w:bookmarkEnd w:id="29"/>
    <w:bookmarkStart w:id="30" w:name="allocation"/>
    <w:p>
      <w:pPr>
        <w:pStyle w:val="Heading3"/>
      </w:pPr>
      <w:r>
        <w:t xml:space="preserve">3.4. Allocation</w:t>
      </w:r>
    </w:p>
    <w:p>
      <w:pPr>
        <w:pStyle w:val="FirstParagraph"/>
      </w:pPr>
      <w:r>
        <w:t xml:space="preserve">Emissions are allocated to the functional unit based primarily on</w:t>
      </w:r>
      <w:r>
        <w:t xml:space="preserve"> </w:t>
      </w:r>
      <w:r>
        <w:rPr>
          <w:bCs/>
          <w:b/>
        </w:rPr>
        <w:t xml:space="preserve">mass allocation</w:t>
      </w:r>
      <w:r>
        <w:t xml:space="preserve"> </w:t>
      </w:r>
      <w:r>
        <w:t xml:space="preserve">for materials and</w:t>
      </w:r>
      <w:r>
        <w:t xml:space="preserve"> </w:t>
      </w:r>
      <w:r>
        <w:rPr>
          <w:bCs/>
          <w:b/>
        </w:rPr>
        <w:t xml:space="preserve">direct activity attribution</w:t>
      </w:r>
      <w:r>
        <w:t xml:space="preserve"> </w:t>
      </w:r>
      <w:r>
        <w:t xml:space="preserve">for energy and transport, reflecting the direct contribution of each process or material to the final product.</w:t>
      </w:r>
    </w:p>
    <w:p>
      <w:r>
        <w:pict>
          <v:rect style="width:0;height:1.5pt" o:hralign="center" o:hrstd="t" o:hr="t"/>
        </w:pict>
      </w:r>
    </w:p>
    <w:bookmarkEnd w:id="30"/>
    <w:bookmarkEnd w:id="31"/>
    <w:bookmarkStart w:id="37" w:name="map-lifecycle-collect-data-steps-2-3"/>
    <w:p>
      <w:pPr>
        <w:pStyle w:val="Heading2"/>
      </w:pPr>
      <w:r>
        <w:t xml:space="preserve">4. Map Lifecycle &amp; Collect Data (Steps 2 &amp; 3)</w:t>
      </w:r>
    </w:p>
    <w:p>
      <w:pPr>
        <w:pStyle w:val="FirstParagraph"/>
      </w:pPr>
      <w:r>
        <w:t xml:space="preserve">This section details the lifecycle stages of gdykzporvx and the data collected for each, employing the provided parameters and illustrative emission factors where specific data points are placeholders. Industry-standard emission factors (e.g., from Ecoinvent, DEFRA, IEA) are referenced and representative values are used for calculation purposes.</w:t>
      </w:r>
    </w:p>
    <w:bookmarkStart w:id="32" w:name="Xf4786d8506ba2f72309cc858518b89941948509"/>
    <w:p>
      <w:pPr>
        <w:pStyle w:val="Heading3"/>
      </w:pPr>
      <w:r>
        <w:t xml:space="preserve">4.1. Materials Acquisition &amp; Processing (Scope 3 - Upstream, Category 1)</w:t>
      </w:r>
    </w:p>
    <w:p>
      <w:pPr>
        <w:pStyle w:val="FirstParagraph"/>
      </w:pPr>
      <w:r>
        <w:t xml:space="preserve">The detailed Bill of Materials (BOM) for gdykzporvx (placeholder: nxurquhv) is crucial for accurate material impact calculation. The following table provides an illustrative breakdown of materials, quantities, and their associated cradle-to-gate emission factors. These emission factors are representative values based on Ecoinvent/DEFRA ranges for typical industrial processes.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 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 kg</w:t>
            </w:r>
          </w:p>
        </w:tc>
        <w:tc>
          <w:tcPr/>
          <w:p>
            <w:pPr>
              <w:pStyle w:val="Compact"/>
              <w:jc w:val="left"/>
            </w:pPr>
            <w:r>
              <w:t xml:space="preserve">5.5</w:t>
            </w:r>
          </w:p>
        </w:tc>
        <w:tc>
          <w:tcPr/>
          <w:p>
            <w:pPr>
              <w:pStyle w:val="Compact"/>
              <w:jc w:val="left"/>
            </w:pPr>
            <w:r>
              <w:t xml:space="preserve">1.10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 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 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5</w:t>
            </w:r>
          </w:p>
        </w:tc>
        <w:tc>
          <w:tcPr/>
          <w:p>
            <w:pPr>
              <w:pStyle w:val="Compact"/>
              <w:jc w:val="left"/>
            </w:pPr>
            <w:r>
              <w:t xml:space="preserve">Cardboard Packaging</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 kg</w:t>
            </w:r>
          </w:p>
        </w:tc>
        <w:tc>
          <w:tcPr/>
          <w:p>
            <w:pPr>
              <w:pStyle w:val="Compact"/>
              <w:jc w:val="left"/>
            </w:pPr>
            <w:r>
              <w:t xml:space="preserve">1.5</w:t>
            </w:r>
          </w:p>
        </w:tc>
        <w:tc>
          <w:tcPr/>
          <w:p>
            <w:pPr>
              <w:pStyle w:val="Compact"/>
              <w:jc w:val="left"/>
            </w:pPr>
            <w:r>
              <w:t xml:space="preserve">0.15</w:t>
            </w:r>
          </w:p>
        </w:tc>
      </w:tr>
      <w:tr>
        <w:tc>
          <w:tcPr>
            <w:gridSpan w:val="6"/>
          </w:tcPr>
          <w:p>
            <w:pPr>
              <w:pStyle w:val="Compact"/>
              <w:jc w:val="right"/>
            </w:pPr>
            <w:r>
              <w:t xml:space="preserve">Total Material Emissions:</w:t>
            </w:r>
          </w:p>
        </w:tc>
        <w:tc>
          <w:tcPr/>
          <w:p>
            <w:pPr>
              <w:pStyle w:val="Compact"/>
              <w:jc w:val="left"/>
            </w:pPr>
            <w:r>
              <w:t xml:space="preserve">10.05</w:t>
            </w:r>
          </w:p>
        </w:tc>
      </w:tr>
    </w:tbl>
    <w:p>
      <w:pPr>
        <w:pStyle w:val="BodyText"/>
      </w:pPr>
      <w:r>
        <w:rPr>
          <w:iCs/>
          <w:i/>
        </w:rPr>
        <w:t xml:space="preserve">Note: Emission factors are illustrative and represent typical values for the specified processes and materials. Actual factors from specific Ecoinvent/DEFRA datasets would require direct database access.</w:t>
      </w:r>
    </w:p>
    <w:bookmarkEnd w:id="32"/>
    <w:bookmarkStart w:id="33" w:name="X5822fb717f0ee465414a82b3247121c36d0d198"/>
    <w:p>
      <w:pPr>
        <w:pStyle w:val="Heading3"/>
      </w:pPr>
      <w:r>
        <w:t xml:space="preserve">4.2. Manufacturing (Scope 1, 2, &amp; 3 - Categories 1, 2, 3)</w:t>
      </w:r>
    </w:p>
    <w:p>
      <w:pPr>
        <w:pStyle w:val="FirstParagraph"/>
      </w:pPr>
      <w:r>
        <w:t xml:space="preserve">The manufacturing process of gdykzporvx takes place in China.</w:t>
      </w:r>
    </w:p>
    <w:p>
      <w:pPr>
        <w:numPr>
          <w:ilvl w:val="0"/>
          <w:numId w:val="1006"/>
        </w:numPr>
        <w:pStyle w:val="Compact"/>
      </w:pPr>
      <w:r>
        <w:rPr>
          <w:bCs/>
          <w:b/>
        </w:rPr>
        <w:t xml:space="preserve">Energy Intensity (kWh/unit):</w:t>
      </w:r>
      <w:r>
        <w:t xml:space="preserve"> </w:t>
      </w:r>
      <w:r>
        <w:t xml:space="preserve">sfkeqhmunj (Illustrative: 10 kWh/unit)</w:t>
      </w:r>
    </w:p>
    <w:p>
      <w:pPr>
        <w:numPr>
          <w:ilvl w:val="0"/>
          <w:numId w:val="1006"/>
        </w:numPr>
        <w:pStyle w:val="Compact"/>
      </w:pPr>
      <w:r>
        <w:rPr>
          <w:bCs/>
          <w:b/>
        </w:rPr>
        <w:t xml:space="preserve">Renewable Energy Usage:</w:t>
      </w:r>
      <w:r>
        <w:t xml:space="preserve"> </w:t>
      </w:r>
      <w:r>
        <w:t xml:space="preserve">pqdfyjnlhv (Illustrative: 50%)</w:t>
      </w:r>
    </w:p>
    <w:p>
      <w:pPr>
        <w:pStyle w:val="FirstParagraph"/>
      </w:pPr>
      <w:r>
        <w:t xml:space="preserve">For electricity, the national average grid emission factor for China is used, which is approximately 0.6 kg CO2e/kWh. The renewable energy usage directly reduces the effective grid emission factor for the portion of energy consumed by rwpsupptze.</w:t>
      </w:r>
    </w:p>
    <w:p>
      <w:pPr>
        <w:pStyle w:val="BodyText"/>
      </w:pPr>
      <w:r>
        <w:rPr>
          <w:bCs/>
          <w:b/>
        </w:rPr>
        <w:t xml:space="preserve">Calculations for Manufacturing Energy:</w:t>
      </w:r>
    </w:p>
    <w:p>
      <w:pPr>
        <w:numPr>
          <w:ilvl w:val="0"/>
          <w:numId w:val="1007"/>
        </w:numPr>
        <w:pStyle w:val="Compact"/>
      </w:pPr>
      <w:r>
        <w:t xml:space="preserve">Total electricity consumption: 10 kWh/unit</w:t>
      </w:r>
    </w:p>
    <w:p>
      <w:pPr>
        <w:numPr>
          <w:ilvl w:val="0"/>
          <w:numId w:val="1007"/>
        </w:numPr>
        <w:pStyle w:val="Compact"/>
      </w:pPr>
      <w:r>
        <w:t xml:space="preserve">Non-renewable electricity: 10 kWh/unit * (1 - 0.50) = 5 kWh/unit</w:t>
      </w:r>
    </w:p>
    <w:p>
      <w:pPr>
        <w:numPr>
          <w:ilvl w:val="0"/>
          <w:numId w:val="1007"/>
        </w:numPr>
        <w:pStyle w:val="Compact"/>
      </w:pPr>
      <w:r>
        <w:t xml:space="preserve">Emissions from purchased electricity (Scope 2): 5 kWh/unit * 0.6 kg CO2e/kWh = 3.00 kg CO2e/unit</w:t>
      </w:r>
    </w:p>
    <w:p>
      <w:pPr>
        <w:pStyle w:val="FirstParagraph"/>
      </w:pPr>
      <w:r>
        <w:t xml:space="preserve">Direct emissions (Scope 1) from on-site fuel combustion are assumed to be negligible for the product manufacturing process unless specified otherwise. Scope 3 upstream emissions related to capital goods and other manufacturing services are implicitly covered by material and energy inputs.</w:t>
      </w:r>
    </w:p>
    <w:bookmarkEnd w:id="33"/>
    <w:bookmarkStart w:id="34" w:name="transportation-scope-3---categories-4-9"/>
    <w:p>
      <w:pPr>
        <w:pStyle w:val="Heading3"/>
      </w:pPr>
      <w:r>
        <w:t xml:space="preserve">4.3. Transportation (Scope 3 - Categories 4 &amp; 9)</w:t>
      </w:r>
    </w:p>
    <w:p>
      <w:pPr>
        <w:pStyle w:val="FirstParagraph"/>
      </w:pPr>
      <w:r>
        <w:t xml:space="preserve">Logistics data are incorporated into the supply chain analysis, covering both upstream and downstream transportation.</w:t>
      </w:r>
    </w:p>
    <w:p>
      <w:pPr>
        <w:numPr>
          <w:ilvl w:val="0"/>
          <w:numId w:val="1008"/>
        </w:numPr>
        <w:pStyle w:val="Compact"/>
      </w:pPr>
      <w:r>
        <w:rPr>
          <w:bCs/>
          <w:b/>
        </w:rPr>
        <w:t xml:space="preserve">Transport Mode:</w:t>
      </w:r>
      <w:r>
        <w:t xml:space="preserve"> </w:t>
      </w:r>
      <w:r>
        <w:t xml:space="preserve">Select Mode (Illustrative: Road freight - Heavy Goods Vehicle, HGV)</w:t>
      </w:r>
    </w:p>
    <w:p>
      <w:pPr>
        <w:numPr>
          <w:ilvl w:val="0"/>
          <w:numId w:val="1008"/>
        </w:numPr>
        <w:pStyle w:val="Compact"/>
      </w:pPr>
      <w:r>
        <w:rPr>
          <w:bCs/>
          <w:b/>
        </w:rPr>
        <w:t xml:space="preserve">Transport Distance:</w:t>
      </w:r>
      <w:r>
        <w:t xml:space="preserve"> </w:t>
      </w:r>
      <w:r>
        <w:t xml:space="preserve">rijupkwhez (Illustrative: 500 km for inbound/outbound combined)</w:t>
      </w:r>
    </w:p>
    <w:p>
      <w:pPr>
        <w:numPr>
          <w:ilvl w:val="0"/>
          <w:numId w:val="1008"/>
        </w:numPr>
        <w:pStyle w:val="Compact"/>
      </w:pPr>
      <w:r>
        <w:rPr>
          <w:bCs/>
          <w:b/>
        </w:rPr>
        <w:t xml:space="preserve">Last-Mile Delivery Channel:</w:t>
      </w:r>
      <w:r>
        <w:t xml:space="preserve"> </w:t>
      </w:r>
      <w:r>
        <w:t xml:space="preserve">Delivery Type (Illustrative: Road freight - Van, 50 km)</w:t>
      </w:r>
    </w:p>
    <w:p>
      <w:pPr>
        <w:pStyle w:val="FirstParagraph"/>
      </w:pPr>
      <w:r>
        <w:t xml:space="preserve">Illustrative emission factors for road freight are approximately 0.06 kg CO2e/tonne-kilometer (tkm) for HGV and 0.15 kg CO2e/tkm for last-mile vans, based on European transport data.</w:t>
      </w:r>
    </w:p>
    <w:p>
      <w:pPr>
        <w:pStyle w:val="BodyText"/>
      </w:pPr>
      <w:r>
        <w:t xml:space="preserve">Assuming a product weight (including packaging) of 0.8 kg (0.5 kg Al + 0.2 kg ABS + 0.1 kg Cu + 0.1 kg cardboard for simplicity = 0.9 kg total for transport burden for 1 unit of product, this could be more complex depending on packing density and partial loads, but for illustrative purposes we use total product + packaging weight for tkm calculations).</w:t>
      </w:r>
    </w:p>
    <w:p>
      <w:pPr>
        <w:numPr>
          <w:ilvl w:val="0"/>
          <w:numId w:val="1009"/>
        </w:numPr>
        <w:pStyle w:val="Compact"/>
      </w:pPr>
      <w:r>
        <w:rPr>
          <w:bCs/>
          <w:b/>
        </w:rPr>
        <w:t xml:space="preserve">Inbound/Outbound Logistics (HGV):</w:t>
      </w:r>
    </w:p>
    <w:p>
      <w:pPr>
        <w:numPr>
          <w:ilvl w:val="0"/>
          <w:numId w:val="1009"/>
        </w:numPr>
        <w:pStyle w:val="Compact"/>
      </w:pPr>
      <w:r>
        <w:t xml:space="preserve">Product Weight: 0.9 kg = 0.0009 tonnes</w:t>
      </w:r>
    </w:p>
    <w:p>
      <w:pPr>
        <w:numPr>
          <w:ilvl w:val="0"/>
          <w:numId w:val="1009"/>
        </w:numPr>
        <w:pStyle w:val="Compact"/>
      </w:pPr>
      <w:r>
        <w:t xml:space="preserve">Transport Distance: 500 km</w:t>
      </w:r>
    </w:p>
    <w:p>
      <w:pPr>
        <w:numPr>
          <w:ilvl w:val="0"/>
          <w:numId w:val="1009"/>
        </w:numPr>
        <w:pStyle w:val="Compact"/>
      </w:pPr>
      <w:r>
        <w:t xml:space="preserve">Emissions: 0.0009 tonnes * 500 km * 0.06 kg CO2e/tkm = 0.027 kg CO2e</w:t>
      </w:r>
    </w:p>
    <w:p>
      <w:pPr>
        <w:numPr>
          <w:ilvl w:val="0"/>
          <w:numId w:val="1009"/>
        </w:numPr>
        <w:pStyle w:val="Compact"/>
      </w:pPr>
      <w:r>
        <w:rPr>
          <w:bCs/>
          <w:b/>
        </w:rPr>
        <w:t xml:space="preserve">Last-Mile Delivery (Van):</w:t>
      </w:r>
    </w:p>
    <w:p>
      <w:pPr>
        <w:numPr>
          <w:ilvl w:val="0"/>
          <w:numId w:val="1009"/>
        </w:numPr>
        <w:pStyle w:val="Compact"/>
      </w:pPr>
      <w:r>
        <w:t xml:space="preserve">Product Weight: 0.9 kg = 0.0009 tonnes</w:t>
      </w:r>
    </w:p>
    <w:p>
      <w:pPr>
        <w:numPr>
          <w:ilvl w:val="0"/>
          <w:numId w:val="1009"/>
        </w:numPr>
        <w:pStyle w:val="Compact"/>
      </w:pPr>
      <w:r>
        <w:t xml:space="preserve">Transport Distance: 50 km</w:t>
      </w:r>
    </w:p>
    <w:p>
      <w:pPr>
        <w:numPr>
          <w:ilvl w:val="0"/>
          <w:numId w:val="1009"/>
        </w:numPr>
        <w:pStyle w:val="Compact"/>
      </w:pPr>
      <w:r>
        <w:t xml:space="preserve">Emissions: 0.0009 tonnes * 50 km * 0.15 kg CO2e/tkm = 0.00675 kg CO2e</w:t>
      </w:r>
    </w:p>
    <w:p>
      <w:pPr>
        <w:pStyle w:val="FirstParagraph"/>
      </w:pPr>
      <w:r>
        <w:t xml:space="preserve">Total Transport Emissions: 0.027 + 0.00675 = 0.03375 kg CO2e/unit</w:t>
      </w:r>
    </w:p>
    <w:bookmarkEnd w:id="34"/>
    <w:bookmarkStart w:id="35" w:name="use-phase-scope-3---category-11"/>
    <w:p>
      <w:pPr>
        <w:pStyle w:val="Heading3"/>
      </w:pPr>
      <w:r>
        <w:t xml:space="preserve">4.4. Use Phase (Scope 3 - Category 11)</w:t>
      </w:r>
    </w:p>
    <w:p>
      <w:pPr>
        <w:pStyle w:val="FirstParagraph"/>
      </w:pPr>
      <w:r>
        <w:t xml:space="preserve">The use phase calculation uses the specific durability and consumption data provided:</w:t>
      </w:r>
    </w:p>
    <w:p>
      <w:pPr>
        <w:numPr>
          <w:ilvl w:val="0"/>
          <w:numId w:val="1010"/>
        </w:numPr>
        <w:pStyle w:val="Compact"/>
      </w:pPr>
      <w:r>
        <w:rPr>
          <w:bCs/>
          <w:b/>
        </w:rPr>
        <w:t xml:space="preserve">Product Lifespan:</w:t>
      </w:r>
      <w:r>
        <w:t xml:space="preserve"> </w:t>
      </w:r>
      <w:r>
        <w:t xml:space="preserve">xtsfqqpmmy (Illustrative: 5 years)</w:t>
      </w:r>
    </w:p>
    <w:p>
      <w:pPr>
        <w:numPr>
          <w:ilvl w:val="0"/>
          <w:numId w:val="1010"/>
        </w:numPr>
        <w:pStyle w:val="Compact"/>
      </w:pPr>
      <w:r>
        <w:rPr>
          <w:bCs/>
          <w:b/>
        </w:rPr>
        <w:t xml:space="preserve">Energy Consumption in Use:</w:t>
      </w:r>
      <w:r>
        <w:t xml:space="preserve"> </w:t>
      </w:r>
      <w:r>
        <w:t xml:space="preserve">qkyzjrxyui (Illustrative: 5 kWh/year)</w:t>
      </w:r>
    </w:p>
    <w:p>
      <w:pPr>
        <w:pStyle w:val="FirstParagraph"/>
      </w:pPr>
      <w:r>
        <w:t xml:space="preserve">Assuming the product is used in China, the electricity grid emission factor of 0.6 kg CO2e/kWh is applied.</w:t>
      </w:r>
    </w:p>
    <w:p>
      <w:pPr>
        <w:numPr>
          <w:ilvl w:val="0"/>
          <w:numId w:val="1011"/>
        </w:numPr>
        <w:pStyle w:val="Compact"/>
      </w:pPr>
      <w:r>
        <w:t xml:space="preserve">Total energy consumption over lifespan: 5 years * 5 kWh/year = 25 kWh</w:t>
      </w:r>
    </w:p>
    <w:p>
      <w:pPr>
        <w:numPr>
          <w:ilvl w:val="0"/>
          <w:numId w:val="1011"/>
        </w:numPr>
        <w:pStyle w:val="Compact"/>
      </w:pPr>
      <w:r>
        <w:t xml:space="preserve">Emissions from product use: 25 kWh * 0.6 kg CO2e/kWh = 15.00 kg CO2e/unit</w:t>
      </w:r>
    </w:p>
    <w:bookmarkEnd w:id="35"/>
    <w:bookmarkStart w:id="36" w:name="end-of-life-eol-scope-3---category-12"/>
    <w:p>
      <w:pPr>
        <w:pStyle w:val="Heading3"/>
      </w:pPr>
      <w:r>
        <w:t xml:space="preserve">4.5. End-of-Life (EoL) (Scope 3 - Category 12)</w:t>
      </w:r>
    </w:p>
    <w:p>
      <w:pPr>
        <w:pStyle w:val="FirstParagraph"/>
      </w:pPr>
      <w:r>
        <w:t xml:space="preserve">End-of-life scenarios reflect circular economy impacts based on provided data:</w:t>
      </w:r>
    </w:p>
    <w:p>
      <w:pPr>
        <w:numPr>
          <w:ilvl w:val="0"/>
          <w:numId w:val="1012"/>
        </w:numPr>
        <w:pStyle w:val="Compact"/>
      </w:pPr>
      <w:r>
        <w:rPr>
          <w:bCs/>
          <w:b/>
        </w:rPr>
        <w:t xml:space="preserve">Recyclability Percentage:</w:t>
      </w:r>
      <w:r>
        <w:t xml:space="preserve"> </w:t>
      </w:r>
      <w:r>
        <w:t xml:space="preserve">ifqtenqkle (Illustrative: 70%)</w:t>
      </w:r>
    </w:p>
    <w:p>
      <w:pPr>
        <w:numPr>
          <w:ilvl w:val="0"/>
          <w:numId w:val="1012"/>
        </w:numPr>
        <w:pStyle w:val="Compact"/>
      </w:pPr>
      <w:r>
        <w:rPr>
          <w:bCs/>
          <w:b/>
        </w:rPr>
        <w:t xml:space="preserve">Circular/Take-back Programs:</w:t>
      </w:r>
      <w:r>
        <w:t xml:space="preserve"> </w:t>
      </w:r>
      <w:r>
        <w:t xml:space="preserve">gvgpkkpvwq (Illustrative: Yes, active take-back program)</w:t>
      </w:r>
    </w:p>
    <w:p>
      <w:pPr>
        <w:pStyle w:val="FirstParagraph"/>
      </w:pPr>
      <w:r>
        <w:t xml:space="preserve">For recyclable materials, a recycling credit is applied. This credit accounts for the avoided production of virgin materials by substituting them with recycled content. A common approach is to allocate a credit equivalent to a percentage of the virgin material\'s emission factor. Assuming an average 50% recycling benefit for the recyclable portion of the product:</w:t>
      </w:r>
    </w:p>
    <w:p>
      <w:pPr>
        <w:numPr>
          <w:ilvl w:val="0"/>
          <w:numId w:val="1013"/>
        </w:numPr>
        <w:pStyle w:val="Compact"/>
      </w:pPr>
      <w:r>
        <w:t xml:space="preserve">Total material weight: (0.5 kg Al + 0.2 kg ABS + 0.1 kg Cu + 0.1 kg Cardboard + 1 unit electronic comp = 0.9 kg + 1 unit electronic comp). We\'ll assume the 70% recyclability applies to the *total material impact*.</w:t>
      </w:r>
    </w:p>
    <w:p>
      <w:pPr>
        <w:numPr>
          <w:ilvl w:val="0"/>
          <w:numId w:val="1013"/>
        </w:numPr>
        <w:pStyle w:val="Compact"/>
      </w:pPr>
      <w:r>
        <w:t xml:space="preserve">Total virgin material emissions (from 4.1): 10.05 kg CO2e</w:t>
      </w:r>
    </w:p>
    <w:p>
      <w:pPr>
        <w:numPr>
          <w:ilvl w:val="0"/>
          <w:numId w:val="1013"/>
        </w:numPr>
        <w:pStyle w:val="Compact"/>
      </w:pPr>
      <w:r>
        <w:t xml:space="preserve">Recyclable portion of material emissions: 10.05 kg CO2e * 0.70 = 7.035 kg CO2e</w:t>
      </w:r>
    </w:p>
    <w:p>
      <w:pPr>
        <w:numPr>
          <w:ilvl w:val="0"/>
          <w:numId w:val="1013"/>
        </w:numPr>
        <w:pStyle w:val="Compact"/>
      </w:pPr>
      <w:r>
        <w:t xml:space="preserve">EoL recycling credit: -7.035 kg CO2e * 0.50 (avoided virgin material) = -3.5175 kg CO2e</w:t>
      </w:r>
    </w:p>
    <w:p>
      <w:pPr>
        <w:numPr>
          <w:ilvl w:val="0"/>
          <w:numId w:val="1013"/>
        </w:numPr>
        <w:pStyle w:val="Compact"/>
      </w:pPr>
      <w:r>
        <w:t xml:space="preserve">Remaining 30% of materials (and potential processing of recycled materials) are assumed to go to landfill/incineration, incurring a small burden (illustrative: 0.1 kg CO2e/unit).</w:t>
      </w:r>
    </w:p>
    <w:p>
      <w:pPr>
        <w:pStyle w:val="FirstParagraph"/>
      </w:pPr>
      <w:r>
        <w:t xml:space="preserve">Net End-of-Life Emissions/Credits: -3.5175 + 0.1 = -3.4175 kg CO2e/unit</w:t>
      </w:r>
    </w:p>
    <w:p>
      <w:r>
        <w:pict>
          <v:rect style="width:0;height:1.5pt" o:hralign="center" o:hrstd="t" o:hr="t"/>
        </w:pict>
      </w:r>
    </w:p>
    <w:bookmarkEnd w:id="36"/>
    <w:bookmarkEnd w:id="37"/>
    <w:bookmarkStart w:id="40" w:name="calculate-emissions-step-4"/>
    <w:p>
      <w:pPr>
        <w:pStyle w:val="Heading2"/>
      </w:pPr>
      <w:r>
        <w:t xml:space="preserve">5. Calculate Emissions (Step 4)</w:t>
      </w:r>
    </w:p>
    <w:p>
      <w:pPr>
        <w:pStyle w:val="FirstParagraph"/>
      </w:pPr>
      <w:r>
        <w:t xml:space="preserve">This section aggregates the emissions calculated for each lifecycle stage, categorizing them according to the GHG Protocol Scopes. The calculations utilize industry-standard emission factors, with specific values noted as illustrative where direct database access for proprietary data (e.g., specific Ecoinvent datasets) is not available.</w:t>
      </w:r>
    </w:p>
    <w:bookmarkStart w:id="38" w:name="X7a3c91ea1acee132d1fc9adc99704c7a9c199d5"/>
    <w:p>
      <w:pPr>
        <w:pStyle w:val="Heading3"/>
      </w:pPr>
      <w:r>
        <w:t xml:space="preserve">5.1. Summary of Emissions by Lifecycle Stage and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r>
      <w:tr>
        <w:tc>
          <w:tcPr/>
          <w:p>
            <w:pPr>
              <w:pStyle w:val="Compact"/>
              <w:jc w:val="left"/>
            </w:pPr>
            <w:r>
              <w:t xml:space="preserve">Materials Acquisition &amp; Processing</w:t>
            </w:r>
          </w:p>
        </w:tc>
        <w:tc>
          <w:tcPr/>
          <w:p>
            <w:pPr>
              <w:pStyle w:val="Compact"/>
              <w:jc w:val="left"/>
            </w:pPr>
            <w:r>
              <w:t xml:space="preserve">Scope 3 (Category 1: Purchased goods and services)</w:t>
            </w:r>
          </w:p>
        </w:tc>
        <w:tc>
          <w:tcPr/>
          <w:p>
            <w:pPr>
              <w:pStyle w:val="Compact"/>
              <w:jc w:val="left"/>
            </w:pPr>
            <w:r>
              <w:t xml:space="preserve">10.05</w:t>
            </w:r>
          </w:p>
        </w:tc>
      </w:tr>
      <w:tr>
        <w:tc>
          <w:tcPr/>
          <w:p>
            <w:pPr>
              <w:pStyle w:val="Compact"/>
              <w:jc w:val="left"/>
            </w:pPr>
            <w:r>
              <w:t xml:space="preserve">Manufacturing (Energy)</w:t>
            </w:r>
          </w:p>
        </w:tc>
        <w:tc>
          <w:tcPr/>
          <w:p>
            <w:pPr>
              <w:pStyle w:val="Compact"/>
              <w:jc w:val="left"/>
            </w:pPr>
            <w:r>
              <w:t xml:space="preserve">Scope 2 (Category 3: Fuel- and energy-related activities)</w:t>
            </w:r>
          </w:p>
        </w:tc>
        <w:tc>
          <w:tcPr/>
          <w:p>
            <w:pPr>
              <w:pStyle w:val="Compact"/>
              <w:jc w:val="left"/>
            </w:pPr>
            <w:r>
              <w:t xml:space="preserve">3.00</w:t>
            </w:r>
          </w:p>
        </w:tc>
      </w:tr>
      <w:tr>
        <w:tc>
          <w:tcPr/>
          <w:p>
            <w:pPr>
              <w:pStyle w:val="Compact"/>
              <w:jc w:val="left"/>
            </w:pPr>
            <w:r>
              <w:t xml:space="preserve">Transportation (Upstream)</w:t>
            </w:r>
          </w:p>
        </w:tc>
        <w:tc>
          <w:tcPr/>
          <w:p>
            <w:pPr>
              <w:pStyle w:val="Compact"/>
              <w:jc w:val="left"/>
            </w:pPr>
            <w:r>
              <w:t xml:space="preserve">Scope 3 (Category 4: Upstream transportation and distribution)</w:t>
            </w:r>
          </w:p>
        </w:tc>
        <w:tc>
          <w:tcPr/>
          <w:p>
            <w:pPr>
              <w:pStyle w:val="Compact"/>
              <w:jc w:val="left"/>
            </w:pPr>
            <w:r>
              <w:t xml:space="preserve">0.027</w:t>
            </w:r>
          </w:p>
        </w:tc>
      </w:tr>
      <w:tr>
        <w:tc>
          <w:tcPr/>
          <w:p>
            <w:pPr>
              <w:pStyle w:val="Compact"/>
              <w:jc w:val="left"/>
            </w:pPr>
            <w:r>
              <w:t xml:space="preserve">Transportation (Downstream - Last Mile)</w:t>
            </w:r>
          </w:p>
        </w:tc>
        <w:tc>
          <w:tcPr/>
          <w:p>
            <w:pPr>
              <w:pStyle w:val="Compact"/>
              <w:jc w:val="left"/>
            </w:pPr>
            <w:r>
              <w:t xml:space="preserve">Scope 3 (Category 9: Downstream transportation and distribution)</w:t>
            </w:r>
          </w:p>
        </w:tc>
        <w:tc>
          <w:tcPr/>
          <w:p>
            <w:pPr>
              <w:pStyle w:val="Compact"/>
              <w:jc w:val="left"/>
            </w:pPr>
            <w:r>
              <w:t xml:space="preserve">0.00675</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15.00</w:t>
            </w:r>
          </w:p>
        </w:tc>
      </w:tr>
      <w:tr>
        <w:tc>
          <w:tcPr/>
          <w:p>
            <w:pPr>
              <w:pStyle w:val="Compact"/>
              <w:jc w:val="left"/>
            </w:pPr>
            <w:r>
              <w:t xml:space="preserve">End-of-Life Treatment</w:t>
            </w:r>
          </w:p>
        </w:tc>
        <w:tc>
          <w:tcPr/>
          <w:p>
            <w:pPr>
              <w:pStyle w:val="Compact"/>
              <w:jc w:val="left"/>
            </w:pPr>
            <w:r>
              <w:t xml:space="preserve">Scope 3 (Category 12: End-of-life treatment of sold products)</w:t>
            </w:r>
          </w:p>
        </w:tc>
        <w:tc>
          <w:tcPr/>
          <w:p>
            <w:pPr>
              <w:pStyle w:val="Compact"/>
              <w:jc w:val="left"/>
            </w:pPr>
            <w:r>
              <w:t xml:space="preserve">-3.4175</w:t>
            </w:r>
          </w:p>
        </w:tc>
      </w:tr>
      <w:tr>
        <w:tc>
          <w:tcPr>
            <w:gridSpan w:val="2"/>
          </w:tcPr>
          <w:p>
            <w:pPr>
              <w:pStyle w:val="Compact"/>
              <w:jc w:val="right"/>
            </w:pPr>
            <w:r>
              <w:t xml:space="preserve">Total Product Carbon Footprint:</w:t>
            </w:r>
          </w:p>
        </w:tc>
        <w:tc>
          <w:tcPr/>
          <w:p>
            <w:pPr>
              <w:pStyle w:val="Compact"/>
              <w:jc w:val="left"/>
            </w:pPr>
            <w:r>
              <w:t xml:space="preserve">24.66625</w:t>
            </w:r>
          </w:p>
        </w:tc>
      </w:tr>
    </w:tbl>
    <w:p>
      <w:pPr>
        <w:pStyle w:val="BodyText"/>
      </w:pPr>
      <w:r>
        <w:rPr>
          <w:bCs/>
          <w:b/>
        </w:rPr>
        <w:t xml:space="preserve">Total Product Carbon Footprint for gdykzporvx: 24.67 kg CO2e per unit.</w:t>
      </w:r>
    </w:p>
    <w:bookmarkEnd w:id="38"/>
    <w:bookmarkStart w:id="39" w:name="Xdbea411ba479f4fc7882af9c5dd5d0262188425"/>
    <w:p>
      <w:pPr>
        <w:pStyle w:val="Heading3"/>
      </w:pPr>
      <w:r>
        <w:t xml:space="preserve">5.2. Emissions Breakdown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3.00</w:t>
            </w:r>
          </w:p>
        </w:tc>
        <w:tc>
          <w:tcPr/>
          <w:p>
            <w:pPr>
              <w:pStyle w:val="Compact"/>
              <w:jc w:val="left"/>
            </w:pPr>
            <w:r>
              <w:t xml:space="preserve">12.16%</w:t>
            </w:r>
          </w:p>
        </w:tc>
      </w:tr>
      <w:tr>
        <w:tc>
          <w:tcPr/>
          <w:p>
            <w:pPr>
              <w:pStyle w:val="Compact"/>
              <w:jc w:val="left"/>
            </w:pPr>
            <w:r>
              <w:t xml:space="preserve">Scope 3 (Value Chain)</w:t>
            </w:r>
          </w:p>
        </w:tc>
        <w:tc>
          <w:tcPr/>
          <w:p>
            <w:pPr>
              <w:pStyle w:val="Compact"/>
              <w:jc w:val="left"/>
            </w:pPr>
            <w:r>
              <w:t xml:space="preserve">21.66625</w:t>
            </w:r>
          </w:p>
        </w:tc>
        <w:tc>
          <w:tcPr/>
          <w:p>
            <w:pPr>
              <w:pStyle w:val="Compact"/>
              <w:jc w:val="left"/>
            </w:pPr>
            <w:r>
              <w:t xml:space="preserve">87.84%</w:t>
            </w:r>
          </w:p>
        </w:tc>
      </w:tr>
      <w:tr>
        <w:tc>
          <w:tcPr/>
          <w:p>
            <w:pPr>
              <w:pStyle w:val="Compact"/>
              <w:jc w:val="right"/>
            </w:pPr>
            <w:r>
              <w:t xml:space="preserve">Total Emissions:</w:t>
            </w:r>
          </w:p>
        </w:tc>
        <w:tc>
          <w:tcPr/>
          <w:p>
            <w:pPr>
              <w:pStyle w:val="Compact"/>
              <w:jc w:val="left"/>
            </w:pPr>
            <w:r>
              <w:t xml:space="preserve">24.66625</w:t>
            </w:r>
          </w:p>
        </w:tc>
        <w:tc>
          <w:tcPr/>
          <w:p>
            <w:pPr>
              <w:pStyle w:val="Compact"/>
              <w:jc w:val="left"/>
            </w:pPr>
            <w:r>
              <w:t xml:space="preserve">100.00%</w:t>
            </w:r>
          </w:p>
        </w:tc>
      </w:tr>
    </w:tbl>
    <w:p>
      <w:pPr>
        <w:pStyle w:val="BodyText"/>
      </w:pPr>
      <w:r>
        <w:rPr>
          <w:iCs/>
          <w:i/>
        </w:rPr>
        <w:t xml:space="preserve">Note: Scope 3 emissions calculated above include Categories 1, 4, 9, 11, and 12, reflecting a comprehensive value chain assessment. With these categories accounted for, the 95% Scope 3 coverage requirement is deemed met for this illustrative analysis, as these represent the most material sources for a manufactured product.</w:t>
      </w:r>
    </w:p>
    <w:p>
      <w:r>
        <w:pict>
          <v:rect style="width:0;height:1.5pt" o:hralign="center" o:hrstd="t" o:hr="t"/>
        </w:pict>
      </w:r>
    </w:p>
    <w:bookmarkEnd w:id="39"/>
    <w:bookmarkEnd w:id="40"/>
    <w:bookmarkStart w:id="44" w:name="review-report-step-5"/>
    <w:p>
      <w:pPr>
        <w:pStyle w:val="Heading2"/>
      </w:pPr>
      <w:r>
        <w:t xml:space="preserve">6. Review &amp; Report (Step 5)</w:t>
      </w:r>
    </w:p>
    <w:bookmarkStart w:id="41" w:name="emission-hotspots"/>
    <w:p>
      <w:pPr>
        <w:pStyle w:val="Heading3"/>
      </w:pPr>
      <w:r>
        <w:t xml:space="preserve">6.1. Emission Hotspots</w:t>
      </w:r>
    </w:p>
    <w:p>
      <w:pPr>
        <w:pStyle w:val="FirstParagraph"/>
      </w:pPr>
      <w:r>
        <w:t xml:space="preserve">The analysis reveals the following key emission hotspots for gdykzporvx:</w:t>
      </w:r>
    </w:p>
    <w:p>
      <w:pPr>
        <w:numPr>
          <w:ilvl w:val="0"/>
          <w:numId w:val="1014"/>
        </w:numPr>
        <w:pStyle w:val="Compact"/>
      </w:pPr>
      <w:r>
        <w:rPr>
          <w:bCs/>
          <w:b/>
        </w:rPr>
        <w:t xml:space="preserve">Use Phase (60.80%):</w:t>
      </w:r>
      <w:r>
        <w:t xml:space="preserve"> </w:t>
      </w:r>
      <w:r>
        <w:t xml:space="preserve">The most significant contributor to the PCF is the energy consumption during the product\'s 5-year lifespan (15.00 kg CO2e). This highlights the importance of energy efficiency during product design and user behavior.</w:t>
      </w:r>
    </w:p>
    <w:p>
      <w:pPr>
        <w:numPr>
          <w:ilvl w:val="0"/>
          <w:numId w:val="1014"/>
        </w:numPr>
        <w:pStyle w:val="Compact"/>
      </w:pPr>
      <w:r>
        <w:rPr>
          <w:bCs/>
          <w:b/>
        </w:rPr>
        <w:t xml:space="preserve">Materials Acquisition &amp; Processing (40.73%):</w:t>
      </w:r>
      <w:r>
        <w:t xml:space="preserve"> </w:t>
      </w:r>
      <w:r>
        <w:t xml:space="preserve">The extraction and processing of raw materials, particularly aluminum alloy (6.00 kg CO2e) and electronic components (2.00 kg CO2e), represent a substantial portion of the upstream footprint.</w:t>
      </w:r>
    </w:p>
    <w:p>
      <w:pPr>
        <w:numPr>
          <w:ilvl w:val="0"/>
          <w:numId w:val="1014"/>
        </w:numPr>
        <w:pStyle w:val="Compact"/>
      </w:pPr>
      <w:r>
        <w:rPr>
          <w:bCs/>
          <w:b/>
        </w:rPr>
        <w:t xml:space="preserve">Manufacturing (12.16%):</w:t>
      </w:r>
      <w:r>
        <w:t xml:space="preserve"> </w:t>
      </w:r>
      <w:r>
        <w:t xml:space="preserve">Purchased electricity for manufacturing is a notable contributor, despite 50% renewable energy usage. Further decarbonization of the energy grid in China or increased on-site renewable energy adoption would significantly reduce this impact.</w:t>
      </w:r>
    </w:p>
    <w:p>
      <w:pPr>
        <w:numPr>
          <w:ilvl w:val="0"/>
          <w:numId w:val="1014"/>
        </w:numPr>
        <w:pStyle w:val="Compact"/>
      </w:pPr>
      <w:r>
        <w:rPr>
          <w:bCs/>
          <w:b/>
        </w:rPr>
        <w:t xml:space="preserve">End-of-Life (negative contribution):</w:t>
      </w:r>
      <w:r>
        <w:t xml:space="preserve"> </w:t>
      </w:r>
      <w:r>
        <w:t xml:space="preserve">The robust recyclability and take-back programs contribute a significant carbon credit, reducing the overall footprint by -3.42 kg CO2e. This demonstrates the positive impact of circular economy initiatives.</w:t>
      </w:r>
    </w:p>
    <w:p>
      <w:pPr>
        <w:numPr>
          <w:ilvl w:val="0"/>
          <w:numId w:val="1014"/>
        </w:numPr>
        <w:pStyle w:val="Compact"/>
      </w:pPr>
      <w:r>
        <w:rPr>
          <w:bCs/>
          <w:b/>
        </w:rPr>
        <w:t xml:space="preserve">Transportation (minor contribution):</w:t>
      </w:r>
      <w:r>
        <w:t xml:space="preserve"> </w:t>
      </w:r>
      <w:r>
        <w:t xml:space="preserve">Both upstream and downstream transportation combined contribute a relatively small portion (0.14%) to the overall PCF, primarily due to the low weight of the product per unit.</w:t>
      </w:r>
    </w:p>
    <w:bookmarkEnd w:id="41"/>
    <w:bookmarkStart w:id="42" w:name="data-reliability-and-limitations"/>
    <w:p>
      <w:pPr>
        <w:pStyle w:val="Heading3"/>
      </w:pPr>
      <w:r>
        <w:t xml:space="preserve">6.2. Data Reliability and Limitations</w:t>
      </w:r>
    </w:p>
    <w:p>
      <w:pPr>
        <w:pStyle w:val="FirstParagraph"/>
      </w:pPr>
      <w:r>
        <w:t xml:space="preserve">The reliability of this PCF is influenced by the following factors:</w:t>
      </w:r>
    </w:p>
    <w:p>
      <w:pPr>
        <w:numPr>
          <w:ilvl w:val="0"/>
          <w:numId w:val="1015"/>
        </w:numPr>
        <w:pStyle w:val="Compact"/>
      </w:pPr>
      <w:r>
        <w:rPr>
          <w:bCs/>
          <w:b/>
        </w:rPr>
        <w:t xml:space="preserve">Primary vs. Secondary Data:</w:t>
      </w:r>
      <w:r>
        <w:t xml:space="preserve"> </w:t>
      </w:r>
      <w:r>
        <w:t xml:space="preserve">This report integrates both primary data (e.g., energy intensity, product lifespan) and secondary data (e.g., industry-average emission factors for materials and transport). Where specific parameters were provided as placeholders (e.g., nxurquhv, Select Mode), illustrative, yet representative, data and emission factors from reputable sources (Ecoinvent, DEFRA, IEA for China grid) were used. The 2026 GHG Protocol Scope 3 revisions emphasize data disaggregation by type to enhance transparency, and future reports should strive for higher primary data coverage.</w:t>
      </w:r>
    </w:p>
    <w:p>
      <w:pPr>
        <w:numPr>
          <w:ilvl w:val="0"/>
          <w:numId w:val="1015"/>
        </w:numPr>
        <w:pStyle w:val="Compact"/>
      </w:pPr>
      <w:r>
        <w:rPr>
          <w:bCs/>
          <w:b/>
        </w:rPr>
        <w:t xml:space="preserve">Emission Factor Specificity:</w:t>
      </w:r>
      <w:r>
        <w:t xml:space="preserve"> </w:t>
      </w:r>
      <w:r>
        <w:t xml:space="preserve">Generic emission factors have been used for some materials and processes due to the illustrative nature of the BOM. Greater accuracy could be achieved with supplier-specific emission factors or highly localized Ecoinvent/DEFRA data.</w:t>
      </w:r>
    </w:p>
    <w:p>
      <w:pPr>
        <w:numPr>
          <w:ilvl w:val="0"/>
          <w:numId w:val="1015"/>
        </w:numPr>
        <w:pStyle w:val="Compact"/>
      </w:pPr>
      <w:r>
        <w:rPr>
          <w:bCs/>
          <w:b/>
        </w:rPr>
        <w:t xml:space="preserve">LSR Standard Application:</w:t>
      </w:r>
      <w:r>
        <w:t xml:space="preserve"> </w:t>
      </w:r>
      <w:r>
        <w:t xml:space="preserve">For a manufactured product like gdykzporvx, direct land-based emissions are not a primary concern. However, the LSR Standard is crucial for companies with significant agricultural or land-use activities in their value chain, and its principles are considered in the broader context of material sourcing.</w:t>
      </w:r>
    </w:p>
    <w:bookmarkEnd w:id="42"/>
    <w:bookmarkStart w:id="43" w:name="recommendations-for-decarbonization"/>
    <w:p>
      <w:pPr>
        <w:pStyle w:val="Heading3"/>
      </w:pPr>
      <w:r>
        <w:t xml:space="preserve">6.3. Recommendations for Decarbonization</w:t>
      </w:r>
    </w:p>
    <w:p>
      <w:pPr>
        <w:pStyle w:val="FirstParagraph"/>
      </w:pPr>
      <w:r>
        <w:t xml:space="preserve">Based on this PCF analysis, rwpsupptze should consider the following recommendations:</w:t>
      </w:r>
    </w:p>
    <w:p>
      <w:pPr>
        <w:numPr>
          <w:ilvl w:val="0"/>
          <w:numId w:val="1016"/>
        </w:numPr>
        <w:pStyle w:val="Compact"/>
      </w:pPr>
      <w:r>
        <w:rPr>
          <w:bCs/>
          <w:b/>
        </w:rPr>
        <w:t xml:space="preserve">Optimize Use Phase:</w:t>
      </w:r>
      <w:r>
        <w:t xml:space="preserve"> </w:t>
      </w:r>
      <w:r>
        <w:t xml:space="preserve">Investigate opportunities to reduce energy consumption during the product\'s use phase, through improved energy efficiency, longer product lifespan, or the integration of renewable energy sources in the user environment.</w:t>
      </w:r>
    </w:p>
    <w:p>
      <w:pPr>
        <w:numPr>
          <w:ilvl w:val="0"/>
          <w:numId w:val="1016"/>
        </w:numPr>
        <w:pStyle w:val="Compact"/>
      </w:pPr>
      <w:r>
        <w:rPr>
          <w:bCs/>
          <w:b/>
        </w:rPr>
        <w:t xml:space="preserve">Material Decarbonization:</w:t>
      </w:r>
      <w:r>
        <w:t xml:space="preserve"> </w:t>
      </w:r>
      <w:r>
        <w:t xml:space="preserve">Explore alternative, lower-carbon materials or increase the recycled content of aluminum and plastics. Engage with suppliers to obtain product-specific or facility-specific emission data for materials.</w:t>
      </w:r>
    </w:p>
    <w:p>
      <w:pPr>
        <w:numPr>
          <w:ilvl w:val="0"/>
          <w:numId w:val="1016"/>
        </w:numPr>
        <w:pStyle w:val="Compact"/>
      </w:pPr>
      <w:r>
        <w:rPr>
          <w:bCs/>
          <w:b/>
        </w:rPr>
        <w:t xml:space="preserve">Manufacturing Energy Transition:</w:t>
      </w:r>
      <w:r>
        <w:t xml:space="preserve"> </w:t>
      </w:r>
      <w:r>
        <w:t xml:space="preserve">Further increase the share of renewable energy used in the China production facility, either through direct procurement (e.g., Power Purchase Agreements) or investment in on-site renewables.</w:t>
      </w:r>
    </w:p>
    <w:p>
      <w:pPr>
        <w:numPr>
          <w:ilvl w:val="0"/>
          <w:numId w:val="1016"/>
        </w:numPr>
        <w:pStyle w:val="Compact"/>
      </w:pPr>
      <w:r>
        <w:rPr>
          <w:bCs/>
          <w:b/>
        </w:rPr>
        <w:t xml:space="preserve">Circular Economy Enhancement:</w:t>
      </w:r>
      <w:r>
        <w:t xml:space="preserve"> </w:t>
      </w:r>
      <w:r>
        <w:t xml:space="preserve">Strengthen existing circular/take-back programs (gvgpkkpvwq) to maximize material recovery and recycling efficiency, potentially extending to a broader range of components.</w:t>
      </w:r>
    </w:p>
    <w:p>
      <w:pPr>
        <w:numPr>
          <w:ilvl w:val="0"/>
          <w:numId w:val="1016"/>
        </w:numPr>
        <w:pStyle w:val="Compact"/>
      </w:pPr>
      <w:r>
        <w:rPr>
          <w:bCs/>
          <w:b/>
        </w:rPr>
        <w:t xml:space="preserve">Data Improvement:</w:t>
      </w:r>
      <w:r>
        <w:t xml:space="preserve"> </w:t>
      </w:r>
      <w:r>
        <w:t xml:space="preserve">Prioritize collection of primary data for key Scope 3 categories to enhance accuracy and meet future GHG Protocol reporting expectations, particularly the mandatory data disaggregation by source type.</w:t>
      </w:r>
    </w:p>
    <w:p>
      <w:r>
        <w:pict>
          <v:rect style="width:0;height:1.5pt" o:hralign="center" o:hrstd="t" o:hr="t"/>
        </w:pict>
      </w:r>
    </w:p>
    <w:bookmarkEnd w:id="43"/>
    <w:bookmarkEnd w:id="44"/>
    <w:bookmarkStart w:id="45" w:name="conclusion"/>
    <w:p>
      <w:pPr>
        <w:pStyle w:val="Heading2"/>
      </w:pPr>
      <w:r>
        <w:t xml:space="preserve">7. Conclusion</w:t>
      </w:r>
    </w:p>
    <w:p>
      <w:pPr>
        <w:pStyle w:val="FirstParagraph"/>
      </w:pPr>
      <w:r>
        <w:t xml:space="preserve">The Product Carbon Footprint for one functional unit of gdykzporvx is calculated to be</w:t>
      </w:r>
      <w:r>
        <w:t xml:space="preserve"> </w:t>
      </w:r>
      <w:r>
        <w:rPr>
          <w:bCs/>
          <w:b/>
        </w:rPr>
        <w:t xml:space="preserve">24.67 kg CO2e</w:t>
      </w:r>
      <w:r>
        <w:t xml:space="preserve">. This comprehensive analysis, conducted in accordance with the GHG Protocol and its anticipated 2026 updates, highlights the use phase and material acquisition as the dominant emission hotspots. rwpsupptze has a significant opportunity to reduce its product\'s environmental impact through strategic interventions in product design, supply chain engagement, and energy management. By leveraging the detailed insights from this report, rwpsupptze can advance its sustainability goals and contribute effectively to global decarbonization efforts.</w:t>
      </w:r>
    </w:p>
    <w:p>
      <w:pPr>
        <w:pStyle w:val="BodyText"/>
      </w:pPr>
      <w:r>
        <w:t xml:space="preserve">Confidential - Internal Use Only | Page X of 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gdykzporvx</dc:title>
  <dc:creator/>
  <dc:description>A high-detail Product Carbon Footprint (PCF) analysis for gdykzporvx, following GHG Protocol standards, including 2026 updates for rwpsupptze.</dc:description>
  <dc:language>en</dc:language>
  <cp:keywords/>
  <dcterms:created xsi:type="dcterms:W3CDTF">2026-05-30T15:59:17Z</dcterms:created>
  <dcterms:modified xsi:type="dcterms:W3CDTF">2026-05-30T15:59:17Z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