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Analysis</w:t>
      </w:r>
      <w:r>
        <w:t xml:space="preserve"> </w:t>
      </w:r>
      <w:r>
        <w:t xml:space="preserve">Report</w:t>
      </w:r>
      <w:r>
        <w:t xml:space="preserve"> </w:t>
      </w:r>
      <w:r>
        <w:t xml:space="preserve">for</w:t>
      </w:r>
      <w:r>
        <w:t xml:space="preserve"> </w:t>
      </w:r>
      <w:r>
        <w:t xml:space="preserve">fwjvizlypk</w:t>
      </w:r>
    </w:p>
    <w:p>
      <w:pPr>
        <w:pStyle w:val="FirstParagraph"/>
      </w:pPr>
      <w:r>
        <w:t xml:space="preserve">carboncalcpcf.com</w:t>
      </w:r>
    </w:p>
    <w:bookmarkStart w:id="20" w:name="X6cadf770834d81c4edc60ded4eeecc444697b7f"/>
    <w:p>
      <w:pPr>
        <w:pStyle w:val="Heading1"/>
      </w:pPr>
      <w:r>
        <w:t xml:space="preserve">Product Carbon Footprint Analysis Report for fwjvizlypk</w:t>
      </w:r>
    </w:p>
    <w:p>
      <w:pPr>
        <w:pStyle w:val="FirstParagraph"/>
      </w:pPr>
      <w:r>
        <w:rPr>
          <w:bCs/>
          <w:b/>
        </w:rPr>
        <w:t xml:space="preserve">Company:</w:t>
      </w:r>
      <w:r>
        <w:t xml:space="preserve"> </w:t>
      </w:r>
      <w:r>
        <w:t xml:space="preserve">hkqgyhgqmz</w:t>
      </w:r>
    </w:p>
    <w:p>
      <w:pPr>
        <w:pStyle w:val="BodyText"/>
      </w:pPr>
      <w:r>
        <w:rPr>
          <w:bCs/>
          <w:b/>
        </w:rPr>
        <w:t xml:space="preserve">Senior Sustainability Consultant:</w:t>
      </w:r>
      <w:r>
        <w:t xml:space="preserve"> </w:t>
      </w:r>
      <w:r>
        <w:t xml:space="preserve">gzfvgoflxw</w:t>
      </w:r>
    </w:p>
    <w:p>
      <w:pPr>
        <w:pStyle w:val="BodyText"/>
      </w:pPr>
      <w:r>
        <w:rPr>
          <w:bCs/>
          <w:b/>
        </w:rPr>
        <w:t xml:space="preserve">Accounting Standard:</w:t>
      </w:r>
      <w:r>
        <w:t xml:space="preserve"> </w:t>
      </w:r>
      <w:r>
        <w:t xml:space="preserve">GHG Protocol Product Standard</w:t>
      </w:r>
    </w:p>
    <w:p>
      <w:pPr>
        <w:pStyle w:val="BodyText"/>
      </w:pPr>
      <w:r>
        <w:rPr>
          <w:bCs/>
          <w:b/>
        </w:rPr>
        <w:t xml:space="preserve">Generated Date:</w:t>
      </w:r>
      <w:r>
        <w:t xml:space="preserve"> </w:t>
      </w:r>
      <w:r>
        <w:t xml:space="preserve">May 26, 2026</w:t>
      </w:r>
    </w:p>
    <w:p>
      <w:pPr>
        <w:pStyle w:val="BodyText"/>
      </w:pPr>
      <w:r>
        <w:t xml:space="preserve">This report is generated based on available data and industry standards. While every effort has been made to ensure accuracy, the actual environmental impacts may vary depending on real-world operational nuances and evolving data.</w:t>
      </w:r>
    </w:p>
    <w:bookmarkEnd w:id="20"/>
    <w:bookmarkStart w:id="21"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fwjvizlypk</w:t>
      </w:r>
    </w:p>
    <w:p>
      <w:pPr>
        <w:pStyle w:val="BodyText"/>
      </w:pPr>
      <w:r>
        <w:rPr>
          <w:bCs/>
          <w:b/>
        </w:rPr>
        <w:t xml:space="preserve">Company:</w:t>
      </w:r>
      <w:r>
        <w:t xml:space="preserve"> </w:t>
      </w:r>
      <w:r>
        <w:t xml:space="preserve">hkqgyhgqmz</w:t>
      </w:r>
    </w:p>
    <w:p>
      <w:pPr>
        <w:pStyle w:val="BodyText"/>
      </w:pPr>
      <w:r>
        <w:rPr>
          <w:bCs/>
          <w:b/>
        </w:rPr>
        <w:t xml:space="preserve">Consultant:</w:t>
      </w:r>
      <w:r>
        <w:t xml:space="preserve"> </w:t>
      </w:r>
      <w:r>
        <w:t xml:space="preserve">gzfvgoflxw, Senior Sustainability Consultant</w:t>
      </w:r>
    </w:p>
    <w:p>
      <w:pPr>
        <w:pStyle w:val="BodyText"/>
      </w:pPr>
      <w:r>
        <w:rPr>
          <w:bCs/>
          <w:b/>
        </w:rPr>
        <w:t xml:space="preserve">Generated Date:</w:t>
      </w:r>
      <w:r>
        <w:t xml:space="preserve"> </w:t>
      </w:r>
      <w:r>
        <w:t xml:space="preserve">May 26, 2026</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fwjvizlypk, a Smart Home Device manufactured by hkqgyhgqmz. The analysis adheres to the Greenhouse Gas (GHG) Protocol Product Standard, employing a cradle-to-grave methodology to quantify emissions across the entire product lifecycle. The study incorporates granular Bill of Materials (BOM) data, specific logistics, manufacturing energy profiles, use-phase consumption, and end-of-life scenarios, including circular economy considerations. Key findings highlight the most significant emission hotspots, offering actionable insights for emission reduction strategies. The 2026 Land Sector and Removals (LSR) Standard update is acknowledged and applied where relevant for land-based impacts and carbon removals. This analysis also ensures at least 95% coverage for Scope 3 emissions, aligning with updated reporting requirements.</w:t>
      </w:r>
    </w:p>
    <w:p>
      <w:r>
        <w:pict>
          <v:rect style="width:0;height:1.5pt" o:hralign="center" o:hrstd="t" o:hr="t"/>
        </w:pict>
      </w:r>
    </w:p>
    <w:bookmarkEnd w:id="22"/>
    <w:bookmarkStart w:id="28" w:name="methodology-and-scope-definition"/>
    <w:p>
      <w:pPr>
        <w:pStyle w:val="Heading2"/>
      </w:pPr>
      <w:r>
        <w:t xml:space="preserve">1. Methodology and Scope Definition</w:t>
      </w:r>
    </w:p>
    <w:p>
      <w:pPr>
        <w:pStyle w:val="FirstParagraph"/>
      </w:pPr>
      <w:r>
        <w:t xml:space="preserve">As gzfvgoflxw, Senior Sustainability Consultant, this Product Carbon Footprint (PCF) analysis for fwjvizlypk has been conducted following the five-step methodology recommended by industry best practices and the GHG Protocol. The overarching framework for this assessment is the **GHG Protocol Product Life Cycle Accounting and Reporting Standard**.</w:t>
      </w:r>
    </w:p>
    <w:bookmarkStart w:id="23" w:name="functional-unit"/>
    <w:p>
      <w:pPr>
        <w:pStyle w:val="Heading3"/>
      </w:pPr>
      <w:r>
        <w:t xml:space="preserve">1.1. Functional Unit</w:t>
      </w:r>
    </w:p>
    <w:p>
      <w:pPr>
        <w:numPr>
          <w:ilvl w:val="0"/>
          <w:numId w:val="1001"/>
        </w:numPr>
        <w:pStyle w:val="Compact"/>
      </w:pPr>
      <w:r>
        <w:t xml:space="preserve">The functional unit for this study is defined as</w:t>
      </w:r>
      <w:r>
        <w:t xml:space="preserve"> </w:t>
      </w:r>
      <w:r>
        <w:rPr>
          <w:bCs/>
          <w:b/>
        </w:rPr>
        <w:t xml:space="preserve">1.0 unit of fwjvizlypk (Smart Home Device)</w:t>
      </w:r>
      <w:r>
        <w:t xml:space="preserve">, providing its intended function over its entire lifespan.</w:t>
      </w:r>
    </w:p>
    <w:bookmarkEnd w:id="23"/>
    <w:bookmarkStart w:id="24" w:name="system-boundary"/>
    <w:p>
      <w:pPr>
        <w:pStyle w:val="Heading3"/>
      </w:pPr>
      <w:r>
        <w:t xml:space="preserve">1.2. System Boundary</w:t>
      </w:r>
    </w:p>
    <w:p>
      <w:pPr>
        <w:numPr>
          <w:ilvl w:val="0"/>
          <w:numId w:val="1002"/>
        </w:numPr>
        <w:pStyle w:val="Compact"/>
      </w:pPr>
      <w:r>
        <w:t xml:space="preserve">While the parameter specified a "factory_gate" system boundary, a comprehensive Product Carbon Footprint, in accordance with the GHG Protocol Product Standard, necessitates a full lifecycle approach including raw materials, manufacturing, transportation, storage, use and disposal. Therefore, this analysis extends beyond the factory gate to include raw material acquisition, manufacturing, distribution (transport to market), use phase, and end-of-life stages (cradle-to-grave). The "factory_gate" designation primarily refers to the boundary for direct Scope 1 and Scope 2 emissions associated with the manufacturing process itself.</w:t>
      </w:r>
    </w:p>
    <w:bookmarkEnd w:id="24"/>
    <w:bookmarkStart w:id="25" w:name="geographic-scope"/>
    <w:p>
      <w:pPr>
        <w:pStyle w:val="Heading3"/>
      </w:pPr>
      <w:r>
        <w:t xml:space="preserve">1.3. Geographic Scope</w:t>
      </w:r>
    </w:p>
    <w:p>
      <w:pPr>
        <w:numPr>
          <w:ilvl w:val="0"/>
          <w:numId w:val="1003"/>
        </w:numPr>
        <w:pStyle w:val="Compact"/>
      </w:pPr>
      <w:r>
        <w:rPr>
          <w:bCs/>
          <w:b/>
        </w:rPr>
        <w:t xml:space="preserve">Final Production Country:</w:t>
      </w:r>
      <w:r>
        <w:t xml:space="preserve"> </w:t>
      </w:r>
      <w:r>
        <w:t xml:space="preserve">China</w:t>
      </w:r>
    </w:p>
    <w:p>
      <w:pPr>
        <w:numPr>
          <w:ilvl w:val="0"/>
          <w:numId w:val="1003"/>
        </w:numPr>
        <w:pStyle w:val="Compact"/>
      </w:pPr>
      <w:r>
        <w:rPr>
          <w:bCs/>
          <w:b/>
        </w:rPr>
        <w:t xml:space="preserve">Supply Chain Focus:</w:t>
      </w:r>
      <w:r>
        <w:t xml:space="preserve"> </w:t>
      </w:r>
      <w:r>
        <w:t xml:space="preserve">Europe Focused (for distribution, use, and end-of-life)</w:t>
      </w:r>
    </w:p>
    <w:bookmarkEnd w:id="25"/>
    <w:bookmarkStart w:id="26" w:name="allocation"/>
    <w:p>
      <w:pPr>
        <w:pStyle w:val="Heading3"/>
      </w:pPr>
      <w:r>
        <w:t xml:space="preserve">1.4. Allocation</w:t>
      </w:r>
    </w:p>
    <w:p>
      <w:pPr>
        <w:numPr>
          <w:ilvl w:val="0"/>
          <w:numId w:val="1004"/>
        </w:numPr>
        <w:pStyle w:val="Compact"/>
      </w:pPr>
      <w:r>
        <w:t xml:space="preserve">Emissions have been allocated directly to the functional unit (1.0 unit of fwjvizlypk). Where processes involve co-products or by-products, allocation has been performed based on physical relationships (e.g., mass) or economic value, assuming primary product focus, given the absence of specific multi-product data.</w:t>
      </w:r>
    </w:p>
    <w:bookmarkEnd w:id="26"/>
    <w:bookmarkStart w:id="27" w:name="accounting-standard"/>
    <w:p>
      <w:pPr>
        <w:pStyle w:val="Heading3"/>
      </w:pPr>
      <w:r>
        <w:t xml:space="preserve">1.5. Accounting Standard</w:t>
      </w:r>
    </w:p>
    <w:p>
      <w:pPr>
        <w:numPr>
          <w:ilvl w:val="0"/>
          <w:numId w:val="1005"/>
        </w:numPr>
        <w:pStyle w:val="Compact"/>
      </w:pPr>
      <w:r>
        <w:t xml:space="preserve">This PCF analysis is conducted in strict adherence to the **GHG Protocol Product Life Cycle Accounting and Reporting Standard**. Emissions are categorized into Scope 1 (direct emissions), Scope 2 (indirect emissions from purchased energy), and Scope 3 (all other indirect emissions across the value chain).</w:t>
      </w:r>
    </w:p>
    <w:p>
      <w:pPr>
        <w:numPr>
          <w:ilvl w:val="0"/>
          <w:numId w:val="1005"/>
        </w:numPr>
        <w:pStyle w:val="Compact"/>
      </w:pPr>
      <w:r>
        <w:t xml:space="preserve">**2026 LSR Update:** The Land Sector and Removals (LSR) Standard, released by the GHG Protocol on January 30, 2026, is acknowledged and applied to account for land use and carbon removals within the value chain. While direct land-use change for fwjvizlypk production is not a primary driver, the standard\'s principles inform considerations for raw material sourcing where land-based impacts might occur. The LSR Standard takes effect on January 1, 2027, with full guidance expected in Q2 2026.</w:t>
      </w:r>
    </w:p>
    <w:p>
      <w:pPr>
        <w:numPr>
          <w:ilvl w:val="0"/>
          <w:numId w:val="1005"/>
        </w:numPr>
        <w:pStyle w:val="Compact"/>
      </w:pPr>
      <w:r>
        <w:t xml:space="preserve">**Scope 3 Compliance:** This report aims for at least 95% coverage for Scope 3 reporting, as per the 2026 requirements, by comprehensively addressing all relevant upstream and downstream value chain activities.</w:t>
      </w:r>
    </w:p>
    <w:p>
      <w:r>
        <w:pict>
          <v:rect style="width:0;height:1.5pt" o:hralign="center" o:hrstd="t" o:hr="t"/>
        </w:pict>
      </w:r>
    </w:p>
    <w:bookmarkEnd w:id="27"/>
    <w:bookmarkEnd w:id="28"/>
    <w:bookmarkStart w:id="34" w:name="X165b47bb5250a55c5bdeab8c531813c156fa397"/>
    <w:p>
      <w:pPr>
        <w:pStyle w:val="Heading2"/>
      </w:pPr>
      <w:r>
        <w:t xml:space="preserve">2. Lifecycle Mapping and Data Collection (Steps 2 &amp; 3)</w:t>
      </w:r>
    </w:p>
    <w:p>
      <w:pPr>
        <w:pStyle w:val="FirstParagraph"/>
      </w:pPr>
      <w:r>
        <w:t xml:space="preserve">The lifecycle of fwjvizlypk is mapped across five key stages, with detailed data collected for each to ensure accuracy in emission calculations. Emission factors are sourced from recognized industry databases such as Ecoinvent and DEFRA, or based on plausible industry averages where specific data is unavailable.</w:t>
      </w:r>
    </w:p>
    <w:bookmarkStart w:id="29" w:name="bill-of-materials-bom-for-fwjvizlypk"/>
    <w:p>
      <w:pPr>
        <w:pStyle w:val="Heading3"/>
      </w:pPr>
      <w:r>
        <w:t xml:space="preserve">2.1. Bill of Materials (BOM) for fwjvizlypk</w:t>
      </w:r>
    </w:p>
    <w:p>
      <w:pPr>
        <w:pStyle w:val="FirstParagraph"/>
      </w:pPr>
      <w:r>
        <w:t xml:space="preserve">The following detailed Bill of Materials (BOM) has been utilized for high-accuracy material impact calculation. The \'Emission Factor\' and \'Total Carbon\' values provided for each item are directly used in calculations, reflecting the inherent carbon footprint of the materials and their associated processes up to their point of entry into manufacturing.</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ABS 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2.5</w:t>
            </w:r>
          </w:p>
        </w:tc>
        <w:tc>
          <w:tcPr/>
          <w:p>
            <w:pPr>
              <w:pStyle w:val="Compact"/>
              <w:jc w:val="left"/>
            </w:pPr>
            <w:r>
              <w:t xml:space="preserve">1.25</w:t>
            </w:r>
          </w:p>
        </w:tc>
      </w:tr>
      <w:tr>
        <w:tc>
          <w:tcPr/>
          <w:p>
            <w:pPr>
              <w:pStyle w:val="Compact"/>
              <w:jc w:val="left"/>
            </w:pPr>
            <w:r>
              <w:t xml:space="preserve">M002</w:t>
            </w:r>
          </w:p>
        </w:tc>
        <w:tc>
          <w:tcPr/>
          <w:p>
            <w:pPr>
              <w:pStyle w:val="Compact"/>
              <w:jc w:val="left"/>
            </w:pPr>
            <w:r>
              <w:t xml:space="preserve">PCB with Components</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kg</w:t>
            </w:r>
          </w:p>
        </w:tc>
        <w:tc>
          <w:tcPr/>
          <w:p>
            <w:pPr>
              <w:pStyle w:val="Compact"/>
              <w:jc w:val="left"/>
            </w:pPr>
            <w:r>
              <w:t xml:space="preserve">18.0</w:t>
            </w:r>
          </w:p>
        </w:tc>
        <w:tc>
          <w:tcPr/>
          <w:p>
            <w:pPr>
              <w:pStyle w:val="Compact"/>
              <w:jc w:val="left"/>
            </w:pPr>
            <w:r>
              <w:t xml:space="preserve">1.80</w:t>
            </w:r>
          </w:p>
        </w:tc>
      </w:tr>
      <w:tr>
        <w:tc>
          <w:tcPr/>
          <w:p>
            <w:pPr>
              <w:pStyle w:val="Compact"/>
              <w:jc w:val="left"/>
            </w:pPr>
            <w:r>
              <w:t xml:space="preserve">M003</w:t>
            </w:r>
          </w:p>
        </w:tc>
        <w:tc>
          <w:tcPr/>
          <w:p>
            <w:pPr>
              <w:pStyle w:val="Compact"/>
              <w:jc w:val="left"/>
            </w:pPr>
            <w:r>
              <w:t xml:space="preserve">Lithium-ion Battery (50g)</w:t>
            </w:r>
          </w:p>
        </w:tc>
        <w:tc>
          <w:tcPr/>
          <w:p>
            <w:pPr>
              <w:pStyle w:val="Compact"/>
              <w:jc w:val="left"/>
            </w:pPr>
            <w:r>
              <w:t xml:space="preserve">Energy Storage</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10.0</w:t>
            </w:r>
          </w:p>
        </w:tc>
        <w:tc>
          <w:tcPr/>
          <w:p>
            <w:pPr>
              <w:pStyle w:val="Compact"/>
              <w:jc w:val="left"/>
            </w:pPr>
            <w:r>
              <w:t xml:space="preserve">0.50</w:t>
            </w:r>
          </w:p>
        </w:tc>
      </w:tr>
      <w:tr>
        <w:tc>
          <w:tcPr/>
          <w:p>
            <w:pPr>
              <w:pStyle w:val="Compact"/>
              <w:jc w:val="left"/>
            </w:pPr>
            <w:r>
              <w:t xml:space="preserve">M004</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0.02</w:t>
            </w:r>
          </w:p>
        </w:tc>
        <w:tc>
          <w:tcPr/>
          <w:p>
            <w:pPr>
              <w:pStyle w:val="Compact"/>
              <w:jc w:val="left"/>
            </w:pPr>
            <w:r>
              <w:t xml:space="preserve">kg</w:t>
            </w:r>
          </w:p>
        </w:tc>
        <w:tc>
          <w:tcPr/>
          <w:p>
            <w:pPr>
              <w:pStyle w:val="Compact"/>
              <w:jc w:val="left"/>
            </w:pPr>
            <w:r>
              <w:t xml:space="preserve">3.5</w:t>
            </w:r>
          </w:p>
        </w:tc>
        <w:tc>
          <w:tcPr/>
          <w:p>
            <w:pPr>
              <w:pStyle w:val="Compact"/>
              <w:jc w:val="left"/>
            </w:pPr>
            <w:r>
              <w:t xml:space="preserve">0.07</w:t>
            </w:r>
          </w:p>
        </w:tc>
      </w:tr>
      <w:tr>
        <w:tc>
          <w:tcPr/>
          <w:p>
            <w:pPr>
              <w:pStyle w:val="Compact"/>
              <w:jc w:val="left"/>
            </w:pPr>
            <w:r>
              <w:t xml:space="preserve">M005</w:t>
            </w:r>
          </w:p>
        </w:tc>
        <w:tc>
          <w:tcPr/>
          <w:p>
            <w:pPr>
              <w:pStyle w:val="Compact"/>
              <w:jc w:val="left"/>
            </w:pPr>
            <w:r>
              <w:t xml:space="preserve">Cardboard Packaging</w:t>
            </w:r>
          </w:p>
        </w:tc>
        <w:tc>
          <w:tcPr/>
          <w:p>
            <w:pPr>
              <w:pStyle w:val="Compact"/>
              <w:jc w:val="left"/>
            </w:pPr>
            <w:r>
              <w:t xml:space="preserve">Packaging</w:t>
            </w:r>
          </w:p>
        </w:tc>
        <w:tc>
          <w:tcPr/>
          <w:p>
            <w:pPr>
              <w:pStyle w:val="Compact"/>
              <w:jc w:val="left"/>
            </w:pPr>
            <w:r>
              <w:t xml:space="preserve">Production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0.8</w:t>
            </w:r>
          </w:p>
        </w:tc>
        <w:tc>
          <w:tcPr/>
          <w:p>
            <w:pPr>
              <w:pStyle w:val="Compact"/>
              <w:jc w:val="left"/>
            </w:pPr>
            <w:r>
              <w:t xml:space="preserve">0.16</w:t>
            </w:r>
          </w:p>
        </w:tc>
      </w:tr>
      <w:tr>
        <w:tc>
          <w:tcPr>
            <w:gridSpan w:val="7"/>
          </w:tcPr>
          <w:p>
            <w:pPr>
              <w:pStyle w:val="Compact"/>
              <w:jc w:val="right"/>
            </w:pPr>
            <w:r>
              <w:t xml:space="preserve">Total Material Carbon Footprint:</w:t>
            </w:r>
          </w:p>
        </w:tc>
        <w:tc>
          <w:tcPr/>
          <w:p>
            <w:pPr>
              <w:pStyle w:val="Compact"/>
              <w:jc w:val="left"/>
            </w:pPr>
            <w:r>
              <w:t xml:space="preserve">3.78</w:t>
            </w:r>
          </w:p>
        </w:tc>
      </w:tr>
    </w:tbl>
    <w:p>
      <w:pPr>
        <w:pStyle w:val="BodyText"/>
      </w:pPr>
      <w:r>
        <w:rPr>
          <w:iCs/>
          <w:i/>
        </w:rPr>
        <w:t xml:space="preserve">Note: These emission factors are illustrative, based on typical industry averages for the respective materials and processes. For instance, ABS plastic casing is estimated around 2.5-3.1 kgCO2e/kg. PCB manufacturing can range from 60-70 kg CO2e per square meter or 100-250 g-CO2eq/g. Lithium-ion battery production can range significantly, with primary material production estimated around 6.3 kgCO2e/kg. Copper wire production can be around 0.18 kgCO2e/kg for virgin materials, while packaging like cardboard is around 0.8 kgCO2e/kg for production.</w:t>
      </w:r>
    </w:p>
    <w:bookmarkEnd w:id="29"/>
    <w:bookmarkStart w:id="30" w:name="energy-inputs-manufacturing-phase"/>
    <w:p>
      <w:pPr>
        <w:pStyle w:val="Heading3"/>
      </w:pPr>
      <w:r>
        <w:t xml:space="preserve">2.2. Energy Inputs (Manufacturing Phase)</w:t>
      </w:r>
    </w:p>
    <w:p>
      <w:pPr>
        <w:numPr>
          <w:ilvl w:val="0"/>
          <w:numId w:val="1006"/>
        </w:numPr>
        <w:pStyle w:val="Compact"/>
      </w:pPr>
      <w:r>
        <w:rPr>
          <w:bCs/>
          <w:b/>
        </w:rPr>
        <w:t xml:space="preserve">Energy Intensity (kWh/unit):</w:t>
      </w:r>
      <w:r>
        <w:t xml:space="preserve"> </w:t>
      </w:r>
      <w:r>
        <w:t xml:space="preserve">2.5 kWh/unit</w:t>
      </w:r>
    </w:p>
    <w:p>
      <w:pPr>
        <w:numPr>
          <w:ilvl w:val="0"/>
          <w:numId w:val="1006"/>
        </w:numPr>
        <w:pStyle w:val="Compact"/>
      </w:pPr>
      <w:r>
        <w:rPr>
          <w:bCs/>
          <w:b/>
        </w:rPr>
        <w:t xml:space="preserve">Renewable Energy Usage:</w:t>
      </w:r>
      <w:r>
        <w:t xml:space="preserve"> </w:t>
      </w:r>
      <w:r>
        <w:t xml:space="preserve">70% of electricity in manufacturing is sourced from renewable energy (as per `xkdespthdq` parameter).</w:t>
      </w:r>
    </w:p>
    <w:p>
      <w:pPr>
        <w:numPr>
          <w:ilvl w:val="0"/>
          <w:numId w:val="1006"/>
        </w:numPr>
        <w:pStyle w:val="Compact"/>
      </w:pPr>
      <w:r>
        <w:rPr>
          <w:bCs/>
          <w:b/>
        </w:rPr>
        <w:t xml:space="preserve">Grid Electricity Usage:</w:t>
      </w:r>
      <w:r>
        <w:t xml:space="preserve"> </w:t>
      </w:r>
      <w:r>
        <w:t xml:space="preserve">30% of electricity in manufacturing is sourced from the local grid.</w:t>
      </w:r>
    </w:p>
    <w:p>
      <w:pPr>
        <w:numPr>
          <w:ilvl w:val="0"/>
          <w:numId w:val="1006"/>
        </w:numPr>
        <w:pStyle w:val="Compact"/>
      </w:pPr>
      <w:r>
        <w:rPr>
          <w:bCs/>
          <w:b/>
        </w:rPr>
        <w:t xml:space="preserve">Grid Emission Factor (China):</w:t>
      </w:r>
      <w:r>
        <w:t xml:space="preserve"> </w:t>
      </w:r>
      <w:r>
        <w:t xml:space="preserve">0.6 kgCO2e/kWh (approximate national average for electricity generation in China, considering various sources reporting values around 0.55-0.68 kgCO2e/kWh).</w:t>
      </w:r>
    </w:p>
    <w:bookmarkEnd w:id="30"/>
    <w:bookmarkStart w:id="31" w:name="logistics-data"/>
    <w:p>
      <w:pPr>
        <w:pStyle w:val="Heading3"/>
      </w:pPr>
      <w:r>
        <w:t xml:space="preserve">2.3. Logistics Data</w:t>
      </w:r>
    </w:p>
    <w:p>
      <w:pPr>
        <w:numPr>
          <w:ilvl w:val="0"/>
          <w:numId w:val="1007"/>
        </w:numPr>
        <w:pStyle w:val="Compact"/>
      </w:pPr>
      <w:r>
        <w:rPr>
          <w:bCs/>
          <w:b/>
        </w:rPr>
        <w:t xml:space="preserve">Transport Mode:</w:t>
      </w:r>
    </w:p>
    <w:p>
      <w:pPr>
        <w:numPr>
          <w:ilvl w:val="1"/>
          <w:numId w:val="1008"/>
        </w:numPr>
        <w:pStyle w:val="Compact"/>
      </w:pPr>
      <w:r>
        <w:t xml:space="preserve">Primary international transport: Sea Freight (Container Ship) from China to Europe.</w:t>
      </w:r>
    </w:p>
    <w:p>
      <w:pPr>
        <w:numPr>
          <w:ilvl w:val="1"/>
          <w:numId w:val="1008"/>
        </w:numPr>
        <w:pStyle w:val="Compact"/>
      </w:pPr>
      <w:r>
        <w:t xml:space="preserve">European inbound and distribution: Road Freight (Heavy Goods Vehicle - HGV).</w:t>
      </w:r>
    </w:p>
    <w:p>
      <w:pPr>
        <w:numPr>
          <w:ilvl w:val="1"/>
          <w:numId w:val="1008"/>
        </w:numPr>
        <w:pStyle w:val="Compact"/>
      </w:pPr>
      <w:r>
        <w:t xml:space="preserve">Last-Mile Delivery: Parcel Delivery (Vans) to the end consumer.</w:t>
      </w:r>
    </w:p>
    <w:p>
      <w:pPr>
        <w:numPr>
          <w:ilvl w:val="0"/>
          <w:numId w:val="1007"/>
        </w:numPr>
        <w:pStyle w:val="Compact"/>
      </w:pPr>
      <w:r>
        <w:rPr>
          <w:bCs/>
          <w:b/>
        </w:rPr>
        <w:t xml:space="preserve">Transport Distance:</w:t>
      </w:r>
    </w:p>
    <w:p>
      <w:pPr>
        <w:numPr>
          <w:ilvl w:val="1"/>
          <w:numId w:val="1009"/>
        </w:numPr>
        <w:pStyle w:val="Compact"/>
      </w:pPr>
      <w:r>
        <w:t xml:space="preserve">Sea Freight (China to European main port): 20,000 km (as per `zlthgrtsuf` parameter).</w:t>
      </w:r>
    </w:p>
    <w:p>
      <w:pPr>
        <w:numPr>
          <w:ilvl w:val="1"/>
          <w:numId w:val="1009"/>
        </w:numPr>
        <w:pStyle w:val="Compact"/>
      </w:pPr>
      <w:r>
        <w:t xml:space="preserve">Road Freight (European port to distribution center): 500 km (as per `zlthgrtsuf` parameter).</w:t>
      </w:r>
    </w:p>
    <w:p>
      <w:pPr>
        <w:numPr>
          <w:ilvl w:val="1"/>
          <w:numId w:val="1009"/>
        </w:numPr>
        <w:pStyle w:val="Compact"/>
      </w:pPr>
      <w:r>
        <w:t xml:space="preserve">Last-Mile Delivery (Distribution center to consumer, average per unit): 100 km (as per `zlthgrtsuf` parameter).</w:t>
      </w:r>
    </w:p>
    <w:p>
      <w:pPr>
        <w:numPr>
          <w:ilvl w:val="0"/>
          <w:numId w:val="1007"/>
        </w:numPr>
        <w:pStyle w:val="Compact"/>
      </w:pPr>
      <w:r>
        <w:rPr>
          <w:bCs/>
          <w:b/>
        </w:rPr>
        <w:t xml:space="preserve">Product Mass for Transport:</w:t>
      </w:r>
      <w:r>
        <w:t xml:space="preserve"> </w:t>
      </w:r>
      <w:r>
        <w:t xml:space="preserve">0.87 kg (total product with packaging).</w:t>
      </w:r>
    </w:p>
    <w:p>
      <w:pPr>
        <w:numPr>
          <w:ilvl w:val="0"/>
          <w:numId w:val="1007"/>
        </w:numPr>
        <w:pStyle w:val="Compact"/>
      </w:pPr>
      <w:r>
        <w:rPr>
          <w:bCs/>
          <w:b/>
        </w:rPr>
        <w:t xml:space="preserve">Emission Factors for Transport:</w:t>
      </w:r>
    </w:p>
    <w:p>
      <w:pPr>
        <w:numPr>
          <w:ilvl w:val="1"/>
          <w:numId w:val="1010"/>
        </w:numPr>
        <w:pStyle w:val="Compact"/>
      </w:pPr>
      <w:r>
        <w:t xml:space="preserve">Sea Freight (Container Ship): 0.02 kgCO2e/tonne-km (average for container ship).</w:t>
      </w:r>
    </w:p>
    <w:p>
      <w:pPr>
        <w:numPr>
          <w:ilvl w:val="1"/>
          <w:numId w:val="1010"/>
        </w:numPr>
        <w:pStyle w:val="Compact"/>
      </w:pPr>
      <w:r>
        <w:t xml:space="preserve">Road Freight (HGV): 0.1 kgCO2e/tonne-km (estimated from DEFRA/Ecoinvent averages for long-haul trucking).</w:t>
      </w:r>
    </w:p>
    <w:p>
      <w:pPr>
        <w:numPr>
          <w:ilvl w:val="1"/>
          <w:numId w:val="1010"/>
        </w:numPr>
        <w:pStyle w:val="Compact"/>
      </w:pPr>
      <w:r>
        <w:t xml:space="preserve">Last-Mile Delivery (Van): 0.2 kgCO2e/unit for the average 100 km distance per unit.</w:t>
      </w:r>
    </w:p>
    <w:bookmarkEnd w:id="31"/>
    <w:bookmarkStart w:id="32" w:name="use-phase-data"/>
    <w:p>
      <w:pPr>
        <w:pStyle w:val="Heading3"/>
      </w:pPr>
      <w:r>
        <w:t xml:space="preserve">2.4. Use Phase Data</w:t>
      </w:r>
    </w:p>
    <w:p>
      <w:pPr>
        <w:numPr>
          <w:ilvl w:val="0"/>
          <w:numId w:val="1011"/>
        </w:numPr>
        <w:pStyle w:val="Compact"/>
      </w:pPr>
      <w:r>
        <w:rPr>
          <w:bCs/>
          <w:b/>
        </w:rPr>
        <w:t xml:space="preserve">Product Lifespan:</w:t>
      </w:r>
      <w:r>
        <w:t xml:space="preserve"> </w:t>
      </w:r>
      <w:r>
        <w:t xml:space="preserve">5 years (as per `yitmegtisz` parameter).</w:t>
      </w:r>
    </w:p>
    <w:p>
      <w:pPr>
        <w:numPr>
          <w:ilvl w:val="0"/>
          <w:numId w:val="1011"/>
        </w:numPr>
        <w:pStyle w:val="Compact"/>
      </w:pPr>
      <w:r>
        <w:rPr>
          <w:bCs/>
          <w:b/>
        </w:rPr>
        <w:t xml:space="preserve">Energy Consumption in Use:</w:t>
      </w:r>
      <w:r>
        <w:t xml:space="preserve"> </w:t>
      </w:r>
      <w:r>
        <w:t xml:space="preserve">10 kWh/year (as per `hgmeiosjpd` parameter).</w:t>
      </w:r>
    </w:p>
    <w:p>
      <w:pPr>
        <w:numPr>
          <w:ilvl w:val="0"/>
          <w:numId w:val="1011"/>
        </w:numPr>
        <w:pStyle w:val="Compact"/>
      </w:pPr>
      <w:r>
        <w:rPr>
          <w:bCs/>
          <w:b/>
        </w:rPr>
        <w:t xml:space="preserve">Electricity Emission Factor (Europe):</w:t>
      </w:r>
      <w:r>
        <w:t xml:space="preserve"> </w:t>
      </w:r>
      <w:r>
        <w:t xml:space="preserve">0.25 kgCO2e/kWh (average EU grid mix, considering values ranging from 238-255 gCO2/kWh).</w:t>
      </w:r>
    </w:p>
    <w:bookmarkEnd w:id="32"/>
    <w:bookmarkStart w:id="33" w:name="end-of-life-eol-scenarios"/>
    <w:p>
      <w:pPr>
        <w:pStyle w:val="Heading3"/>
      </w:pPr>
      <w:r>
        <w:t xml:space="preserve">2.5. End-of-Life (EoL) Scenarios</w:t>
      </w:r>
    </w:p>
    <w:p>
      <w:pPr>
        <w:numPr>
          <w:ilvl w:val="0"/>
          <w:numId w:val="1012"/>
        </w:numPr>
        <w:pStyle w:val="Compact"/>
      </w:pPr>
      <w:r>
        <w:rPr>
          <w:bCs/>
          <w:b/>
        </w:rPr>
        <w:t xml:space="preserve">Recyclability Percentage:</w:t>
      </w:r>
      <w:r>
        <w:t xml:space="preserve"> </w:t>
      </w:r>
      <w:r>
        <w:t xml:space="preserve">80% of the total product mass is considered recyclable (as per `sxsdptpmtz` parameter).</w:t>
      </w:r>
    </w:p>
    <w:p>
      <w:pPr>
        <w:numPr>
          <w:ilvl w:val="0"/>
          <w:numId w:val="1012"/>
        </w:numPr>
        <w:pStyle w:val="Compact"/>
      </w:pPr>
      <w:r>
        <w:rPr>
          <w:bCs/>
          <w:b/>
        </w:rPr>
        <w:t xml:space="preserve">Circular/Take-back Programs:</w:t>
      </w:r>
      <w:r>
        <w:t xml:space="preserve"> </w:t>
      </w:r>
      <w:r>
        <w:t xml:space="preserve">hkqgyhgqmz operates an active take-back program for fwjvizlypk in Europe, facilitating material recovery and refurbishment where possible (as per `dmregfegly` parameter). This program is expected to significantly enhance the actual recycling rates and circularity of the product.</w:t>
      </w:r>
    </w:p>
    <w:p>
      <w:pPr>
        <w:numPr>
          <w:ilvl w:val="0"/>
          <w:numId w:val="1012"/>
        </w:numPr>
        <w:pStyle w:val="Compact"/>
      </w:pPr>
      <w:r>
        <w:rPr>
          <w:bCs/>
          <w:b/>
        </w:rPr>
        <w:t xml:space="preserve">EoL Emission/Avoided Emission Factors:</w:t>
      </w:r>
    </w:p>
    <w:p>
      <w:pPr>
        <w:numPr>
          <w:ilvl w:val="1"/>
          <w:numId w:val="1013"/>
        </w:numPr>
        <w:pStyle w:val="Compact"/>
      </w:pPr>
      <w:r>
        <w:t xml:space="preserve">Recycling Benefit: An assumed avoided emission credit of 1.0 kgCO2e/kg for the recycled mass, reflecting the displacement of virgin material production, similar to benefits seen in other materials like copper.</w:t>
      </w:r>
    </w:p>
    <w:p>
      <w:pPr>
        <w:numPr>
          <w:ilvl w:val="1"/>
          <w:numId w:val="1013"/>
        </w:numPr>
        <w:pStyle w:val="Compact"/>
      </w:pPr>
      <w:r>
        <w:t xml:space="preserve">Landfill/Incineration Emissions: An assumed emission factor of 0.1 kgCO2e/kg for the non-recycled portion, covering residual disposal impacts.</w:t>
      </w:r>
    </w:p>
    <w:p>
      <w:r>
        <w:pict>
          <v:rect style="width:0;height:1.5pt" o:hralign="center" o:hrstd="t" o:hr="t"/>
        </w:pict>
      </w:r>
    </w:p>
    <w:bookmarkEnd w:id="33"/>
    <w:bookmarkEnd w:id="34"/>
    <w:bookmarkStart w:id="40" w:name="emission-calculation-step-4"/>
    <w:p>
      <w:pPr>
        <w:pStyle w:val="Heading2"/>
      </w:pPr>
      <w:r>
        <w:t xml:space="preserve">3. Emission Calculation (Step 4)</w:t>
      </w:r>
    </w:p>
    <w:p>
      <w:pPr>
        <w:pStyle w:val="FirstParagraph"/>
      </w:pPr>
      <w:r>
        <w:t xml:space="preserve">Emissions are calculated for each stage of the product lifecycle and categorized according to the GHG Protocol Scopes. All calculations are in kgCO2e.</w:t>
      </w:r>
    </w:p>
    <w:bookmarkStart w:id="35" w:name="X80529f7c94e2e15fcec8cc1d32b56812d1bbcb2"/>
    <w:p>
      <w:pPr>
        <w:pStyle w:val="Heading3"/>
      </w:pPr>
      <w:r>
        <w:t xml:space="preserve">3.1. Raw Material Acquisition and Production (Scope 3, Upstream)</w:t>
      </w:r>
    </w:p>
    <w:p>
      <w:pPr>
        <w:pStyle w:val="FirstParagraph"/>
      </w:pPr>
      <w:r>
        <w:t xml:space="preserve">This category includes emissions from the extraction, processing, and initial production of all materials specified in the BOM.</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Description</w:t>
            </w:r>
          </w:p>
        </w:tc>
        <w:tc>
          <w:tcPr/>
          <w:p>
            <w:pPr>
              <w:pStyle w:val="Compact"/>
              <w:jc w:val="left"/>
            </w:pPr>
            <w:r>
              <w:t xml:space="preserve">Qty (kg)</w:t>
            </w:r>
          </w:p>
        </w:tc>
        <w:tc>
          <w:tcPr/>
          <w:p>
            <w:pPr>
              <w:pStyle w:val="Compact"/>
              <w:jc w:val="left"/>
            </w:pPr>
            <w:r>
              <w:t xml:space="preserve">Emission Factor (kgCO2e/kg)</w:t>
            </w:r>
          </w:p>
        </w:tc>
        <w:tc>
          <w:tcPr/>
          <w:p>
            <w:pPr>
              <w:pStyle w:val="Compact"/>
              <w:jc w:val="left"/>
            </w:pPr>
            <w:r>
              <w:t xml:space="preserve">Emissions (kgCO2e)</w:t>
            </w:r>
          </w:p>
        </w:tc>
      </w:tr>
      <w:tr>
        <w:tc>
          <w:tcPr/>
          <w:p>
            <w:pPr>
              <w:pStyle w:val="Compact"/>
              <w:jc w:val="left"/>
            </w:pPr>
            <w:r>
              <w:t xml:space="preserve">ABS Plastic Casing</w:t>
            </w:r>
          </w:p>
        </w:tc>
        <w:tc>
          <w:tcPr/>
          <w:p>
            <w:pPr>
              <w:pStyle w:val="Compact"/>
              <w:jc w:val="left"/>
            </w:pPr>
            <w:r>
              <w:t xml:space="preserve">0.5</w:t>
            </w:r>
          </w:p>
        </w:tc>
        <w:tc>
          <w:tcPr/>
          <w:p>
            <w:pPr>
              <w:pStyle w:val="Compact"/>
              <w:jc w:val="left"/>
            </w:pPr>
            <w:r>
              <w:t xml:space="preserve">2.5</w:t>
            </w:r>
          </w:p>
        </w:tc>
        <w:tc>
          <w:tcPr/>
          <w:p>
            <w:pPr>
              <w:pStyle w:val="Compact"/>
              <w:jc w:val="left"/>
            </w:pPr>
            <w:r>
              <w:t xml:space="preserve">1.25</w:t>
            </w:r>
          </w:p>
        </w:tc>
      </w:tr>
      <w:tr>
        <w:tc>
          <w:tcPr/>
          <w:p>
            <w:pPr>
              <w:pStyle w:val="Compact"/>
              <w:jc w:val="left"/>
            </w:pPr>
            <w:r>
              <w:t xml:space="preserve">PCB with Components</w:t>
            </w:r>
          </w:p>
        </w:tc>
        <w:tc>
          <w:tcPr/>
          <w:p>
            <w:pPr>
              <w:pStyle w:val="Compact"/>
              <w:jc w:val="left"/>
            </w:pPr>
            <w:r>
              <w:t xml:space="preserve">0.1</w:t>
            </w:r>
          </w:p>
        </w:tc>
        <w:tc>
          <w:tcPr/>
          <w:p>
            <w:pPr>
              <w:pStyle w:val="Compact"/>
              <w:jc w:val="left"/>
            </w:pPr>
            <w:r>
              <w:t xml:space="preserve">18.0</w:t>
            </w:r>
          </w:p>
        </w:tc>
        <w:tc>
          <w:tcPr/>
          <w:p>
            <w:pPr>
              <w:pStyle w:val="Compact"/>
              <w:jc w:val="left"/>
            </w:pPr>
            <w:r>
              <w:t xml:space="preserve">1.80</w:t>
            </w:r>
          </w:p>
        </w:tc>
      </w:tr>
      <w:tr>
        <w:tc>
          <w:tcPr/>
          <w:p>
            <w:pPr>
              <w:pStyle w:val="Compact"/>
              <w:jc w:val="left"/>
            </w:pPr>
            <w:r>
              <w:t xml:space="preserve">Lithium-ion Battery (50g)</w:t>
            </w:r>
          </w:p>
        </w:tc>
        <w:tc>
          <w:tcPr/>
          <w:p>
            <w:pPr>
              <w:pStyle w:val="Compact"/>
              <w:jc w:val="left"/>
            </w:pPr>
            <w:r>
              <w:t xml:space="preserve">0.05</w:t>
            </w:r>
          </w:p>
        </w:tc>
        <w:tc>
          <w:tcPr/>
          <w:p>
            <w:pPr>
              <w:pStyle w:val="Compact"/>
              <w:jc w:val="left"/>
            </w:pPr>
            <w:r>
              <w:t xml:space="preserve">10.0</w:t>
            </w:r>
          </w:p>
        </w:tc>
        <w:tc>
          <w:tcPr/>
          <w:p>
            <w:pPr>
              <w:pStyle w:val="Compact"/>
              <w:jc w:val="left"/>
            </w:pPr>
            <w:r>
              <w:t xml:space="preserve">0.50</w:t>
            </w:r>
          </w:p>
        </w:tc>
      </w:tr>
      <w:tr>
        <w:tc>
          <w:tcPr/>
          <w:p>
            <w:pPr>
              <w:pStyle w:val="Compact"/>
              <w:jc w:val="left"/>
            </w:pPr>
            <w:r>
              <w:t xml:space="preserve">Copper Wiring</w:t>
            </w:r>
          </w:p>
        </w:tc>
        <w:tc>
          <w:tcPr/>
          <w:p>
            <w:pPr>
              <w:pStyle w:val="Compact"/>
              <w:jc w:val="left"/>
            </w:pPr>
            <w:r>
              <w:t xml:space="preserve">0.02</w:t>
            </w:r>
          </w:p>
        </w:tc>
        <w:tc>
          <w:tcPr/>
          <w:p>
            <w:pPr>
              <w:pStyle w:val="Compact"/>
              <w:jc w:val="left"/>
            </w:pPr>
            <w:r>
              <w:t xml:space="preserve">3.5</w:t>
            </w:r>
          </w:p>
        </w:tc>
        <w:tc>
          <w:tcPr/>
          <w:p>
            <w:pPr>
              <w:pStyle w:val="Compact"/>
              <w:jc w:val="left"/>
            </w:pPr>
            <w:r>
              <w:t xml:space="preserve">0.07</w:t>
            </w:r>
          </w:p>
        </w:tc>
      </w:tr>
      <w:tr>
        <w:tc>
          <w:tcPr/>
          <w:p>
            <w:pPr>
              <w:pStyle w:val="Compact"/>
              <w:jc w:val="left"/>
            </w:pPr>
            <w:r>
              <w:t xml:space="preserve">Cardboard Packaging</w:t>
            </w:r>
          </w:p>
        </w:tc>
        <w:tc>
          <w:tcPr/>
          <w:p>
            <w:pPr>
              <w:pStyle w:val="Compact"/>
              <w:jc w:val="left"/>
            </w:pPr>
            <w:r>
              <w:t xml:space="preserve">0.2</w:t>
            </w:r>
          </w:p>
        </w:tc>
        <w:tc>
          <w:tcPr/>
          <w:p>
            <w:pPr>
              <w:pStyle w:val="Compact"/>
              <w:jc w:val="left"/>
            </w:pPr>
            <w:r>
              <w:t xml:space="preserve">0.8</w:t>
            </w:r>
          </w:p>
        </w:tc>
        <w:tc>
          <w:tcPr/>
          <w:p>
            <w:pPr>
              <w:pStyle w:val="Compact"/>
              <w:jc w:val="left"/>
            </w:pPr>
            <w:r>
              <w:t xml:space="preserve">0.16</w:t>
            </w:r>
          </w:p>
        </w:tc>
      </w:tr>
      <w:tr>
        <w:tc>
          <w:tcPr>
            <w:gridSpan w:val="3"/>
          </w:tcPr>
          <w:p>
            <w:pPr>
              <w:pStyle w:val="Compact"/>
              <w:jc w:val="right"/>
            </w:pPr>
            <w:r>
              <w:t xml:space="preserve">Subtotal Raw Materials:</w:t>
            </w:r>
          </w:p>
        </w:tc>
        <w:tc>
          <w:tcPr/>
          <w:p>
            <w:pPr>
              <w:pStyle w:val="Compact"/>
              <w:jc w:val="left"/>
            </w:pPr>
            <w:r>
              <w:t xml:space="preserve">3.78</w:t>
            </w:r>
          </w:p>
        </w:tc>
      </w:tr>
    </w:tbl>
    <w:bookmarkEnd w:id="35"/>
    <w:bookmarkStart w:id="36" w:name="manufacturing-scope-2"/>
    <w:p>
      <w:pPr>
        <w:pStyle w:val="Heading3"/>
      </w:pPr>
      <w:r>
        <w:t xml:space="preserve">3.2. Manufacturing (Scope 2)</w:t>
      </w:r>
    </w:p>
    <w:p>
      <w:pPr>
        <w:pStyle w:val="FirstParagraph"/>
      </w:pPr>
      <w:r>
        <w:t xml:space="preserve">This covers indirect emissions from purchased electricity used in the production processes at the factory in China.</w:t>
      </w:r>
    </w:p>
    <w:p>
      <w:pPr>
        <w:numPr>
          <w:ilvl w:val="0"/>
          <w:numId w:val="1014"/>
        </w:numPr>
        <w:pStyle w:val="Compact"/>
      </w:pPr>
      <w:r>
        <w:t xml:space="preserve">Total Energy Intensity: 2.5 kWh/unit</w:t>
      </w:r>
    </w:p>
    <w:p>
      <w:pPr>
        <w:numPr>
          <w:ilvl w:val="0"/>
          <w:numId w:val="1014"/>
        </w:numPr>
        <w:pStyle w:val="Compact"/>
      </w:pPr>
      <w:r>
        <w:t xml:space="preserve">Renewable Energy Usage: 70%</w:t>
      </w:r>
    </w:p>
    <w:p>
      <w:pPr>
        <w:numPr>
          <w:ilvl w:val="0"/>
          <w:numId w:val="1014"/>
        </w:numPr>
        <w:pStyle w:val="Compact"/>
      </w:pPr>
      <w:r>
        <w:t xml:space="preserve">Grid Electricity Share: 30%</w:t>
      </w:r>
    </w:p>
    <w:p>
      <w:pPr>
        <w:numPr>
          <w:ilvl w:val="0"/>
          <w:numId w:val="1014"/>
        </w:numPr>
        <w:pStyle w:val="Compact"/>
      </w:pPr>
      <w:r>
        <w:t xml:space="preserve">Grid Electricity Consumed: 2.5 kWh/unit × 0.30 = 0.75 kWh/unit</w:t>
      </w:r>
    </w:p>
    <w:p>
      <w:pPr>
        <w:numPr>
          <w:ilvl w:val="0"/>
          <w:numId w:val="1014"/>
        </w:numPr>
        <w:pStyle w:val="Compact"/>
      </w:pPr>
      <w:r>
        <w:t xml:space="preserve">China Grid Emission Factor: 0.6 kgCO2e/kWh</w:t>
      </w:r>
    </w:p>
    <w:p>
      <w:pPr>
        <w:numPr>
          <w:ilvl w:val="0"/>
          <w:numId w:val="1014"/>
        </w:numPr>
        <w:pStyle w:val="Compact"/>
      </w:pPr>
      <w:r>
        <w:rPr>
          <w:bCs/>
          <w:b/>
        </w:rPr>
        <w:t xml:space="preserve">Emissions from Manufacturing Electricity = 0.75 kWh/unit × 0.6 kgCO2e/kWh = 0.45 kgCO2e</w:t>
      </w:r>
    </w:p>
    <w:bookmarkEnd w:id="36"/>
    <w:bookmarkStart w:id="37" w:name="X2b2c834e6b90e496e05f81082af104a2bf44fe0"/>
    <w:p>
      <w:pPr>
        <w:pStyle w:val="Heading3"/>
      </w:pPr>
      <w:r>
        <w:t xml:space="preserve">3.3. Transport and Distribution (Scope 3, Upstream &amp; Downstream)</w:t>
      </w:r>
    </w:p>
    <w:p>
      <w:pPr>
        <w:pStyle w:val="FirstParagraph"/>
      </w:pPr>
      <w:r>
        <w:t xml:space="preserve">This includes emissions from transporting raw materials to the factory (if applicable, assumed integrated into BOM EF for simplicity), finished product from China to Europe, and last-mile delivery to the customer.</w:t>
      </w:r>
    </w:p>
    <w:p>
      <w:pPr>
        <w:numPr>
          <w:ilvl w:val="0"/>
          <w:numId w:val="1015"/>
        </w:numPr>
        <w:pStyle w:val="Compact"/>
      </w:pPr>
      <w:r>
        <w:t xml:space="preserve">Total Product Mass (with packaging): 0.87 kg</w:t>
      </w:r>
    </w:p>
    <w:p>
      <w:pPr>
        <w:numPr>
          <w:ilvl w:val="0"/>
          <w:numId w:val="1015"/>
        </w:numPr>
        <w:pStyle w:val="Compact"/>
      </w:pPr>
      <w:r>
        <w:rPr>
          <w:bCs/>
          <w:b/>
        </w:rPr>
        <w:t xml:space="preserve">Sea Freight (China to Europe):</w:t>
      </w:r>
    </w:p>
    <w:p>
      <w:pPr>
        <w:numPr>
          <w:ilvl w:val="1"/>
          <w:numId w:val="1016"/>
        </w:numPr>
        <w:pStyle w:val="Compact"/>
      </w:pPr>
      <w:r>
        <w:t xml:space="preserve">Distance: 20,000 km</w:t>
      </w:r>
    </w:p>
    <w:p>
      <w:pPr>
        <w:numPr>
          <w:ilvl w:val="1"/>
          <w:numId w:val="1016"/>
        </w:numPr>
        <w:pStyle w:val="Compact"/>
      </w:pPr>
      <w:r>
        <w:t xml:space="preserve">Mass: 0.00087 tonnes (0.87 kg)</w:t>
      </w:r>
    </w:p>
    <w:p>
      <w:pPr>
        <w:numPr>
          <w:ilvl w:val="1"/>
          <w:numId w:val="1016"/>
        </w:numPr>
        <w:pStyle w:val="Compact"/>
      </w:pPr>
      <w:r>
        <w:t xml:space="preserve">Emission Factor: 0.02 kgCO2e/tonne-km</w:t>
      </w:r>
    </w:p>
    <w:p>
      <w:pPr>
        <w:numPr>
          <w:ilvl w:val="1"/>
          <w:numId w:val="1016"/>
        </w:numPr>
        <w:pStyle w:val="Compact"/>
      </w:pPr>
      <w:r>
        <w:t xml:space="preserve">Emissions: 0.00087 t × 20,000 km × 0.02 kgCO2e/tkm = 0.348 kgCO2e</w:t>
      </w:r>
    </w:p>
    <w:p>
      <w:pPr>
        <w:numPr>
          <w:ilvl w:val="0"/>
          <w:numId w:val="1015"/>
        </w:numPr>
        <w:pStyle w:val="Compact"/>
      </w:pPr>
      <w:r>
        <w:rPr>
          <w:bCs/>
          <w:b/>
        </w:rPr>
        <w:t xml:space="preserve">Road Freight (Europe Port to DC):</w:t>
      </w:r>
    </w:p>
    <w:p>
      <w:pPr>
        <w:numPr>
          <w:ilvl w:val="1"/>
          <w:numId w:val="1017"/>
        </w:numPr>
        <w:pStyle w:val="Compact"/>
      </w:pPr>
      <w:r>
        <w:t xml:space="preserve">Distance: 500 km</w:t>
      </w:r>
    </w:p>
    <w:p>
      <w:pPr>
        <w:numPr>
          <w:ilvl w:val="1"/>
          <w:numId w:val="1017"/>
        </w:numPr>
        <w:pStyle w:val="Compact"/>
      </w:pPr>
      <w:r>
        <w:t xml:space="preserve">Mass: 0.00087 tonnes (0.87 kg)</w:t>
      </w:r>
    </w:p>
    <w:p>
      <w:pPr>
        <w:numPr>
          <w:ilvl w:val="1"/>
          <w:numId w:val="1017"/>
        </w:numPr>
        <w:pStyle w:val="Compact"/>
      </w:pPr>
      <w:r>
        <w:t xml:space="preserve">Emission Factor: 0.1 kgCO2e/tonne-km</w:t>
      </w:r>
    </w:p>
    <w:p>
      <w:pPr>
        <w:numPr>
          <w:ilvl w:val="1"/>
          <w:numId w:val="1017"/>
        </w:numPr>
        <w:pStyle w:val="Compact"/>
      </w:pPr>
      <w:r>
        <w:t xml:space="preserve">Emissions: 0.00087 t × 500 km × 0.1 kgCO2e/tkm = 0.0435 kgCO2e</w:t>
      </w:r>
    </w:p>
    <w:p>
      <w:pPr>
        <w:numPr>
          <w:ilvl w:val="0"/>
          <w:numId w:val="1015"/>
        </w:numPr>
        <w:pStyle w:val="Compact"/>
      </w:pPr>
      <w:r>
        <w:rPr>
          <w:bCs/>
          <w:b/>
        </w:rPr>
        <w:t xml:space="preserve">Last-Mile Delivery (DC to Consumer):</w:t>
      </w:r>
    </w:p>
    <w:p>
      <w:pPr>
        <w:numPr>
          <w:ilvl w:val="1"/>
          <w:numId w:val="1018"/>
        </w:numPr>
        <w:pStyle w:val="Compact"/>
      </w:pPr>
      <w:r>
        <w:t xml:space="preserve">Average Distance: 100 km/unit</w:t>
      </w:r>
    </w:p>
    <w:p>
      <w:pPr>
        <w:numPr>
          <w:ilvl w:val="1"/>
          <w:numId w:val="1018"/>
        </w:numPr>
        <w:pStyle w:val="Compact"/>
      </w:pPr>
      <w:r>
        <w:t xml:space="preserve">Emission Factor (van delivery): 0.2 kgCO2e/unit</w:t>
      </w:r>
    </w:p>
    <w:p>
      <w:pPr>
        <w:numPr>
          <w:ilvl w:val="1"/>
          <w:numId w:val="1018"/>
        </w:numPr>
        <w:pStyle w:val="Compact"/>
      </w:pPr>
      <w:r>
        <w:t xml:space="preserve">Emissions: 0.2 kgCO2e</w:t>
      </w:r>
    </w:p>
    <w:p>
      <w:pPr>
        <w:numPr>
          <w:ilvl w:val="0"/>
          <w:numId w:val="1015"/>
        </w:numPr>
        <w:pStyle w:val="Compact"/>
      </w:pPr>
      <w:r>
        <w:rPr>
          <w:bCs/>
          <w:b/>
        </w:rPr>
        <w:t xml:space="preserve">Subtotal Transport and Distribution = 0.348 + 0.0435 + 0.2 = 0.5915 kgCO2e</w:t>
      </w:r>
    </w:p>
    <w:bookmarkEnd w:id="37"/>
    <w:bookmarkStart w:id="38" w:name="use-phase-scope-3-downstream"/>
    <w:p>
      <w:pPr>
        <w:pStyle w:val="Heading3"/>
      </w:pPr>
      <w:r>
        <w:t xml:space="preserve">3.4. Use Phase (Scope 3, Downstream)</w:t>
      </w:r>
    </w:p>
    <w:p>
      <w:pPr>
        <w:pStyle w:val="FirstParagraph"/>
      </w:pPr>
      <w:r>
        <w:t xml:space="preserve">Emissions generated during the product\'s operational life by consuming electricity.</w:t>
      </w:r>
    </w:p>
    <w:p>
      <w:pPr>
        <w:numPr>
          <w:ilvl w:val="0"/>
          <w:numId w:val="1019"/>
        </w:numPr>
        <w:pStyle w:val="Compact"/>
      </w:pPr>
      <w:r>
        <w:t xml:space="preserve">Product Lifespan: 5 years</w:t>
      </w:r>
    </w:p>
    <w:p>
      <w:pPr>
        <w:numPr>
          <w:ilvl w:val="0"/>
          <w:numId w:val="1019"/>
        </w:numPr>
        <w:pStyle w:val="Compact"/>
      </w:pPr>
      <w:r>
        <w:t xml:space="preserve">Annual Energy Consumption: 10 kWh/year</w:t>
      </w:r>
    </w:p>
    <w:p>
      <w:pPr>
        <w:numPr>
          <w:ilvl w:val="0"/>
          <w:numId w:val="1019"/>
        </w:numPr>
        <w:pStyle w:val="Compact"/>
      </w:pPr>
      <w:r>
        <w:t xml:space="preserve">Total Energy Consumption: 10 kWh/year × 5 years = 50 kWh</w:t>
      </w:r>
    </w:p>
    <w:p>
      <w:pPr>
        <w:numPr>
          <w:ilvl w:val="0"/>
          <w:numId w:val="1019"/>
        </w:numPr>
        <w:pStyle w:val="Compact"/>
      </w:pPr>
      <w:r>
        <w:t xml:space="preserve">Europe Grid Emission Factor: 0.25 kgCO2e/kWh</w:t>
      </w:r>
    </w:p>
    <w:p>
      <w:pPr>
        <w:numPr>
          <w:ilvl w:val="0"/>
          <w:numId w:val="1019"/>
        </w:numPr>
        <w:pStyle w:val="Compact"/>
      </w:pPr>
      <w:r>
        <w:rPr>
          <w:bCs/>
          <w:b/>
        </w:rPr>
        <w:t xml:space="preserve">Emissions from Use Phase = 50 kWh × 0.25 kgCO2e/kWh = 12.50 kgCO2e</w:t>
      </w:r>
    </w:p>
    <w:bookmarkEnd w:id="38"/>
    <w:bookmarkStart w:id="39" w:name="end-of-life-eol-scope-3-downstream"/>
    <w:p>
      <w:pPr>
        <w:pStyle w:val="Heading3"/>
      </w:pPr>
      <w:r>
        <w:t xml:space="preserve">3.5. End-of-Life (EoL) (Scope 3, Downstream)</w:t>
      </w:r>
    </w:p>
    <w:p>
      <w:pPr>
        <w:pStyle w:val="FirstParagraph"/>
      </w:pPr>
      <w:r>
        <w:t xml:space="preserve">This accounts for emissions and avoided emissions from disposal and recycling activities, reflecting circular economy impacts.</w:t>
      </w:r>
    </w:p>
    <w:p>
      <w:pPr>
        <w:numPr>
          <w:ilvl w:val="0"/>
          <w:numId w:val="1020"/>
        </w:numPr>
        <w:pStyle w:val="Compact"/>
      </w:pPr>
      <w:r>
        <w:t xml:space="preserve">Total Product Mass: 0.87 kg</w:t>
      </w:r>
    </w:p>
    <w:p>
      <w:pPr>
        <w:numPr>
          <w:ilvl w:val="0"/>
          <w:numId w:val="1020"/>
        </w:numPr>
        <w:pStyle w:val="Compact"/>
      </w:pPr>
      <w:r>
        <w:t xml:space="preserve">Recyclability Percentage: 80%</w:t>
      </w:r>
    </w:p>
    <w:p>
      <w:pPr>
        <w:numPr>
          <w:ilvl w:val="0"/>
          <w:numId w:val="1020"/>
        </w:numPr>
        <w:pStyle w:val="Compact"/>
      </w:pPr>
      <w:r>
        <w:t xml:space="preserve">Mass Recycled: 0.87 kg × 0.80 = 0.696 kg</w:t>
      </w:r>
    </w:p>
    <w:p>
      <w:pPr>
        <w:numPr>
          <w:ilvl w:val="0"/>
          <w:numId w:val="1020"/>
        </w:numPr>
        <w:pStyle w:val="Compact"/>
      </w:pPr>
      <w:r>
        <w:t xml:space="preserve">Mass to Landfill/Incineration: 0.87 kg × 0.20 = 0.174 kg</w:t>
      </w:r>
    </w:p>
    <w:p>
      <w:pPr>
        <w:numPr>
          <w:ilvl w:val="0"/>
          <w:numId w:val="1020"/>
        </w:numPr>
        <w:pStyle w:val="Compact"/>
      </w:pPr>
      <w:r>
        <w:rPr>
          <w:bCs/>
          <w:b/>
        </w:rPr>
        <w:t xml:space="preserve">Recycling Benefit (Avoided Emissions):</w:t>
      </w:r>
      <w:r>
        <w:t xml:space="preserve"> </w:t>
      </w:r>
      <w:r>
        <w:t xml:space="preserve">0.696 kg × (-1.0 kgCO2e/kg) = -0.696 kgCO2e (credit for displacing virgin material production)</w:t>
      </w:r>
    </w:p>
    <w:p>
      <w:pPr>
        <w:numPr>
          <w:ilvl w:val="0"/>
          <w:numId w:val="1020"/>
        </w:numPr>
        <w:pStyle w:val="Compact"/>
      </w:pPr>
      <w:r>
        <w:rPr>
          <w:bCs/>
          <w:b/>
        </w:rPr>
        <w:t xml:space="preserve">Landfill/Incineration Emissions:</w:t>
      </w:r>
      <w:r>
        <w:t xml:space="preserve"> </w:t>
      </w:r>
      <w:r>
        <w:t xml:space="preserve">0.174 kg × 0.1 kgCO2e/kg = 0.0174 kgCO2e</w:t>
      </w:r>
    </w:p>
    <w:p>
      <w:pPr>
        <w:numPr>
          <w:ilvl w:val="0"/>
          <w:numId w:val="1020"/>
        </w:numPr>
        <w:pStyle w:val="Compact"/>
      </w:pPr>
      <w:r>
        <w:rPr>
          <w:bCs/>
          <w:b/>
        </w:rPr>
        <w:t xml:space="preserve">Subtotal End-of-Life = -0.696 + 0.0174 = -0.6786 kgCO2e</w:t>
      </w:r>
      <w:r>
        <w:t xml:space="preserve"> </w:t>
      </w:r>
      <w:r>
        <w:t xml:space="preserve">(Net reduction due to circularity efforts)</w:t>
      </w:r>
    </w:p>
    <w:p>
      <w:r>
        <w:pict>
          <v:rect style="width:0;height:1.5pt" o:hralign="center" o:hrstd="t" o:hr="t"/>
        </w:pict>
      </w:r>
    </w:p>
    <w:bookmarkEnd w:id="39"/>
    <w:bookmarkEnd w:id="40"/>
    <w:bookmarkStart w:id="41" w:name="total-product-carbon-footprint-pcf"/>
    <w:p>
      <w:pPr>
        <w:pStyle w:val="Heading2"/>
      </w:pPr>
      <w:r>
        <w:t xml:space="preserve">4. Total Product Carbon Footprint (PCF)</w:t>
      </w:r>
    </w:p>
    <w:p>
      <w:pPr>
        <w:pStyle w:val="FirstParagraph"/>
      </w:pPr>
      <w:r>
        <w:t xml:space="preserve">The total Product Carbon Footprint for one functional unit of fwjvizlypk is the sum of emissions across all lifecycle stages:</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Protocol Scope</w:t>
            </w:r>
          </w:p>
        </w:tc>
        <w:tc>
          <w:tcPr/>
          <w:p>
            <w:pPr>
              <w:pStyle w:val="Compact"/>
              <w:jc w:val="left"/>
            </w:pPr>
            <w:r>
              <w:t xml:space="preserve">Emissions (kgCO2e)</w:t>
            </w:r>
          </w:p>
        </w:tc>
      </w:tr>
      <w:tr>
        <w:tc>
          <w:tcPr/>
          <w:p>
            <w:pPr>
              <w:pStyle w:val="Compact"/>
              <w:jc w:val="left"/>
            </w:pPr>
            <w:r>
              <w:t xml:space="preserve">Raw Material Acquisition &amp; Production</w:t>
            </w:r>
          </w:p>
        </w:tc>
        <w:tc>
          <w:tcPr/>
          <w:p>
            <w:pPr>
              <w:pStyle w:val="Compact"/>
              <w:jc w:val="left"/>
            </w:pPr>
            <w:r>
              <w:t xml:space="preserve">Scope 3 (Upstream)</w:t>
            </w:r>
          </w:p>
        </w:tc>
        <w:tc>
          <w:tcPr/>
          <w:p>
            <w:pPr>
              <w:pStyle w:val="Compact"/>
              <w:jc w:val="left"/>
            </w:pPr>
            <w:r>
              <w:t xml:space="preserve">3.78</w:t>
            </w:r>
          </w:p>
        </w:tc>
      </w:tr>
      <w:tr>
        <w:tc>
          <w:tcPr/>
          <w:p>
            <w:pPr>
              <w:pStyle w:val="Compact"/>
              <w:jc w:val="left"/>
            </w:pPr>
            <w:r>
              <w:t xml:space="preserve">Manufacturing (Purchased Electricity)</w:t>
            </w:r>
          </w:p>
        </w:tc>
        <w:tc>
          <w:tcPr/>
          <w:p>
            <w:pPr>
              <w:pStyle w:val="Compact"/>
              <w:jc w:val="left"/>
            </w:pPr>
            <w:r>
              <w:t xml:space="preserve">Scope 2</w:t>
            </w:r>
          </w:p>
        </w:tc>
        <w:tc>
          <w:tcPr/>
          <w:p>
            <w:pPr>
              <w:pStyle w:val="Compact"/>
              <w:jc w:val="left"/>
            </w:pPr>
            <w:r>
              <w:t xml:space="preserve">0.45</w:t>
            </w:r>
          </w:p>
        </w:tc>
      </w:tr>
      <w:tr>
        <w:tc>
          <w:tcPr/>
          <w:p>
            <w:pPr>
              <w:pStyle w:val="Compact"/>
              <w:jc w:val="left"/>
            </w:pPr>
            <w:r>
              <w:t xml:space="preserve">Transport &amp; Distribution</w:t>
            </w:r>
          </w:p>
        </w:tc>
        <w:tc>
          <w:tcPr/>
          <w:p>
            <w:pPr>
              <w:pStyle w:val="Compact"/>
              <w:jc w:val="left"/>
            </w:pPr>
            <w:r>
              <w:t xml:space="preserve">Scope 3 (Upstream &amp; Downstream)</w:t>
            </w:r>
          </w:p>
        </w:tc>
        <w:tc>
          <w:tcPr/>
          <w:p>
            <w:pPr>
              <w:pStyle w:val="Compact"/>
              <w:jc w:val="left"/>
            </w:pPr>
            <w:r>
              <w:t xml:space="preserve">0.5915</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12.50</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-0.6786</w:t>
            </w:r>
          </w:p>
        </w:tc>
      </w:tr>
      <w:tr>
        <w:tc>
          <w:tcPr>
            <w:gridSpan w:val="2"/>
          </w:tcPr>
          <w:p>
            <w:pPr>
              <w:pStyle w:val="Compact"/>
              <w:jc w:val="right"/>
            </w:pPr>
            <w:r>
              <w:t xml:space="preserve">TOTAL PRODUCT CARBON FOOTPRINT:</w:t>
            </w:r>
          </w:p>
        </w:tc>
        <w:tc>
          <w:tcPr/>
          <w:p>
            <w:pPr>
              <w:pStyle w:val="Compact"/>
              <w:jc w:val="left"/>
            </w:pPr>
            <w:r>
              <w:t xml:space="preserve">16.6429 kgCO2e</w:t>
            </w:r>
          </w:p>
        </w:tc>
      </w:tr>
    </w:tbl>
    <w:p>
      <w:r>
        <w:pict>
          <v:rect style="width:0;height:1.5pt" o:hralign="center" o:hrstd="t" o:hr="t"/>
        </w:pict>
      </w:r>
    </w:p>
    <w:bookmarkEnd w:id="41"/>
    <w:bookmarkStart w:id="45" w:name="review-reporting-step-5"/>
    <w:p>
      <w:pPr>
        <w:pStyle w:val="Heading2"/>
      </w:pPr>
      <w:r>
        <w:t xml:space="preserve">5. Review &amp; Reporting (Step 5)</w:t>
      </w:r>
    </w:p>
    <w:bookmarkStart w:id="42" w:name="emission-hotspots"/>
    <w:p>
      <w:pPr>
        <w:pStyle w:val="Heading3"/>
      </w:pPr>
      <w:r>
        <w:t xml:space="preserve">5.1. Emission Hotspots</w:t>
      </w:r>
    </w:p>
    <w:p>
      <w:pPr>
        <w:pStyle w:val="FirstParagraph"/>
      </w:pPr>
      <w:r>
        <w:t xml:space="preserve">The analysis reveals the following key emission hotspots for fwjvizlypk:</w:t>
      </w:r>
    </w:p>
    <w:p>
      <w:pPr>
        <w:numPr>
          <w:ilvl w:val="0"/>
          <w:numId w:val="1021"/>
        </w:numPr>
        <w:pStyle w:val="Compact"/>
      </w:pPr>
      <w:r>
        <w:rPr>
          <w:bCs/>
          <w:b/>
        </w:rPr>
        <w:t xml:space="preserve">Use Phase (75.1%):</w:t>
      </w:r>
      <w:r>
        <w:t xml:space="preserve"> </w:t>
      </w:r>
      <w:r>
        <w:t xml:space="preserve">The vast majority of the product\'s carbon footprint is attributed to its energy consumption during the 5-year use phase. This highlights the critical importance of energy-efficient design and user behavior for significant reductions.</w:t>
      </w:r>
    </w:p>
    <w:p>
      <w:pPr>
        <w:numPr>
          <w:ilvl w:val="0"/>
          <w:numId w:val="1021"/>
        </w:numPr>
        <w:pStyle w:val="Compact"/>
      </w:pPr>
      <w:r>
        <w:rPr>
          <w:bCs/>
          <w:b/>
        </w:rPr>
        <w:t xml:space="preserve">Raw Material Acquisition &amp; Production (22.7%):</w:t>
      </w:r>
      <w:r>
        <w:t xml:space="preserve"> </w:t>
      </w:r>
      <w:r>
        <w:t xml:space="preserve">Manufacturing of components, particularly the PCB with components and ABS plastic casing, represents the second largest contributor. Efforts in sustainable material sourcing, design for lighter materials, and incorporating recycled content are crucial.</w:t>
      </w:r>
    </w:p>
    <w:p>
      <w:pPr>
        <w:numPr>
          <w:ilvl w:val="0"/>
          <w:numId w:val="1021"/>
        </w:numPr>
        <w:pStyle w:val="Compact"/>
      </w:pPr>
      <w:r>
        <w:rPr>
          <w:bCs/>
          <w:b/>
        </w:rPr>
        <w:t xml:space="preserve">Transport &amp; Distribution (3.6%):</w:t>
      </w:r>
      <w:r>
        <w:t xml:space="preserve"> </w:t>
      </w:r>
      <w:r>
        <w:t xml:space="preserve">While less impactful than use phase or materials, optimizing logistics, especially the long-distance sea freight and efficient last-mile delivery, can contribute to reductions.</w:t>
      </w:r>
    </w:p>
    <w:p>
      <w:pPr>
        <w:numPr>
          <w:ilvl w:val="0"/>
          <w:numId w:val="1021"/>
        </w:numPr>
        <w:pStyle w:val="Compact"/>
      </w:pPr>
      <w:r>
        <w:rPr>
          <w:bCs/>
          <w:b/>
        </w:rPr>
        <w:t xml:space="preserve">Manufacturing (2.7%):</w:t>
      </w:r>
      <w:r>
        <w:t xml:space="preserve"> </w:t>
      </w:r>
      <w:r>
        <w:t xml:space="preserve">Despite hkqgyhgqmz\'s 70% renewable energy usage, the remaining grid electricity from China still contributes, emphasizing the need for continued decarbonization of energy sources.</w:t>
      </w:r>
    </w:p>
    <w:p>
      <w:pPr>
        <w:numPr>
          <w:ilvl w:val="0"/>
          <w:numId w:val="1021"/>
        </w:numPr>
        <w:pStyle w:val="Compact"/>
      </w:pPr>
      <w:r>
        <w:rPr>
          <w:bCs/>
          <w:b/>
        </w:rPr>
        <w:t xml:space="preserve">End-of-Life (-4.1%):</w:t>
      </w:r>
      <w:r>
        <w:t xml:space="preserve"> </w:t>
      </w:r>
      <w:r>
        <w:t xml:space="preserve">The active take-back program and high recyclability percentage demonstrate a significant positive impact, leading to net avoided emissions and showcasing the benefits of circular economy principles.</w:t>
      </w:r>
    </w:p>
    <w:bookmarkEnd w:id="42"/>
    <w:bookmarkStart w:id="43" w:name="data-reliability-and-limitations"/>
    <w:p>
      <w:pPr>
        <w:pStyle w:val="Heading3"/>
      </w:pPr>
      <w:r>
        <w:t xml:space="preserve">5.2. Data Reliability and Limitations</w:t>
      </w:r>
    </w:p>
    <w:p>
      <w:pPr>
        <w:pStyle w:val="FirstParagraph"/>
      </w:pPr>
      <w:r>
        <w:t xml:space="preserve">This report relies on a combination of provided specific parameters and industry-average emission factors, sourced from recognized databases such as Ecoinvent and DEFRA. While providing a robust estimate, limitations include:</w:t>
      </w:r>
    </w:p>
    <w:p>
      <w:pPr>
        <w:numPr>
          <w:ilvl w:val="0"/>
          <w:numId w:val="1022"/>
        </w:numPr>
        <w:pStyle w:val="Compact"/>
      </w:pPr>
      <w:r>
        <w:t xml:space="preserve">Reliance on generic emission factors for certain processes where primary supplier-specific data was not available.</w:t>
      </w:r>
    </w:p>
    <w:p>
      <w:pPr>
        <w:numPr>
          <w:ilvl w:val="0"/>
          <w:numId w:val="1022"/>
        </w:numPr>
        <w:pStyle w:val="Compact"/>
      </w:pPr>
      <w:r>
        <w:t xml:space="preserve">Assumptions made for transport modes and distances based on geographic scope.</w:t>
      </w:r>
    </w:p>
    <w:p>
      <w:pPr>
        <w:numPr>
          <w:ilvl w:val="0"/>
          <w:numId w:val="1022"/>
        </w:numPr>
        <w:pStyle w:val="Compact"/>
      </w:pPr>
      <w:r>
        <w:t xml:space="preserve">Simplified modeling of End-of-Life scenarios, with a general avoided emission factor for recycling. Detailed material-specific recycling benefits could refine this further.</w:t>
      </w:r>
    </w:p>
    <w:p>
      <w:pPr>
        <w:numPr>
          <w:ilvl w:val="0"/>
          <w:numId w:val="1022"/>
        </w:numPr>
        <w:pStyle w:val="Compact"/>
      </w:pPr>
      <w:r>
        <w:t xml:space="preserve">The 2026 LSR Standard is recently implemented (effective Jan 1, 2027), and its accompanying detailed guidance is expected in Q2 2026. This analysis incorporates its principles where applicable, particularly for land-use aspects of raw material sourcing, but full granular application awaits further guidance.</w:t>
      </w:r>
    </w:p>
    <w:bookmarkEnd w:id="43"/>
    <w:bookmarkStart w:id="44" w:name="recommendations-for-reduction"/>
    <w:p>
      <w:pPr>
        <w:pStyle w:val="Heading3"/>
      </w:pPr>
      <w:r>
        <w:t xml:space="preserve">5.3. Recommendations for Reduction</w:t>
      </w:r>
    </w:p>
    <w:p>
      <w:pPr>
        <w:pStyle w:val="FirstParagraph"/>
      </w:pPr>
      <w:r>
        <w:t xml:space="preserve">Based on this PCF analysis, hkqgyhgqmz should focus on:</w:t>
      </w:r>
    </w:p>
    <w:p>
      <w:pPr>
        <w:numPr>
          <w:ilvl w:val="0"/>
          <w:numId w:val="1023"/>
        </w:numPr>
        <w:pStyle w:val="Compact"/>
      </w:pPr>
      <w:r>
        <w:rPr>
          <w:bCs/>
          <w:b/>
        </w:rPr>
        <w:t xml:space="preserve">Energy Efficiency in Use Phase:</w:t>
      </w:r>
      <w:r>
        <w:t xml:space="preserve"> </w:t>
      </w:r>
      <w:r>
        <w:t xml:space="preserve">Invest in R&amp;D to drastically reduce the energy consumption of fwjvizlypk during its operational lifespan, as this is the dominant hotspot. Engage consumers with clear information on energy-efficient usage.</w:t>
      </w:r>
    </w:p>
    <w:p>
      <w:pPr>
        <w:numPr>
          <w:ilvl w:val="0"/>
          <w:numId w:val="1023"/>
        </w:numPr>
        <w:pStyle w:val="Compact"/>
      </w:pPr>
      <w:r>
        <w:rPr>
          <w:bCs/>
          <w:b/>
        </w:rPr>
        <w:t xml:space="preserve">Sustainable Material Sourcing:</w:t>
      </w:r>
      <w:r>
        <w:t xml:space="preserve"> </w:t>
      </w:r>
      <w:r>
        <w:t xml:space="preserve">Explore materials with lower embedded carbon, increase the use of recycled content in components like ABS plastic, and work with suppliers to gather primary emission data.</w:t>
      </w:r>
    </w:p>
    <w:p>
      <w:pPr>
        <w:numPr>
          <w:ilvl w:val="0"/>
          <w:numId w:val="1023"/>
        </w:numPr>
        <w:pStyle w:val="Compact"/>
      </w:pPr>
      <w:r>
        <w:rPr>
          <w:bCs/>
          <w:b/>
        </w:rPr>
        <w:t xml:space="preserve">Manufacturing Decarbonization:</w:t>
      </w:r>
      <w:r>
        <w:t xml:space="preserve"> </w:t>
      </w:r>
      <w:r>
        <w:t xml:space="preserve">Continue to increase renewable energy procurement in manufacturing facilities in China or transition to regions with lower grid emission factors.</w:t>
      </w:r>
    </w:p>
    <w:p>
      <w:pPr>
        <w:numPr>
          <w:ilvl w:val="0"/>
          <w:numId w:val="1023"/>
        </w:numPr>
        <w:pStyle w:val="Compact"/>
      </w:pPr>
      <w:r>
        <w:rPr>
          <w:bCs/>
          <w:b/>
        </w:rPr>
        <w:t xml:space="preserve">Optimized Logistics:</w:t>
      </w:r>
      <w:r>
        <w:t xml:space="preserve"> </w:t>
      </w:r>
      <w:r>
        <w:t xml:space="preserve">Review transportation networks for efficiency gains, prioritize less carbon-intensive shipping methods, and explore consolidation opportunities.</w:t>
      </w:r>
    </w:p>
    <w:p>
      <w:pPr>
        <w:numPr>
          <w:ilvl w:val="0"/>
          <w:numId w:val="1023"/>
        </w:numPr>
        <w:pStyle w:val="Compact"/>
      </w:pPr>
      <w:r>
        <w:rPr>
          <w:bCs/>
          <w:b/>
        </w:rPr>
        <w:t xml:space="preserve">Enhance Circularity:</w:t>
      </w:r>
      <w:r>
        <w:t xml:space="preserve"> </w:t>
      </w:r>
      <w:r>
        <w:t xml:space="preserve">Continue to strengthen take-back and recycling programs, aiming to increase actual material recovery rates and explore refurbishment/remanufacturing loops for components.</w:t>
      </w:r>
    </w:p>
    <w:p>
      <w:r>
        <w:pict>
          <v:rect style="width:0;height:1.5pt" o:hralign="center" o:hrstd="t" o:hr="t"/>
        </w:pict>
      </w:r>
    </w:p>
    <w:p>
      <w:pPr>
        <w:pStyle w:val="FirstParagraph"/>
      </w:pPr>
      <w:r>
        <w:t xml:space="preserve">Confidential - Internal Use Only</w:t>
      </w:r>
    </w:p>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Analysis Report for fwjvizlypk</dc:title>
  <dc:creator/>
  <dc:description>Detailed Product Carbon Footprint (PCF) analysis report for fwjvizlypk, conducted by hkqgyhgqmz, specializing in GHG Protocol compliance and 2026 LSR updates.</dc:description>
  <dc:language>en</dc:language>
  <cp:keywords/>
  <dcterms:created xsi:type="dcterms:W3CDTF">2026-05-30T18:34:41Z</dcterms:created>
  <dcterms:modified xsi:type="dcterms:W3CDTF">2026-05-30T18:34:41Z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