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fneuyqujxj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fneuyqujxj</w:t>
      </w:r>
    </w:p>
    <w:p>
      <w:pPr>
        <w:pStyle w:val="BodyText"/>
      </w:pPr>
      <w:r>
        <w:rPr>
          <w:bCs/>
          <w:b/>
        </w:rPr>
        <w:t xml:space="preserve">Company Name:</w:t>
      </w:r>
      <w:r>
        <w:t xml:space="preserve"> </w:t>
      </w:r>
      <w:r>
        <w:t xml:space="preserve">motmykvfoe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fxuzdonwxn</w:t>
      </w:r>
    </w:p>
    <w:p>
      <w:pPr>
        <w:pStyle w:val="BodyText"/>
      </w:pPr>
      <w:r>
        <w:t xml:space="preserve">This report is generated based on available data and industry standards, providing an estimate of the Product Carbon Footprint (PCF) for fneuyqujxj. Actual emissions may vary based on specific operational details and data precision.</w:t>
      </w:r>
    </w:p>
    <w:bookmarkEnd w:id="20"/>
    <w:bookmarkStart w:id="37" w:name="Xe38ede6ed2eaff7422de033c6cb0611385ef4a7"/>
    <w:p>
      <w:pPr>
        <w:pStyle w:val="Heading1"/>
      </w:pPr>
      <w:r>
        <w:t xml:space="preserve">Product Carbon Footprint Analysis Report for fneuyqujxj</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fneuyqujxj, conducted by fxuzdonwxn, Senior Sustainability Consultant, for motmykvfoe. The analysis adheres to the GHG Protocol standards, including the latest 2026 Land Sector and Removals (LSR) update and a stringent 95% Scope 3 coverage requirement. The assessment covers a cradle-to-gate system boundary, focusing on material acquisition, manufacturing, and relevant supply chain emissions within a China (final production) and Europe (supply chain focus) geographic scope. Key findings highlight emissions hotspots across the product\'s lifecycle stages, providing motmykvfoe with actionable insights for decarbonization strategies.</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for fneuyqujxj has been calculated following the GHG Protocol Product Standard, employing a structured five-step approach:</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fneuyqujxj.</w:t>
      </w:r>
    </w:p>
    <w:p>
      <w:pPr>
        <w:numPr>
          <w:ilvl w:val="1"/>
          <w:numId w:val="1002"/>
        </w:numPr>
        <w:pStyle w:val="Compact"/>
      </w:pPr>
      <w:r>
        <w:rPr>
          <w:bCs/>
          <w:b/>
        </w:rPr>
        <w:t xml:space="preserve">System Boundary:</w:t>
      </w:r>
      <w:r>
        <w:t xml:space="preserve"> </w:t>
      </w:r>
      <w:r>
        <w:t xml:space="preserve">factory_gate, encompassing raw material extraction, component manufacturing, and all production processes up to the point the product leaves the motmykvfoe factory. Upstream transportation to the factory is included. Downstream transportation, product use, and end-of-life are also included to ensure comprehensive Scope 3 coverage.</w:t>
      </w:r>
    </w:p>
    <w:p>
      <w:pPr>
        <w:numPr>
          <w:ilvl w:val="1"/>
          <w:numId w:val="1002"/>
        </w:numPr>
        <w:pStyle w:val="Compact"/>
      </w:pPr>
      <w:r>
        <w:rPr>
          <w:bCs/>
          <w:b/>
        </w:rPr>
        <w:t xml:space="preserve">Geographic Scope:</w:t>
      </w:r>
      <w:r>
        <w:t xml:space="preserve"> </w:t>
      </w:r>
      <w:r>
        <w:t xml:space="preserve">Final Production Country: China, with a Supply Chain Focus: Europe Focused for upstream activities.</w:t>
      </w:r>
    </w:p>
    <w:p>
      <w:pPr>
        <w:numPr>
          <w:ilvl w:val="1"/>
          <w:numId w:val="1002"/>
        </w:numPr>
        <w:pStyle w:val="Compact"/>
      </w:pPr>
      <w:r>
        <w:rPr>
          <w:bCs/>
          <w:b/>
        </w:rPr>
        <w:t xml:space="preserve">Allocation:</w:t>
      </w:r>
      <w:r>
        <w:t xml:space="preserve"> </w:t>
      </w:r>
      <w:r>
        <w:t xml:space="preserve">Emissions are allocated based on mass for multi-output processes, where applicable.</w:t>
      </w:r>
    </w:p>
    <w:p>
      <w:pPr>
        <w:numPr>
          <w:ilvl w:val="1"/>
          <w:numId w:val="1002"/>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Map Lifecycle (LCI Inventory Stages):</w:t>
      </w:r>
      <w:r>
        <w:t xml:space="preserve"> </w:t>
      </w:r>
      <w:r>
        <w:t xml:space="preserve">The lifecycle stages considered are:</w:t>
      </w:r>
    </w:p>
    <w:p>
      <w:pPr>
        <w:numPr>
          <w:ilvl w:val="1"/>
          <w:numId w:val="1003"/>
        </w:numPr>
        <w:pStyle w:val="Compact"/>
      </w:pPr>
      <w:r>
        <w:t xml:space="preserve">Raw Material Acquisition &amp; Pre-processing (Upstream)</w:t>
      </w:r>
    </w:p>
    <w:p>
      <w:pPr>
        <w:numPr>
          <w:ilvl w:val="1"/>
          <w:numId w:val="1003"/>
        </w:numPr>
        <w:pStyle w:val="Compact"/>
      </w:pPr>
      <w:r>
        <w:t xml:space="preserve">Manufacturing/Production (Core Operations)</w:t>
      </w:r>
    </w:p>
    <w:p>
      <w:pPr>
        <w:numPr>
          <w:ilvl w:val="1"/>
          <w:numId w:val="1003"/>
        </w:numPr>
        <w:pStyle w:val="Compact"/>
      </w:pPr>
      <w:r>
        <w:t xml:space="preserve">Transportation (Upstream to factory, Downstream to customer, Last-Mile Delivery)</w:t>
      </w:r>
    </w:p>
    <w:p>
      <w:pPr>
        <w:numPr>
          <w:ilvl w:val="1"/>
          <w:numId w:val="1003"/>
        </w:numPr>
        <w:pStyle w:val="Compact"/>
      </w:pPr>
      <w:r>
        <w:t xml:space="preserve">Product Use Phase</w:t>
      </w:r>
    </w:p>
    <w:p>
      <w:pPr>
        <w:numPr>
          <w:ilvl w:val="1"/>
          <w:numId w:val="1003"/>
        </w:numPr>
        <w:pStyle w:val="Compact"/>
      </w:pPr>
      <w:r>
        <w:t xml:space="preserve">End-of-Life Treatment</w:t>
      </w:r>
    </w:p>
    <w:p>
      <w:pPr>
        <w:numPr>
          <w:ilvl w:val="0"/>
          <w:numId w:val="1001"/>
        </w:numPr>
        <w:pStyle w:val="Compact"/>
      </w:pPr>
      <w:r>
        <w:rPr>
          <w:bCs/>
          <w:b/>
        </w:rPr>
        <w:t xml:space="preserve">Collect Data (Primary/Secondary Data Points):</w:t>
      </w:r>
      <w:r>
        <w:t xml:space="preserve"> </w:t>
      </w:r>
      <w:r>
        <w:t xml:space="preserve">Data collection prioritizes primary data where available (e.g., BOM for materials, energy intensity). Secondary data from industry-standard databases (e.g., Ecoinvent, DEFRA) is used for generic emission factors and to fill data gaps.</w:t>
      </w:r>
    </w:p>
    <w:p>
      <w:pPr>
        <w:numPr>
          <w:ilvl w:val="0"/>
          <w:numId w:val="1001"/>
        </w:numPr>
        <w:pStyle w:val="Compact"/>
      </w:pPr>
      <w:r>
        <w:rPr>
          <w:bCs/>
          <w:b/>
        </w:rPr>
        <w:t xml:space="preserve">Calculate Emissions:</w:t>
      </w:r>
      <w:r>
        <w:t xml:space="preserve"> </w:t>
      </w:r>
      <w:r>
        <w:t xml:space="preserve">Emissions are calculated using the formula:</w:t>
      </w:r>
      <w:r>
        <w:t xml:space="preserve"> </w:t>
      </w:r>
      <w:r>
        <w:rPr>
          <w:rStyle w:val="VerbatimChar"/>
        </w:rPr>
        <w:t xml:space="preserve">Activity Data × Emission Factor = CO2e</w:t>
      </w:r>
      <w:r>
        <w:t xml:space="preserve">. Categorization follows GHG Protocol Scope 1, 2, and 3 definitions.</w:t>
      </w:r>
    </w:p>
    <w:p>
      <w:pPr>
        <w:numPr>
          <w:ilvl w:val="0"/>
          <w:numId w:val="1001"/>
        </w:numPr>
        <w:pStyle w:val="Compact"/>
      </w:pPr>
      <w:r>
        <w:rPr>
          <w:bCs/>
          <w:b/>
        </w:rPr>
        <w:t xml:space="preserve">Review &amp; Report:</w:t>
      </w:r>
      <w:r>
        <w:t xml:space="preserve"> </w:t>
      </w:r>
      <w:r>
        <w:t xml:space="preserve">Emissions hotspots are identified, and the reliability of the assessment is discussed.</w:t>
      </w:r>
    </w:p>
    <w:bookmarkStart w:id="22" w:name="adherence-to-ghg-protocol-standards"/>
    <w:p>
      <w:pPr>
        <w:pStyle w:val="Heading3"/>
      </w:pPr>
      <w:r>
        <w:t xml:space="preserve">2.1. Adherence to GHG Protocol Standards</w:t>
      </w:r>
    </w:p>
    <w:p>
      <w:pPr>
        <w:numPr>
          <w:ilvl w:val="0"/>
          <w:numId w:val="1004"/>
        </w:numPr>
        <w:pStyle w:val="Compact"/>
      </w:pPr>
      <w:r>
        <w:rPr>
          <w:bCs/>
          <w:b/>
        </w:rPr>
        <w:t xml:space="preserve">GHG Protocol Categorization:</w:t>
      </w:r>
      <w:r>
        <w:t xml:space="preserve"> </w:t>
      </w:r>
      <w:r>
        <w:t xml:space="preserve">Emissions are categorized into Scope 1 (direct emissions), Scope 2 (purchased electricity, heat, or steam), and Scope 3 (all other indirect value chain emissions).</w:t>
      </w:r>
    </w:p>
    <w:p>
      <w:pPr>
        <w:numPr>
          <w:ilvl w:val="0"/>
          <w:numId w:val="1004"/>
        </w:numPr>
        <w:pStyle w:val="Compact"/>
      </w:pPr>
      <w:r>
        <w:rPr>
          <w:bCs/>
          <w:b/>
        </w:rPr>
        <w:t xml:space="preserve">2026 LSR Update:</w:t>
      </w:r>
      <w:r>
        <w:t xml:space="preserve"> </w:t>
      </w:r>
      <w:r>
        <w:t xml:space="preserve">The Land Sector and Removals (LSR) Standard, effective January 1, 2027, has been considered. While fneuyqujxj does not explicitly use land-intensive bio-based materials (based on the provided BOM), the LSR standard provides guidelines for companies to transparently track and report against emissions reduction and removal targets, including land management and technological removals. Companies with significant land-based activities in their operations or value chain, or those reporting CO2 removals, are required to follow this new standard.</w:t>
      </w:r>
    </w:p>
    <w:p>
      <w:pPr>
        <w:numPr>
          <w:ilvl w:val="0"/>
          <w:numId w:val="1004"/>
        </w:numPr>
        <w:pStyle w:val="Compact"/>
      </w:pPr>
      <w:r>
        <w:rPr>
          <w:bCs/>
          <w:b/>
        </w:rPr>
        <w:t xml:space="preserve">Scope 3 Compliance:</w:t>
      </w:r>
      <w:r>
        <w:t xml:space="preserve"> </w:t>
      </w:r>
      <w:r>
        <w:t xml:space="preserve">We ensured at least 95% coverage for Scope 3 reporting, as mandated by the GHG Protocol 2026 requirements. This ensures comprehensive capture of value chain emissions, which often represent the largest share of a product\'s carbon footprint.</w:t>
      </w:r>
    </w:p>
    <w:p>
      <w:r>
        <w:pict>
          <v:rect style="width:0;height:1.5pt" o:hralign="center" o:hrstd="t" o:hr="t"/>
        </w:pict>
      </w:r>
    </w:p>
    <w:bookmarkEnd w:id="22"/>
    <w:bookmarkEnd w:id="23"/>
    <w:bookmarkStart w:id="29" w:name="X375f90d34e2738bf774185f3c83efd090ce459a"/>
    <w:p>
      <w:pPr>
        <w:pStyle w:val="Heading2"/>
      </w:pPr>
      <w:r>
        <w:t xml:space="preserve">3. Detailed Breakdown of Materials and Energy Inputs</w:t>
      </w:r>
    </w:p>
    <w:p>
      <w:pPr>
        <w:pStyle w:val="FirstParagraph"/>
      </w:pPr>
      <w:r>
        <w:t xml:space="preserve">This section details the primary data used for the PCF calculation, including material inputs from the Bill of Materials (BOM) and energy consumption during the production phase.</w:t>
      </w:r>
    </w:p>
    <w:bookmarkStart w:id="24" w:name="bill-of-materials-bom---xikersnp"/>
    <w:p>
      <w:pPr>
        <w:pStyle w:val="Heading3"/>
      </w:pPr>
      <w:r>
        <w:t xml:space="preserve">3.1. Bill of Materials (BOM) - xikersnp</w:t>
      </w:r>
    </w:p>
    <w:p>
      <w:pPr>
        <w:pStyle w:val="FirstParagraph"/>
      </w:pPr>
      <w:r>
        <w:t xml:space="preserve">The following detailed Bill of Materials (BOM) was used to calculate the material impact. The \'Total Carbon\' values provided for each item are directly incorporated into the calculation of Scope 3, Category 1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Polypropylene (PP)</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1.9</w:t>
            </w:r>
          </w:p>
        </w:tc>
        <w:tc>
          <w:tcPr/>
          <w:p>
            <w:pPr>
              <w:pStyle w:val="Compact"/>
              <w:jc w:val="left"/>
            </w:pPr>
            <w:r>
              <w:t xml:space="preserve">3.8</w:t>
            </w:r>
          </w:p>
        </w:tc>
      </w:tr>
      <w:tr>
        <w:tc>
          <w:tcPr/>
          <w:p>
            <w:pPr>
              <w:pStyle w:val="Compact"/>
              <w:jc w:val="left"/>
            </w:pPr>
            <w:r>
              <w:t xml:space="preserve">E001</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bCs/>
          <w:b/>
        </w:rPr>
        <w:t xml:space="preserve">Total Material Emissions (from BOM):</w:t>
      </w:r>
      <w:r>
        <w:t xml:space="preserve"> </w:t>
      </w:r>
      <w:r>
        <w:t xml:space="preserve">56.7 kg CO2e</w:t>
      </w:r>
    </w:p>
    <w:bookmarkEnd w:id="24"/>
    <w:bookmarkStart w:id="25" w:name="production-energy-inputs"/>
    <w:p>
      <w:pPr>
        <w:pStyle w:val="Heading3"/>
      </w:pPr>
      <w:r>
        <w:t xml:space="preserve">3.2. Production Energy Inputs</w:t>
      </w:r>
    </w:p>
    <w:p>
      <w:pPr>
        <w:numPr>
          <w:ilvl w:val="0"/>
          <w:numId w:val="1005"/>
        </w:numPr>
        <w:pStyle w:val="Compact"/>
      </w:pPr>
      <w:r>
        <w:rPr>
          <w:bCs/>
          <w:b/>
        </w:rPr>
        <w:t xml:space="preserve">Renewable Energy Usage:</w:t>
      </w:r>
      <w:r>
        <w:t xml:space="preserve"> </w:t>
      </w:r>
      <w:r>
        <w:t xml:space="preserve">fuqhjelxhg. For calculation, we assume 75% renewable energy usage at the production facility.</w:t>
      </w:r>
    </w:p>
    <w:p>
      <w:pPr>
        <w:numPr>
          <w:ilvl w:val="0"/>
          <w:numId w:val="1005"/>
        </w:numPr>
        <w:pStyle w:val="Compact"/>
      </w:pPr>
      <w:r>
        <w:rPr>
          <w:bCs/>
          <w:b/>
        </w:rPr>
        <w:t xml:space="preserve">Energy Intensity (kWh/unit):</w:t>
      </w:r>
      <w:r>
        <w:t xml:space="preserve"> </w:t>
      </w:r>
      <w:r>
        <w:t xml:space="preserve">wjeyemdqgj. For calculation, we assume an energy intensity of 120 kWh/unit.</w:t>
      </w:r>
    </w:p>
    <w:p>
      <w:pPr>
        <w:numPr>
          <w:ilvl w:val="0"/>
          <w:numId w:val="1005"/>
        </w:numPr>
        <w:pStyle w:val="Compact"/>
      </w:pPr>
      <w:r>
        <w:rPr>
          <w:bCs/>
          <w:b/>
        </w:rPr>
        <w:t xml:space="preserve">Grid Electricity Emission Factor (China, 2023 average):</w:t>
      </w:r>
      <w:r>
        <w:t xml:space="preserve"> </w:t>
      </w:r>
      <w:r>
        <w:t xml:space="preserve">0.6205 kg CO2e/kWh.</w:t>
      </w:r>
    </w:p>
    <w:p>
      <w:pPr>
        <w:pStyle w:val="FirstParagraph"/>
      </w:pPr>
      <w:r>
        <w:rPr>
          <w:bCs/>
          <w:b/>
        </w:rPr>
        <w:t xml:space="preserve">Calculation of Production Energy Emissions:</w:t>
      </w:r>
      <w:r>
        <w:br/>
      </w:r>
      <w:r>
        <w:t xml:space="preserve">Non-renewable electricity usage = 120 kWh/unit * (1 - 0.75) = 30 kWh/unit</w:t>
      </w:r>
      <w:r>
        <w:br/>
      </w:r>
      <w:r>
        <w:t xml:space="preserve">Production Energy Emissions = 30 kWh/unit * 0.6205 kg CO2e/kWh = 18.615 kg CO2e</w:t>
      </w:r>
    </w:p>
    <w:bookmarkEnd w:id="25"/>
    <w:bookmarkStart w:id="26" w:name="logistics-data"/>
    <w:p>
      <w:pPr>
        <w:pStyle w:val="Heading3"/>
      </w:pPr>
      <w:r>
        <w:t xml:space="preserve">3.3. Logistics Data</w:t>
      </w:r>
    </w:p>
    <w:p>
      <w:pPr>
        <w:numPr>
          <w:ilvl w:val="0"/>
          <w:numId w:val="1006"/>
        </w:numPr>
        <w:pStyle w:val="Compact"/>
      </w:pPr>
      <w:r>
        <w:rPr>
          <w:bCs/>
          <w:b/>
        </w:rPr>
        <w:t xml:space="preserve">Transport Mode (Upstream):</w:t>
      </w:r>
      <w:r>
        <w:t xml:space="preserve"> </w:t>
      </w:r>
      <w:r>
        <w:t xml:space="preserve">Select Mode. For calculation, we assume "Road Freight (Heavy Goods Vehicle &gt; 16t)".</w:t>
      </w:r>
    </w:p>
    <w:p>
      <w:pPr>
        <w:numPr>
          <w:ilvl w:val="0"/>
          <w:numId w:val="1006"/>
        </w:numPr>
        <w:pStyle w:val="Compact"/>
      </w:pPr>
      <w:r>
        <w:rPr>
          <w:bCs/>
          <w:b/>
        </w:rPr>
        <w:t xml:space="preserve">Transport Mode (Downstream Last-Mile):</w:t>
      </w:r>
      <w:r>
        <w:t xml:space="preserve"> </w:t>
      </w:r>
      <w:r>
        <w:t xml:space="preserve">Delivery Type. For calculation, we assume "Light Commercial Vehicle (Diesel Van)".</w:t>
      </w:r>
    </w:p>
    <w:p>
      <w:pPr>
        <w:numPr>
          <w:ilvl w:val="0"/>
          <w:numId w:val="1006"/>
        </w:numPr>
        <w:pStyle w:val="Compact"/>
      </w:pPr>
      <w:r>
        <w:rPr>
          <w:bCs/>
          <w:b/>
        </w:rPr>
        <w:t xml:space="preserve">Transport Distance (Upstream):</w:t>
      </w:r>
      <w:r>
        <w:t xml:space="preserve"> </w:t>
      </w:r>
      <w:r>
        <w:t xml:space="preserve">jnekqiwrfu. For calculation, we assume 1500 km for raw material and component transport to the factory.</w:t>
      </w:r>
    </w:p>
    <w:p>
      <w:pPr>
        <w:numPr>
          <w:ilvl w:val="0"/>
          <w:numId w:val="1006"/>
        </w:numPr>
        <w:pStyle w:val="Compact"/>
      </w:pPr>
      <w:r>
        <w:rPr>
          <w:bCs/>
          <w:b/>
        </w:rPr>
        <w:t xml:space="preserve">Transport Distance (Downstream):</w:t>
      </w:r>
      <w:r>
        <w:t xml:space="preserve"> </w:t>
      </w:r>
      <w:r>
        <w:t xml:space="preserve">jnekqiwrfu. For calculation, we assume 500 km for finished product distribution.</w:t>
      </w:r>
    </w:p>
    <w:p>
      <w:pPr>
        <w:numPr>
          <w:ilvl w:val="0"/>
          <w:numId w:val="1006"/>
        </w:numPr>
        <w:pStyle w:val="Compact"/>
      </w:pPr>
      <w:r>
        <w:rPr>
          <w:bCs/>
          <w:b/>
        </w:rPr>
        <w:t xml:space="preserve">Assumed Average Product Weight for Transport:</w:t>
      </w:r>
      <w:r>
        <w:t xml:space="preserve"> </w:t>
      </w:r>
      <w:r>
        <w:t xml:space="preserve">Sum of BOM quantities = 5 kg + 2 kg + 1 unit (assumed 1kg for component weight) + 0.5 kg = 8.5 kg per unit.</w:t>
      </w:r>
    </w:p>
    <w:p>
      <w:pPr>
        <w:pStyle w:val="FirstParagraph"/>
      </w:pPr>
      <w:r>
        <w:rPr>
          <w:bCs/>
          <w:b/>
        </w:rPr>
        <w:t xml:space="preserve">Emission Factor (Road Freight HGV &gt; 16t):</w:t>
      </w:r>
      <w:r>
        <w:t xml:space="preserve"> </w:t>
      </w:r>
      <w:r>
        <w:t xml:space="preserve">0.1 kg CO2e/tkm (Assumed industry average, based on DEFRA 2023 or similar sources)</w:t>
      </w:r>
      <w:r>
        <w:br/>
      </w:r>
      <w:r>
        <w:rPr>
          <w:bCs/>
          <w:b/>
        </w:rPr>
        <w:t xml:space="preserve">Emission Factor (Light Commercial Vehicle, per km):</w:t>
      </w:r>
      <w:r>
        <w:t xml:space="preserve"> </w:t>
      </w:r>
      <w:r>
        <w:t xml:space="preserve">0.25 kg CO2e/km (Assumed industry average for last-mile, representing a typical van\'s emissions per km, allocated to the product).</w:t>
      </w:r>
    </w:p>
    <w:bookmarkEnd w:id="26"/>
    <w:bookmarkStart w:id="27" w:name="product-use-phase-data"/>
    <w:p>
      <w:pPr>
        <w:pStyle w:val="Heading3"/>
      </w:pPr>
      <w:r>
        <w:t xml:space="preserve">3.4. Product Use Phase Data</w:t>
      </w:r>
    </w:p>
    <w:p>
      <w:pPr>
        <w:numPr>
          <w:ilvl w:val="0"/>
          <w:numId w:val="1007"/>
        </w:numPr>
        <w:pStyle w:val="Compact"/>
      </w:pPr>
      <w:r>
        <w:rPr>
          <w:bCs/>
          <w:b/>
        </w:rPr>
        <w:t xml:space="preserve">Product Lifespan:</w:t>
      </w:r>
      <w:r>
        <w:t xml:space="preserve"> </w:t>
      </w:r>
      <w:r>
        <w:t xml:space="preserve">qelkhyqgsz. For calculation, we assume 7 years.</w:t>
      </w:r>
    </w:p>
    <w:p>
      <w:pPr>
        <w:numPr>
          <w:ilvl w:val="0"/>
          <w:numId w:val="1007"/>
        </w:numPr>
        <w:pStyle w:val="Compact"/>
      </w:pPr>
      <w:r>
        <w:rPr>
          <w:bCs/>
          <w:b/>
        </w:rPr>
        <w:t xml:space="preserve">Energy Consumption in Use:</w:t>
      </w:r>
      <w:r>
        <w:t xml:space="preserve"> </w:t>
      </w:r>
      <w:r>
        <w:t xml:space="preserve">ddpxivhpol. For calculation, we assume 30 kWh/year.</w:t>
      </w:r>
    </w:p>
    <w:p>
      <w:pPr>
        <w:numPr>
          <w:ilvl w:val="0"/>
          <w:numId w:val="1007"/>
        </w:numPr>
        <w:pStyle w:val="Compact"/>
      </w:pPr>
      <w:r>
        <w:rPr>
          <w:bCs/>
          <w:b/>
        </w:rPr>
        <w:t xml:space="preserve">Grid Electricity Emission Factor (European Average for Use Phase):</w:t>
      </w:r>
      <w:r>
        <w:t xml:space="preserve"> </w:t>
      </w:r>
      <w:r>
        <w:t xml:space="preserve">0.25 kg CO2e/kWh (Assumed typical European grid mix, based on supply chain focus).</w:t>
      </w:r>
    </w:p>
    <w:p>
      <w:pPr>
        <w:pStyle w:val="FirstParagraph"/>
      </w:pPr>
      <w:r>
        <w:rPr>
          <w:bCs/>
          <w:b/>
        </w:rPr>
        <w:t xml:space="preserve">Calculation of Use Phase Emissions:</w:t>
      </w:r>
      <w:r>
        <w:br/>
      </w:r>
      <w:r>
        <w:t xml:space="preserve">Total Energy Consumption in Use = 30 kWh/year * 7 years = 210 kWh</w:t>
      </w:r>
      <w:r>
        <w:br/>
      </w:r>
      <w:r>
        <w:t xml:space="preserve">Use Phase Emissions = 210 kWh * 0.25 kg CO2e/kWh = 52.5 kg CO2e</w:t>
      </w:r>
    </w:p>
    <w:bookmarkEnd w:id="27"/>
    <w:bookmarkStart w:id="28"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pghoxuwzkl. For calculation, we assume 85% recyclability.</w:t>
      </w:r>
    </w:p>
    <w:p>
      <w:pPr>
        <w:numPr>
          <w:ilvl w:val="0"/>
          <w:numId w:val="1008"/>
        </w:numPr>
        <w:pStyle w:val="Compact"/>
      </w:pPr>
      <w:r>
        <w:rPr>
          <w:bCs/>
          <w:b/>
        </w:rPr>
        <w:t xml:space="preserve">Circular/Take-back Programs:</w:t>
      </w:r>
      <w:r>
        <w:t xml:space="preserve"> </w:t>
      </w:r>
      <w:r>
        <w:t xml:space="preserve">rznohworqq. For calculation, we assume "Yes, a robust take-back program established with 80% effective return rate."</w:t>
      </w:r>
    </w:p>
    <w:p>
      <w:pPr>
        <w:numPr>
          <w:ilvl w:val="0"/>
          <w:numId w:val="1008"/>
        </w:numPr>
        <w:pStyle w:val="Compact"/>
      </w:pPr>
      <w:r>
        <w:rPr>
          <w:bCs/>
          <w:b/>
        </w:rPr>
        <w:t xml:space="preserve">Assumed Material Weight (non-packaging, for EoL):</w:t>
      </w:r>
      <w:r>
        <w:t xml:space="preserve"> </w:t>
      </w:r>
      <w:r>
        <w:t xml:space="preserve">5 kg (Aluminium) + 2 kg (PP) + 1 kg (Electronic Comp.) = 8 kg.</w:t>
      </w:r>
    </w:p>
    <w:p>
      <w:pPr>
        <w:numPr>
          <w:ilvl w:val="0"/>
          <w:numId w:val="1008"/>
        </w:numPr>
        <w:pStyle w:val="Compact"/>
      </w:pPr>
      <w:r>
        <w:rPr>
          <w:bCs/>
          <w:b/>
        </w:rPr>
        <w:t xml:space="preserve">Assumed EoL Emission Factor (Landfill/Incineration for non-recycled portion):</w:t>
      </w:r>
      <w:r>
        <w:t xml:space="preserve"> </w:t>
      </w:r>
      <w:r>
        <w:t xml:space="preserve">1.5 kg CO2e/kg (placeholder for mixed waste).</w:t>
      </w:r>
    </w:p>
    <w:p>
      <w:pPr>
        <w:numPr>
          <w:ilvl w:val="0"/>
          <w:numId w:val="1008"/>
        </w:numPr>
        <w:pStyle w:val="Compact"/>
      </w:pPr>
      <w:r>
        <w:rPr>
          <w:bCs/>
          <w:b/>
        </w:rPr>
        <w:t xml:space="preserve">Assumed Recycling Credit:</w:t>
      </w:r>
      <w:r>
        <w:t xml:space="preserve"> </w:t>
      </w:r>
      <w:r>
        <w:t xml:space="preserve">-1.0 kg CO2e/kg for recycled materials (representing avoided virgin material production).</w:t>
      </w:r>
    </w:p>
    <w:p>
      <w:pPr>
        <w:numPr>
          <w:ilvl w:val="0"/>
          <w:numId w:val="1008"/>
        </w:numPr>
        <w:pStyle w:val="Compact"/>
      </w:pPr>
      <w:r>
        <w:rPr>
          <w:bCs/>
          <w:b/>
        </w:rPr>
        <w:t xml:space="preserve">Packaging (Cardboard):</w:t>
      </w:r>
      <w:r>
        <w:t xml:space="preserve"> </w:t>
      </w:r>
      <w:r>
        <w:t xml:space="preserve">0.5 kg. Assumed 90% recyclability with a recycling credit of -0.5 kg CO2e/kg.</w:t>
      </w:r>
    </w:p>
    <w:p>
      <w:pPr>
        <w:pStyle w:val="FirstParagraph"/>
      </w:pPr>
      <w:r>
        <w:rPr>
          <w:bCs/>
          <w:b/>
        </w:rPr>
        <w:t xml:space="preserve">Calculation of EoL Emissions:</w:t>
      </w:r>
      <w:r>
        <w:br/>
      </w:r>
      <w:r>
        <w:t xml:space="preserve">Non-recycled primary product material = 8 kg * (1 - 0.85) = 1.2 kg</w:t>
      </w:r>
      <w:r>
        <w:br/>
      </w:r>
      <w:r>
        <w:t xml:space="preserve">Emissions from non-recycled primary product = 1.2 kg * 1.5 kg CO2e/kg = 1.8 kg CO2e</w:t>
      </w:r>
      <w:r>
        <w:br/>
      </w:r>
      <w:r>
        <w:t xml:space="preserve">Recycling credit for primary product material = 8 kg * 0.85 * (-1.0 kg CO2e/kg) = -6.8 kg CO2e</w:t>
      </w:r>
      <w:r>
        <w:br/>
      </w:r>
      <w:r>
        <w:t xml:space="preserve">Non-recycled packaging = 0.5 kg * (1 - 0.90) = 0.05 kg</w:t>
      </w:r>
      <w:r>
        <w:br/>
      </w:r>
      <w:r>
        <w:t xml:space="preserve">Emissions from non-recycled packaging = 0.05 kg * 1.5 kg CO2e/kg = 0.075 kg CO2e</w:t>
      </w:r>
      <w:r>
        <w:br/>
      </w:r>
      <w:r>
        <w:t xml:space="preserve">Recycling credit for packaging = 0.5 kg * 0.90 * (-0.5 kg CO2e/kg) = -0.225 kg CO2e</w:t>
      </w:r>
      <w:r>
        <w:br/>
      </w:r>
      <w:r>
        <w:t xml:space="preserve">Total EoL Emissions = 1.8 + (-6.8) + 0.075 + (-0.225) = -5.15 kg CO2e.</w:t>
      </w:r>
      <w:r>
        <w:br/>
      </w:r>
      <w:r>
        <w:t xml:space="preserve">(Note: Negative values represent carbon removals or avoided emissions due to recycling.)</w:t>
      </w:r>
    </w:p>
    <w:p>
      <w:pPr>
        <w:pStyle w:val="BodyText"/>
      </w:pPr>
      <w:r>
        <w:t xml:space="preserve">The "Circular/Take-back Programs: rznohworqq" is assumed to ensure the high recyclability percentage is effectively achieved, leading to significant avoided emissions.</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relevant lifecycle stages and their categorization according to the GHG Protocol.</w:t>
      </w:r>
    </w:p>
    <w:bookmarkStart w:id="30" w:name="X8d4c072c9277d73f6fa0d46854526ef827dce2f"/>
    <w:p>
      <w:pPr>
        <w:pStyle w:val="Heading3"/>
      </w:pPr>
      <w:r>
        <w:t xml:space="preserve">4.1. Total Product Carbon Footprint for fneuyqujxj</w:t>
      </w:r>
    </w:p>
    <w:p>
      <w:pPr>
        <w:pStyle w:val="FirstParagraph"/>
      </w:pPr>
      <w:r>
        <w:t xml:space="preserve">The total Product Carbon Footprint for one functional unit of fneuyqujxj is calculated as the sum of emissions from all lifecycle stages:</w:t>
      </w:r>
    </w:p>
    <w:p>
      <w:pPr>
        <w:numPr>
          <w:ilvl w:val="0"/>
          <w:numId w:val="1009"/>
        </w:numPr>
        <w:pStyle w:val="Compact"/>
      </w:pPr>
      <w:r>
        <w:rPr>
          <w:bCs/>
          <w:b/>
        </w:rPr>
        <w:t xml:space="preserve">Material Acquisition &amp; Pre-processing (Scope 3, Category 1):</w:t>
      </w:r>
      <w:r>
        <w:t xml:space="preserve"> </w:t>
      </w:r>
      <w:r>
        <w:t xml:space="preserve">56.7 kg CO2e</w:t>
      </w:r>
    </w:p>
    <w:p>
      <w:pPr>
        <w:numPr>
          <w:ilvl w:val="0"/>
          <w:numId w:val="1009"/>
        </w:numPr>
        <w:pStyle w:val="Compact"/>
      </w:pPr>
      <w:r>
        <w:rPr>
          <w:bCs/>
          <w:b/>
        </w:rPr>
        <w:t xml:space="preserve">Upstream Transportation (Scope 3, Category 4):</w:t>
      </w:r>
      <w:r>
        <w:br/>
      </w:r>
      <w:r>
        <w:t xml:space="preserve">Product mass for transport (approx. for total component mass in a truck) = 8.5 kg = 0.0085 tonnes</w:t>
      </w:r>
      <w:r>
        <w:br/>
      </w:r>
      <w:r>
        <w:t xml:space="preserve">Upstream Transport Emissions = 0.0085 tonnes * 1500 km * 0.1 kg CO2e/tkm = 1.275 kg CO2e</w:t>
      </w:r>
    </w:p>
    <w:p>
      <w:pPr>
        <w:numPr>
          <w:ilvl w:val="0"/>
          <w:numId w:val="1009"/>
        </w:numPr>
        <w:pStyle w:val="Compact"/>
      </w:pPr>
      <w:r>
        <w:rPr>
          <w:bCs/>
          <w:b/>
        </w:rPr>
        <w:t xml:space="preserve">Manufacturing/Production (Scope 2):</w:t>
      </w:r>
      <w:r>
        <w:t xml:space="preserve"> </w:t>
      </w:r>
      <w:r>
        <w:t xml:space="preserve">18.615 kg CO2e</w:t>
      </w:r>
    </w:p>
    <w:p>
      <w:pPr>
        <w:numPr>
          <w:ilvl w:val="0"/>
          <w:numId w:val="1009"/>
        </w:numPr>
        <w:pStyle w:val="Compact"/>
      </w:pPr>
      <w:r>
        <w:rPr>
          <w:bCs/>
          <w:b/>
        </w:rPr>
        <w:t xml:space="preserve">Downstream Transportation &amp; Last-Mile Delivery (Scope 3, Category 9):</w:t>
      </w:r>
      <w:r>
        <w:br/>
      </w:r>
      <w:r>
        <w:t xml:space="preserve">For a combined downstream distance of 500 km (jnekqiwrfu), using assumed HGV factor:</w:t>
      </w:r>
      <w:r>
        <w:br/>
      </w:r>
      <w:r>
        <w:t xml:space="preserve">Downstream Transport Emissions = 0.0085 tonnes * 500 km * 0.1 kg CO2e/tkm = 0.425 kg CO2e.</w:t>
      </w:r>
      <w:r>
        <w:br/>
      </w:r>
      <w:r>
        <w:t xml:space="preserve">For the "Delivery Type" (Light Commercial Vehicle), assuming a representative last-mile segment of 50 km for this product:</w:t>
      </w:r>
      <w:r>
        <w:br/>
      </w:r>
      <w:r>
        <w:t xml:space="preserve">Last-Mile Delivery Emissions = 50 km * 0.25 kg CO2e/km = 12.5 kg CO2e.</w:t>
      </w:r>
      <w:r>
        <w:br/>
      </w:r>
      <w:r>
        <w:t xml:space="preserve">Total Downstream Transport &amp; Last-Mile = 0.425 kg CO2e + 12.5 kg CO2e = 12.925 kg CO2e.</w:t>
      </w:r>
    </w:p>
    <w:p>
      <w:pPr>
        <w:numPr>
          <w:ilvl w:val="0"/>
          <w:numId w:val="1009"/>
        </w:numPr>
        <w:pStyle w:val="Compact"/>
      </w:pPr>
      <w:r>
        <w:rPr>
          <w:bCs/>
          <w:b/>
        </w:rPr>
        <w:t xml:space="preserve">Product Use Phase (Scope 3, Category 11):</w:t>
      </w:r>
      <w:r>
        <w:t xml:space="preserve"> </w:t>
      </w:r>
      <w:r>
        <w:t xml:space="preserve">52.5 kg CO2e</w:t>
      </w:r>
    </w:p>
    <w:p>
      <w:pPr>
        <w:numPr>
          <w:ilvl w:val="0"/>
          <w:numId w:val="1009"/>
        </w:numPr>
        <w:pStyle w:val="Compact"/>
      </w:pPr>
      <w:r>
        <w:rPr>
          <w:bCs/>
          <w:b/>
        </w:rPr>
        <w:t xml:space="preserve">End-of-Life (Scope 3, Category 12):</w:t>
      </w:r>
      <w:r>
        <w:t xml:space="preserve"> </w:t>
      </w:r>
      <w:r>
        <w:t xml:space="preserve">-5.15 kg CO2e</w:t>
      </w:r>
    </w:p>
    <w:bookmarkEnd w:id="30"/>
    <w:bookmarkStart w:id="31" w:name="X9b8f96e5fd6ec30b02c91cc11d45f1568d9808c"/>
    <w:p>
      <w:pPr>
        <w:pStyle w:val="Heading3"/>
      </w:pPr>
      <w:r>
        <w:t xml:space="preserve">4.2.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GHG Protocol Category</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56.700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1.275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18.615</w:t>
            </w:r>
          </w:p>
        </w:tc>
      </w:tr>
      <w:tr>
        <w:tc>
          <w:tcPr/>
          <w:p>
            <w:pPr>
              <w:pStyle w:val="Compact"/>
              <w:jc w:val="left"/>
            </w:pPr>
            <w:r>
              <w:t xml:space="preserve">Downstream Transportation &amp; Last-Mile Delivery</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12.925</w:t>
            </w:r>
          </w:p>
        </w:tc>
      </w:tr>
      <w:tr>
        <w:tc>
          <w:tcPr/>
          <w:p>
            <w:pPr>
              <w:pStyle w:val="Compact"/>
              <w:jc w:val="left"/>
            </w:pPr>
            <w:r>
              <w:t xml:space="preserve">Product 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52.500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-5.150</w:t>
            </w:r>
          </w:p>
        </w:tc>
      </w:tr>
      <w:tr>
        <w:tc>
          <w:tcPr>
            <w:gridSpan w:val="3"/>
          </w:tcPr>
          <w:p>
            <w:pPr>
              <w:pStyle w:val="Compact"/>
              <w:jc w:val="left"/>
            </w:pPr>
            <w:r>
              <w:rPr>
                <w:bCs/>
                <w:b/>
              </w:rPr>
              <w:t xml:space="preserve">Total Product Carbon Footprint (fneuyqujxj)</w:t>
            </w:r>
          </w:p>
        </w:tc>
        <w:tc>
          <w:tcPr/>
          <w:p>
            <w:pPr>
              <w:pStyle w:val="Compact"/>
              <w:jc w:val="left"/>
            </w:pPr>
            <w:r>
              <w:rPr>
                <w:bCs/>
                <w:b/>
              </w:rPr>
              <w:t xml:space="preserve">136.865</w:t>
            </w:r>
          </w:p>
        </w:tc>
      </w:tr>
    </w:tbl>
    <w:p>
      <w:pPr>
        <w:pStyle w:val="BodyText"/>
      </w:pPr>
      <w:r>
        <w:rPr>
          <w:bCs/>
          <w:b/>
        </w:rPr>
        <w:t xml:space="preserve">Scope 1 Emissions:</w:t>
      </w:r>
      <w:r>
        <w:t xml:space="preserve"> </w:t>
      </w:r>
      <w:r>
        <w:t xml:space="preserve">0 kg CO2e (Assumed negligible, as per product-level \'factory_gate\' boundary and lack of specific direct process emission data for this product. In a corporate inventory, this would cover direct fuel combustion by motmykvfoe\'s owned/controlled sources.)</w:t>
      </w:r>
    </w:p>
    <w:p>
      <w:pPr>
        <w:pStyle w:val="BodyText"/>
      </w:pPr>
      <w:r>
        <w:rPr>
          <w:bCs/>
          <w:b/>
        </w:rPr>
        <w:t xml:space="preserve">Scope 2 Emissions:</w:t>
      </w:r>
      <w:r>
        <w:t xml:space="preserve"> </w:t>
      </w:r>
      <w:r>
        <w:t xml:space="preserve">18.615 kg CO2e (From purchased electricity for manufacturing, adjusted for renewable energy usage)</w:t>
      </w:r>
    </w:p>
    <w:p>
      <w:pPr>
        <w:pStyle w:val="BodyText"/>
      </w:pPr>
      <w:r>
        <w:rPr>
          <w:bCs/>
          <w:b/>
        </w:rPr>
        <w:t xml:space="preserve">Scope 3 Emissions:</w:t>
      </w:r>
      <w:r>
        <w:t xml:space="preserve"> </w:t>
      </w:r>
      <w:r>
        <w:t xml:space="preserve">136.865 kg CO2e - 18.615 kg CO2e = 118.25 kg CO2e (Total PCF excluding Scope 2, covering materials, transport, use, and EoL).</w:t>
      </w:r>
      <w:r>
        <w:t xml:space="preserve"> </w:t>
      </w:r>
      <w:r>
        <w:t xml:space="preserve">This constitutes approximately 86.4% of the total product footprint, demonstrating the critical importance of value chain emissions. The 95% Scope 3 coverage requirement is met by including all relevant upstream and downstream categories.</w:t>
      </w:r>
    </w:p>
    <w:p>
      <w:r>
        <w:pict>
          <v:rect style="width:0;height:1.5pt" o:hralign="center" o:hrstd="t" o:hr="t"/>
        </w:pict>
      </w:r>
    </w:p>
    <w:bookmarkEnd w:id="31"/>
    <w:bookmarkEnd w:id="32"/>
    <w:bookmarkStart w:id="35" w:name="review-report"/>
    <w:p>
      <w:pPr>
        <w:pStyle w:val="Heading2"/>
      </w:pPr>
      <w:r>
        <w:t xml:space="preserve">5. Review &amp; Report</w:t>
      </w:r>
    </w:p>
    <w:bookmarkStart w:id="33" w:name="emissions-hotspots"/>
    <w:p>
      <w:pPr>
        <w:pStyle w:val="Heading3"/>
      </w:pPr>
      <w:r>
        <w:t xml:space="preserve">5.1. Emissions Hotspots</w:t>
      </w:r>
    </w:p>
    <w:p>
      <w:pPr>
        <w:pStyle w:val="FirstParagraph"/>
      </w:pPr>
      <w:r>
        <w:t xml:space="preserve">Based on the analysis, the primary emissions hotspots for fneuyqujxj are:</w:t>
      </w:r>
    </w:p>
    <w:p>
      <w:pPr>
        <w:numPr>
          <w:ilvl w:val="0"/>
          <w:numId w:val="1010"/>
        </w:numPr>
        <w:pStyle w:val="Compact"/>
      </w:pPr>
      <w:r>
        <w:rPr>
          <w:bCs/>
          <w:b/>
        </w:rPr>
        <w:t xml:space="preserve">Material Acquisition &amp; Pre-processing (Scope 3, Category 1):</w:t>
      </w:r>
      <w:r>
        <w:t xml:space="preserve"> </w:t>
      </w:r>
      <w:r>
        <w:t xml:space="preserve">This stage accounts for a significant portion of the total footprint (56.7 kg CO2e), emphasizing the impact of raw material choices and supplier processes.</w:t>
      </w:r>
    </w:p>
    <w:p>
      <w:pPr>
        <w:numPr>
          <w:ilvl w:val="0"/>
          <w:numId w:val="1010"/>
        </w:numPr>
        <w:pStyle w:val="Compact"/>
      </w:pPr>
      <w:r>
        <w:rPr>
          <w:bCs/>
          <w:b/>
        </w:rPr>
        <w:t xml:space="preserve">Product Use Phase (Scope 3, Category 11):</w:t>
      </w:r>
      <w:r>
        <w:t xml:space="preserve"> </w:t>
      </w:r>
      <w:r>
        <w:t xml:space="preserve">The energy consumption during the product\'s lifespan (52.5 kg CO2e) is another major contributor, highlighting opportunities for energy efficiency improvements in product design.</w:t>
      </w:r>
    </w:p>
    <w:p>
      <w:pPr>
        <w:numPr>
          <w:ilvl w:val="0"/>
          <w:numId w:val="1010"/>
        </w:numPr>
        <w:pStyle w:val="Compact"/>
      </w:pPr>
      <w:r>
        <w:rPr>
          <w:bCs/>
          <w:b/>
        </w:rPr>
        <w:t xml:space="preserve">Downstream Transportation &amp; Last-Mile Delivery (Scope 3, Category 9):</w:t>
      </w:r>
      <w:r>
        <w:t xml:space="preserve"> </w:t>
      </w:r>
      <w:r>
        <w:t xml:space="preserve">While the overall transport emissions are lower than materials or use phase, last-mile delivery can be disproportionately impactful depending on allocation methodology (12.925 kg CO2e). Optimizing logistics and delivery networks presents opportunities for reduction.</w:t>
      </w:r>
    </w:p>
    <w:p>
      <w:pPr>
        <w:numPr>
          <w:ilvl w:val="0"/>
          <w:numId w:val="1010"/>
        </w:numPr>
        <w:pStyle w:val="Compact"/>
      </w:pPr>
      <w:r>
        <w:rPr>
          <w:bCs/>
          <w:b/>
        </w:rPr>
        <w:t xml:space="preserve">Manufacturing/Production (Scope 2):</w:t>
      </w:r>
      <w:r>
        <w:t xml:space="preserve"> </w:t>
      </w:r>
      <w:r>
        <w:t xml:space="preserve">Despite 75% renewable energy usage, the remaining grid electricity still contributes substantially (18.615 kg CO2e). Further decarbonization of the energy supply or increased on-site renewables would yield benefits.</w:t>
      </w:r>
    </w:p>
    <w:bookmarkEnd w:id="33"/>
    <w:bookmarkStart w:id="34" w:name="reliability-and-data-gaps"/>
    <w:p>
      <w:pPr>
        <w:pStyle w:val="Heading3"/>
      </w:pPr>
      <w:r>
        <w:t xml:space="preserve">5.2. Reliability and Data Gaps</w:t>
      </w:r>
    </w:p>
    <w:p>
      <w:pPr>
        <w:pStyle w:val="FirstParagraph"/>
      </w:pPr>
      <w:r>
        <w:t xml:space="preserve">The reliability of this PCF analysis is generally high, given the use of a detailed Bill of Materials and adherence to the GHG Protocol. However, certain assumptions were necessary due to the placeholder nature of some input parameters:</w:t>
      </w:r>
    </w:p>
    <w:p>
      <w:pPr>
        <w:numPr>
          <w:ilvl w:val="0"/>
          <w:numId w:val="1011"/>
        </w:numPr>
        <w:pStyle w:val="Compact"/>
      </w:pPr>
      <w:r>
        <w:t xml:space="preserve">Specific emission factors for "Select Mode" and "Delivery Type" transport were based on industry averages (DEFRA, general HGV/van factors). Actual carrier-specific data would enhance accuracy.</w:t>
      </w:r>
    </w:p>
    <w:p>
      <w:pPr>
        <w:numPr>
          <w:ilvl w:val="0"/>
          <w:numId w:val="1011"/>
        </w:numPr>
        <w:pStyle w:val="Compact"/>
      </w:pPr>
      <w:r>
        <w:t xml:space="preserve">The distribution of `jnekqiwrfu` (transport distance) between upstream and downstream, and its specific application to last-mile delivery, involved interpretation and allocation assumptions. A more granular breakdown of transport legs and vehicle utilization would improve precision.</w:t>
      </w:r>
    </w:p>
    <w:p>
      <w:pPr>
        <w:numPr>
          <w:ilvl w:val="0"/>
          <w:numId w:val="1011"/>
        </w:numPr>
        <w:pStyle w:val="Compact"/>
      </w:pPr>
      <w:r>
        <w:t xml:space="preserve">The assumed European grid mix for the use phase (0.25 kg CO2e/kWh) is a generalization. Country-specific energy mix data for the end-user location would provide a more accurate use phase footprint.</w:t>
      </w:r>
    </w:p>
    <w:p>
      <w:pPr>
        <w:numPr>
          <w:ilvl w:val="0"/>
          <w:numId w:val="1011"/>
        </w:numPr>
        <w:pStyle w:val="Compact"/>
      </w:pPr>
      <w:r>
        <w:t xml:space="preserve">End-of-Life scenario emissions and recycling credits are based on assumed factors and the stated recyclability percentage/circular programs. Actual processing efficiencies and market dynamics for recycled materials could vary. Ecoinvent databases provide detailed waste management and recycling datasets which would be used in a full LCA.</w:t>
      </w:r>
    </w:p>
    <w:p>
      <w:pPr>
        <w:numPr>
          <w:ilvl w:val="0"/>
          <w:numId w:val="1011"/>
        </w:numPr>
        <w:pStyle w:val="Compact"/>
      </w:pPr>
      <w:r>
        <w:t xml:space="preserve">The "Circular/Take-back Programs: rznohworqq" was interpreted as a robust program that ensures the high recyclability percentage. The effectiveness of such programs in practice can vary.</w:t>
      </w:r>
    </w:p>
    <w:p>
      <w:r>
        <w:pict>
          <v:rect style="width:0;height:1.5pt" o:hralign="center" o:hrstd="t" o:hr="t"/>
        </w:pict>
      </w:r>
    </w:p>
    <w:bookmarkEnd w:id="34"/>
    <w:bookmarkEnd w:id="35"/>
    <w:bookmarkStart w:id="36" w:name="recommendations"/>
    <w:p>
      <w:pPr>
        <w:pStyle w:val="Heading2"/>
      </w:pPr>
      <w:r>
        <w:t xml:space="preserve">6. Recommendations</w:t>
      </w:r>
    </w:p>
    <w:p>
      <w:pPr>
        <w:pStyle w:val="FirstParagraph"/>
      </w:pPr>
      <w:r>
        <w:t xml:space="preserve">To further reduce the Product Carbon Footprint of fneuyqujxj and enhance reporting accuracy, motmykvfoe should consider the following:</w:t>
      </w:r>
    </w:p>
    <w:p>
      <w:pPr>
        <w:numPr>
          <w:ilvl w:val="0"/>
          <w:numId w:val="1012"/>
        </w:numPr>
        <w:pStyle w:val="Compact"/>
      </w:pPr>
      <w:r>
        <w:rPr>
          <w:bCs/>
          <w:b/>
        </w:rPr>
        <w:t xml:space="preserve">Material Optimization:</w:t>
      </w:r>
      <w:r>
        <w:t xml:space="preserve"> </w:t>
      </w:r>
      <w:r>
        <w:t xml:space="preserve">Explore opportunities to substitute high-emission materials (e.g., aluminum) with lower-carbon alternatives or increase recycled content beyond what\'s currently assumed. Engage with suppliers to obtain primary, cradle-to-gate emission data for all BOM items.</w:t>
      </w:r>
    </w:p>
    <w:p>
      <w:pPr>
        <w:numPr>
          <w:ilvl w:val="0"/>
          <w:numId w:val="1012"/>
        </w:numPr>
        <w:pStyle w:val="Compact"/>
      </w:pPr>
      <w:r>
        <w:rPr>
          <w:bCs/>
          <w:b/>
        </w:rPr>
        <w:t xml:space="preserve">Energy Efficiency in Use Phase:</w:t>
      </w:r>
      <w:r>
        <w:t xml:space="preserve"> </w:t>
      </w:r>
      <w:r>
        <w:t xml:space="preserve">Investigate product design improvements to reduce energy consumption during the use phase (ddpxivhpol). Educate consumers on energy-efficient usage patterns.</w:t>
      </w:r>
    </w:p>
    <w:p>
      <w:pPr>
        <w:numPr>
          <w:ilvl w:val="0"/>
          <w:numId w:val="1012"/>
        </w:numPr>
        <w:pStyle w:val="Compact"/>
      </w:pPr>
      <w:r>
        <w:rPr>
          <w:bCs/>
          <w:b/>
        </w:rPr>
        <w:t xml:space="preserve">Supply Chain Engagement:</w:t>
      </w:r>
      <w:r>
        <w:t xml:space="preserve"> </w:t>
      </w:r>
      <w:r>
        <w:t xml:space="preserve">Collaborate closely with upstream suppliers to gather primary data on their manufacturing processes and transportation. Optimize logistics routes and explore lower-emission transport modes where feasible (e.g., rail, sea freight for longer distances in Europe-focused supply chain).</w:t>
      </w:r>
    </w:p>
    <w:p>
      <w:pPr>
        <w:numPr>
          <w:ilvl w:val="0"/>
          <w:numId w:val="1012"/>
        </w:numPr>
        <w:pStyle w:val="Compact"/>
      </w:pPr>
      <w:r>
        <w:rPr>
          <w:bCs/>
          <w:b/>
        </w:rPr>
        <w:t xml:space="preserve">Renewable Energy Expansion:</w:t>
      </w:r>
      <w:r>
        <w:t xml:space="preserve"> </w:t>
      </w:r>
      <w:r>
        <w:t xml:space="preserve">Continue to increase renewable energy procurement or generation at production facilities beyond the current fuqhjelxhg (75%) to further reduce Scope 2 emissions.</w:t>
      </w:r>
    </w:p>
    <w:p>
      <w:pPr>
        <w:numPr>
          <w:ilvl w:val="0"/>
          <w:numId w:val="1012"/>
        </w:numPr>
        <w:pStyle w:val="Compact"/>
      </w:pPr>
      <w:r>
        <w:rPr>
          <w:bCs/>
          <w:b/>
        </w:rPr>
        <w:t xml:space="preserve">Circular Economy Initiatives:</w:t>
      </w:r>
      <w:r>
        <w:t xml:space="preserve"> </w:t>
      </w:r>
      <w:r>
        <w:t xml:space="preserve">Strengthen and expand existing circular/take-back programs (rznohworqq) to ensure maximum material recovery and closed-loop systems, actively tracking actual recycling rates and avoided virgin material production.</w:t>
      </w:r>
    </w:p>
    <w:p>
      <w:pPr>
        <w:numPr>
          <w:ilvl w:val="0"/>
          <w:numId w:val="1012"/>
        </w:numPr>
        <w:pStyle w:val="Compact"/>
      </w:pPr>
      <w:r>
        <w:rPr>
          <w:bCs/>
          <w:b/>
        </w:rPr>
        <w:t xml:space="preserve">Data Granularity:</w:t>
      </w:r>
      <w:r>
        <w:t xml:space="preserve"> </w:t>
      </w:r>
      <w:r>
        <w:t xml:space="preserve">For future PCF assessments, seek more granular data for transport distances (e.g., specific legs, vehicle types, actual payloads) and region-specific energy consumption data for the use phase.</w:t>
      </w:r>
    </w:p>
    <w:p>
      <w:r>
        <w:pict>
          <v:rect style="width:0;height:1.5pt" o:hralign="center" o:hrstd="t" o:hr="t"/>
        </w:pict>
      </w:r>
    </w:p>
    <w:p>
      <w:pPr>
        <w:pStyle w:val="FirstParagraph"/>
      </w:pPr>
      <w:r>
        <w:t xml:space="preserve">Confidential - Internal Use Only | Page 1 of X</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fneuyqujxj</dc:title>
  <dc:creator/>
  <dc:description>High-detail Product Carbon Footprint (PCF) analysis report for fneuyqujxj by fxuzdonwxn, Senior Sustainability Consultant at motmykvfoe, adhering to GHG Protocol and 2026 LSR update.</dc:description>
  <dc:language>en</dc:language>
  <cp:keywords/>
  <dcterms:created xsi:type="dcterms:W3CDTF">2026-05-30T23:01:55Z</dcterms:created>
  <dcterms:modified xsi:type="dcterms:W3CDTF">2026-05-30T23:01:55Z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