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ffkexjdqrt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ffkexjdqrt</w:t>
      </w:r>
    </w:p>
    <w:p>
      <w:pPr>
        <w:pStyle w:val="BodyText"/>
      </w:pPr>
      <w:r>
        <w:rPr>
          <w:bCs/>
          <w:b/>
        </w:rPr>
        <w:t xml:space="preserve">Company Name:</w:t>
      </w:r>
      <w:r>
        <w:t xml:space="preserve"> </w:t>
      </w:r>
      <w:r>
        <w:t xml:space="preserve">udwqtrdykp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hgvhsuvfvo</w:t>
      </w:r>
    </w:p>
    <w:p>
      <w:pPr>
        <w:pStyle w:val="BodyText"/>
      </w:pPr>
      <w:r>
        <w:t xml:space="preserve">Generated Date: May 22, 2026</w:t>
      </w:r>
    </w:p>
    <w:p>
      <w:pPr>
        <w:pStyle w:val="BodyText"/>
      </w:pPr>
      <w:r>
        <w:t xml:space="preserve">Disclaimer: This report is generated based on available data and industry standards, including specific parameters provided.</w:t>
      </w:r>
      <w:r>
        <w:t xml:space="preserve"> </w:t>
      </w:r>
      <w:r>
        <w:t xml:space="preserve">Calculations for demonstration purposes utilize hypothetical data where generic parameters were provided as non-structured strings.</w:t>
      </w:r>
      <w:r>
        <w:t xml:space="preserve"> </w:t>
      </w:r>
      <w:r>
        <w:t xml:space="preserve">A full, precise analysis would require validated, granular data for all inputs.</w:t>
      </w:r>
    </w:p>
    <w:bookmarkEnd w:id="20"/>
    <w:bookmarkStart w:id="21" w:name="Xa6c6a515a6f76d463720158a688c2b48d5b1af7"/>
    <w:p>
      <w:pPr>
        <w:pStyle w:val="Heading1"/>
      </w:pPr>
      <w:r>
        <w:t xml:space="preserve">Product Carbon Footprint Analysis Report: ffkexjdqrt</w:t>
      </w:r>
    </w:p>
    <w:p>
      <w:pPr>
        <w:pStyle w:val="FirstParagraph"/>
      </w:pPr>
      <w:r>
        <w:t xml:space="preserve">Generated Date: May 22, 2026</w:t>
      </w:r>
    </w:p>
    <w:p>
      <w:pPr>
        <w:pStyle w:val="BodyText"/>
      </w:pPr>
      <w:r>
        <w:t xml:space="preserve">Prepared by: hgvhsuvfvo, Senior Sustainability Consultant</w:t>
      </w:r>
    </w:p>
    <w:p>
      <w:pPr>
        <w:pStyle w:val="BodyText"/>
      </w:pPr>
      <w:r>
        <w:t xml:space="preserve">For: udwqtrdykp</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ffkexjdqrt</w:t>
      </w:r>
      <w:r>
        <w:t xml:space="preserve">, manufactured by</w:t>
      </w:r>
      <w:r>
        <w:t xml:space="preserve"> </w:t>
      </w:r>
      <w:r>
        <w:rPr>
          <w:bCs/>
          <w:b/>
        </w:rPr>
        <w:t xml:space="preserve">udwqtrdykp</w:t>
      </w:r>
      <w:r>
        <w:t xml:space="preserve">.</w:t>
      </w:r>
      <w:r>
        <w:t xml:space="preserve"> </w:t>
      </w:r>
      <w:r>
        <w:t xml:space="preserve">The analysis adheres to the Greenhouse Gas (GHG) Protocol, including the 2026 Land Sector and Removals (LSR) Standard updates and stringent Scope 3 compliance requirements.</w:t>
      </w:r>
      <w:r>
        <w:t xml:space="preserve"> </w:t>
      </w:r>
      <w:r>
        <w:t xml:space="preserve">The primary objective is to quantify the greenhouse gas emissions associated with the product\'s lifecycle, identify emission hotspots, and provide insights for reduction strategies.</w:t>
      </w:r>
      <w:r>
        <w:t xml:space="preserve"> </w:t>
      </w:r>
      <w:r>
        <w:t xml:space="preserve">Based on the specified parameters and industry-standard emission factors, the total cradle-to-end-of-life carbon footprint for one unit of ffkexjdqrt is calculated to be approximately</w:t>
      </w:r>
      <w:r>
        <w:t xml:space="preserve"> </w:t>
      </w:r>
      <w:r>
        <w:rPr>
          <w:bCs/>
          <w:b/>
        </w:rPr>
        <w:t xml:space="preserve">24.07 kg CO2e</w:t>
      </w:r>
      <w:r>
        <w:t xml:space="preserve">.</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was conducted following the five-step approach mandated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ffkexjdqrt.</w:t>
      </w:r>
    </w:p>
    <w:p>
      <w:pPr>
        <w:numPr>
          <w:ilvl w:val="1"/>
          <w:numId w:val="1002"/>
        </w:numPr>
        <w:pStyle w:val="Compact"/>
      </w:pPr>
      <w:r>
        <w:rPr>
          <w:bCs/>
          <w:b/>
        </w:rPr>
        <w:t xml:space="preserve">System Boundary:</w:t>
      </w:r>
      <w:r>
        <w:t xml:space="preserve"> </w:t>
      </w:r>
      <w:r>
        <w:t xml:space="preserve">Cradle-to-end-of-life, with the primary calculation boundary specified as</w:t>
      </w:r>
      <w:r>
        <w:t xml:space="preserve"> </w:t>
      </w:r>
      <w:r>
        <w:rPr>
          <w:iCs/>
          <w:i/>
        </w:rPr>
        <w:t xml:space="preserve">factory_gate</w:t>
      </w:r>
      <w:r>
        <w:t xml:space="preserve"> </w:t>
      </w:r>
      <w:r>
        <w:t xml:space="preserve">but extending to cover downstream Scope 3 categories as required for comprehensive reporting.</w:t>
      </w:r>
    </w:p>
    <w:p>
      <w:pPr>
        <w:numPr>
          <w:ilvl w:val="1"/>
          <w:numId w:val="1002"/>
        </w:numPr>
        <w:pStyle w:val="Compact"/>
      </w:pPr>
      <w:r>
        <w:rPr>
          <w:bCs/>
          <w:b/>
        </w:rPr>
        <w:t xml:space="preserve">Geographic Scope:</w:t>
      </w:r>
      <w:r>
        <w:t xml:space="preserve"> </w:t>
      </w:r>
      <w:r>
        <w:t xml:space="preserve">Final Production Country: China; Supply Chain Focus: Europe Focused (for downstream use and distribution).</w:t>
      </w:r>
    </w:p>
    <w:p>
      <w:pPr>
        <w:numPr>
          <w:ilvl w:val="1"/>
          <w:numId w:val="1002"/>
        </w:numPr>
        <w:pStyle w:val="Compact"/>
      </w:pPr>
      <w:r>
        <w:rPr>
          <w:bCs/>
          <w:b/>
        </w:rPr>
        <w:t xml:space="preserve">Accounting Standard:</w:t>
      </w:r>
      <w:r>
        <w:t xml:space="preserve"> </w:t>
      </w:r>
      <w:r>
        <w:t xml:space="preserve">GHG Protocol (Product Standard).</w:t>
      </w:r>
    </w:p>
    <w:p>
      <w:pPr>
        <w:numPr>
          <w:ilvl w:val="1"/>
          <w:numId w:val="1002"/>
        </w:numPr>
        <w:pStyle w:val="Compact"/>
      </w:pPr>
      <w:r>
        <w:rPr>
          <w:bCs/>
          <w:b/>
        </w:rPr>
        <w:t xml:space="preserve">Allocation:</w:t>
      </w:r>
      <w:r>
        <w:t xml:space="preserve"> </w:t>
      </w:r>
      <w:r>
        <w:t xml:space="preserve">Emissions are directly attributed to the functional unit. No co-product allocation was required for this single product analysis.</w:t>
      </w:r>
    </w:p>
    <w:p>
      <w:pPr>
        <w:numPr>
          <w:ilvl w:val="0"/>
          <w:numId w:val="1001"/>
        </w:numPr>
        <w:pStyle w:val="Compact"/>
      </w:pPr>
      <w:r>
        <w:rPr>
          <w:bCs/>
          <w:b/>
        </w:rPr>
        <w:t xml:space="preserve">Map Lifecycle (LCI inventory stages):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Manufacturing/Production (Scope 1 &amp; 2)</w:t>
      </w:r>
    </w:p>
    <w:p>
      <w:pPr>
        <w:numPr>
          <w:ilvl w:val="1"/>
          <w:numId w:val="1003"/>
        </w:numPr>
        <w:pStyle w:val="Compact"/>
      </w:pPr>
      <w:r>
        <w:t xml:space="preserve">Upstream Transportation (Materials to Factory) (Upstream Scope 3)</w:t>
      </w:r>
    </w:p>
    <w:p>
      <w:pPr>
        <w:numPr>
          <w:ilvl w:val="1"/>
          <w:numId w:val="1003"/>
        </w:numPr>
        <w:pStyle w:val="Compact"/>
      </w:pPr>
      <w:r>
        <w:t xml:space="preserve">Downstream Transportation (Factory to Customer)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p>
      <w:pPr>
        <w:numPr>
          <w:ilvl w:val="0"/>
          <w:numId w:val="1001"/>
        </w:numPr>
      </w:pPr>
      <w:r>
        <w:rPr>
          <w:bCs/>
          <w:b/>
        </w:rPr>
        <w:t xml:space="preserve">Collect Data (Primary/Secondary data points):</w:t>
      </w:r>
    </w:p>
    <w:p>
      <w:pPr>
        <w:numPr>
          <w:ilvl w:val="0"/>
          <w:numId w:val="1000"/>
        </w:numPr>
      </w:pPr>
      <w:r>
        <w:t xml:space="preserve">Primary data for key parameters, where provided as specific values (e.g., Detailed BOM, energy usage), were used. Secondary data, including industry-average emission factors, were sourced from reputable databases (e.g., Ecoinvent, DEFRA, Climatiq, IEA) for processes where primary data was not available or as a reference. Explicit assumptions for generic string inputs have been made and are detailed in the report.</w:t>
      </w:r>
    </w:p>
    <w:p>
      <w:pPr>
        <w:numPr>
          <w:ilvl w:val="0"/>
          <w:numId w:val="1001"/>
        </w:numPr>
      </w:pPr>
      <w:r>
        <w:rPr>
          <w:bCs/>
          <w:b/>
        </w:rPr>
        <w:t xml:space="preserve">Calculate Emissions (Activity * Emission Factor = CO2e):</w:t>
      </w:r>
    </w:p>
    <w:p>
      <w:pPr>
        <w:numPr>
          <w:ilvl w:val="0"/>
          <w:numId w:val="1000"/>
        </w:numPr>
      </w:pPr>
      <w:r>
        <w:t xml:space="preserve">Emissions were calculated for each lifecycle stage. Emissions are categorized into Scope 1 (direct), Scope 2 (purchased energy), and Scope 3 (value chain) in accordance with the GHG Protocol.</w:t>
      </w:r>
    </w:p>
    <w:p>
      <w:pPr>
        <w:numPr>
          <w:ilvl w:val="0"/>
          <w:numId w:val="1001"/>
        </w:numPr>
      </w:pPr>
      <w:r>
        <w:rPr>
          <w:bCs/>
          <w:b/>
        </w:rPr>
        <w:t xml:space="preserve">Review &amp; Report (Hotspots and reliability):</w:t>
      </w:r>
    </w:p>
    <w:p>
      <w:pPr>
        <w:numPr>
          <w:ilvl w:val="0"/>
          <w:numId w:val="1000"/>
        </w:numPr>
      </w:pPr>
      <w:r>
        <w:t xml:space="preserve">The results identify key emission hotspots and provide a basis for future emission reduction initiatives. The reliability of the report is dependent on the accuracy and completeness of the input data.</w:t>
      </w:r>
    </w:p>
    <w:bookmarkStart w:id="23" w:name="methodology-adherence"/>
    <w:p>
      <w:pPr>
        <w:pStyle w:val="Heading3"/>
      </w:pPr>
      <w:r>
        <w:t xml:space="preserve">Methodology Adherence:</w:t>
      </w:r>
    </w:p>
    <w:p>
      <w:pPr>
        <w:numPr>
          <w:ilvl w:val="0"/>
          <w:numId w:val="1004"/>
        </w:numPr>
        <w:pStyle w:val="Compact"/>
      </w:pPr>
      <w:r>
        <w:rPr>
          <w:bCs/>
          <w:b/>
        </w:rPr>
        <w:t xml:space="preserve">GHG Protocol:</w:t>
      </w:r>
      <w:r>
        <w:t xml:space="preserve"> </w:t>
      </w:r>
      <w:r>
        <w:t xml:space="preserve">Emissions are categorized into Scope 1, Scope 2, and Scope 3.</w:t>
      </w:r>
    </w:p>
    <w:p>
      <w:pPr>
        <w:numPr>
          <w:ilvl w:val="0"/>
          <w:numId w:val="1004"/>
        </w:numPr>
        <w:pStyle w:val="Compact"/>
      </w:pPr>
      <w:r>
        <w:rPr>
          <w:bCs/>
          <w:b/>
        </w:rPr>
        <w:t xml:space="preserve">2026 LSR Update:</w:t>
      </w:r>
      <w:r>
        <w:t xml:space="preserve"> </w:t>
      </w:r>
      <w:r>
        <w:t xml:space="preserve">While direct land use change associated with the product\'s primary materials was not explicitly provided, potential land sector and removal impacts for bio-based materials (if any) would be accounted for in the \'Purchased Goods and Services\' category. For this analysis, no specific LSR impacts were quantified due to lack of direct input data, but the framework for inclusion is recognized.</w:t>
      </w:r>
    </w:p>
    <w:p>
      <w:pPr>
        <w:numPr>
          <w:ilvl w:val="0"/>
          <w:numId w:val="1004"/>
        </w:numPr>
        <w:pStyle w:val="Compact"/>
      </w:pPr>
      <w:r>
        <w:rPr>
          <w:bCs/>
          <w:b/>
        </w:rPr>
        <w:t xml:space="preserve">Scope 3 Compliance:</w:t>
      </w:r>
      <w:r>
        <w:t xml:space="preserve"> </w:t>
      </w:r>
      <w:r>
        <w:t xml:space="preserve">Every effort has been made to achieve comprehensive Scope 3 coverage, targeting at least 95% of relevant emissions as per 2026 requirements, by including all identifiable upstream and downstream activities based on the provided parameters.</w:t>
      </w:r>
    </w:p>
    <w:p>
      <w:r>
        <w:pict>
          <v:rect style="width:0;height:1.5pt" o:hralign="center" o:hrstd="t" o:hr="t"/>
        </w:pict>
      </w:r>
    </w:p>
    <w:bookmarkEnd w:id="23"/>
    <w:bookmarkEnd w:id="24"/>
    <w:bookmarkStart w:id="28" w:name="detailed-analysis-data-collection"/>
    <w:p>
      <w:pPr>
        <w:pStyle w:val="Heading2"/>
      </w:pPr>
      <w:r>
        <w:t xml:space="preserve">3. Detailed Analysis &amp; Data Collection</w:t>
      </w:r>
    </w:p>
    <w:bookmarkStart w:id="25" w:name="assumptions-for-generic-parameters"/>
    <w:p>
      <w:pPr>
        <w:pStyle w:val="Heading3"/>
      </w:pPr>
      <w:r>
        <w:t xml:space="preserve">3.1. Assumptions for Generic Parameters</w:t>
      </w:r>
    </w:p>
    <w:p>
      <w:pPr>
        <w:pStyle w:val="FirstParagraph"/>
      </w:pPr>
      <w:r>
        <w:t xml:space="preserve">Where parameters were provided as generic strings (e.g., `gonndzgg`, `Select Mode`, `Delivery Type`, `oxvftzsqfn`, `qzkslnxlgi`, `zedykfvenu`, `vyutvqhsik`, `tmijmmgwve`, `htdmysqfin`, `xmhkzfinxz`), representative numerical or descriptive values have been assumed for calculation purposes to demonstrate the methodology. In a real-world scenario, precise data for these parameters would be collected to ensure high accuracy.</w:t>
      </w:r>
    </w:p>
    <w:p>
      <w:pPr>
        <w:numPr>
          <w:ilvl w:val="0"/>
          <w:numId w:val="1005"/>
        </w:numPr>
        <w:pStyle w:val="Compact"/>
      </w:pPr>
      <w:r>
        <w:rPr>
          <w:bCs/>
          <w:b/>
        </w:rPr>
        <w:t xml:space="preserve">Detailed Bill of Materials (BOM):</w:t>
      </w:r>
      <w:r>
        <w:t xml:space="preserve"> </w:t>
      </w:r>
      <w:r>
        <w:t xml:space="preserve">The input `gonndzgg` is treated as an identifier. For calculation, a hypothetical BOM entry following the specified format "ID, Description, Category, Process, Qty, Unit, Emission Factor, Total Carbon" is used as an example:</w:t>
      </w:r>
      <w:r>
        <w:t xml:space="preserve"> </w:t>
      </w:r>
      <w:r>
        <w:rPr>
          <w:iCs/>
          <w:i/>
        </w:rPr>
        <w:t xml:space="preserve">"1001,Main Casing (Plastic),Plastics,Injection Molding,1.2,kg,3.5,4.2"</w:t>
      </w:r>
      <w:r>
        <w:t xml:space="preserve">. This implies a product weight of 1.2 kg and a pre-calculated material emission of 4.2 kg CO2e.</w:t>
      </w:r>
    </w:p>
    <w:p>
      <w:pPr>
        <w:numPr>
          <w:ilvl w:val="0"/>
          <w:numId w:val="1005"/>
        </w:numPr>
        <w:pStyle w:val="Compact"/>
      </w:pPr>
      <w:r>
        <w:rPr>
          <w:bCs/>
          <w:b/>
        </w:rPr>
        <w:t xml:space="preserve">Transport Mode:</w:t>
      </w:r>
      <w:r>
        <w:t xml:space="preserve"> </w:t>
      </w:r>
      <w:r>
        <w:t xml:space="preserve">"Road (Heavy Goods Vehicle, &gt;20t)" for primary transport.</w:t>
      </w:r>
    </w:p>
    <w:p>
      <w:pPr>
        <w:numPr>
          <w:ilvl w:val="0"/>
          <w:numId w:val="1005"/>
        </w:numPr>
        <w:pStyle w:val="Compact"/>
      </w:pPr>
      <w:r>
        <w:rPr>
          <w:bCs/>
          <w:b/>
        </w:rPr>
        <w:t xml:space="preserve">Transport Distance (`oxvftzsqfn`):</w:t>
      </w:r>
      <w:r>
        <w:t xml:space="preserve"> </w:t>
      </w:r>
      <w:r>
        <w:t xml:space="preserve">1500 km (total for primary upstream and outbound to European hub).</w:t>
      </w:r>
    </w:p>
    <w:p>
      <w:pPr>
        <w:numPr>
          <w:ilvl w:val="0"/>
          <w:numId w:val="1005"/>
        </w:numPr>
        <w:pStyle w:val="Compact"/>
      </w:pPr>
      <w:r>
        <w:rPr>
          <w:bCs/>
          <w:b/>
        </w:rPr>
        <w:t xml:space="preserve">Last-Mile Delivery Channel:</w:t>
      </w:r>
      <w:r>
        <w:t xml:space="preserve"> </w:t>
      </w:r>
      <w:r>
        <w:t xml:space="preserve">"Parcel Delivery (Van)" with an assumed last-mile distance of 50 km.</w:t>
      </w:r>
    </w:p>
    <w:p>
      <w:pPr>
        <w:numPr>
          <w:ilvl w:val="0"/>
          <w:numId w:val="1005"/>
        </w:numPr>
        <w:pStyle w:val="Compact"/>
      </w:pPr>
      <w:r>
        <w:rPr>
          <w:bCs/>
          <w:b/>
        </w:rPr>
        <w:t xml:space="preserve">Renewable Energy Usage (`qzkslnxlgi`):</w:t>
      </w:r>
      <w:r>
        <w:t xml:space="preserve"> </w:t>
      </w:r>
      <w:r>
        <w:t xml:space="preserve">75% for manufacturing.</w:t>
      </w:r>
    </w:p>
    <w:p>
      <w:pPr>
        <w:numPr>
          <w:ilvl w:val="0"/>
          <w:numId w:val="1005"/>
        </w:numPr>
        <w:pStyle w:val="Compact"/>
      </w:pPr>
      <w:r>
        <w:rPr>
          <w:bCs/>
          <w:b/>
        </w:rPr>
        <w:t xml:space="preserve">Energy Intensity (kWh/unit, `zedykfvenu`):</w:t>
      </w:r>
      <w:r>
        <w:t xml:space="preserve"> </w:t>
      </w:r>
      <w:r>
        <w:t xml:space="preserve">10 kWh/unit for the production phase.</w:t>
      </w:r>
    </w:p>
    <w:p>
      <w:pPr>
        <w:numPr>
          <w:ilvl w:val="0"/>
          <w:numId w:val="1005"/>
        </w:numPr>
        <w:pStyle w:val="Compact"/>
      </w:pPr>
      <w:r>
        <w:rPr>
          <w:bCs/>
          <w:b/>
        </w:rPr>
        <w:t xml:space="preserve">Product Lifespan (`vyutvqhsik`):</w:t>
      </w:r>
      <w:r>
        <w:t xml:space="preserve"> </w:t>
      </w:r>
      <w:r>
        <w:t xml:space="preserve">5 years.</w:t>
      </w:r>
    </w:p>
    <w:p>
      <w:pPr>
        <w:numPr>
          <w:ilvl w:val="0"/>
          <w:numId w:val="1005"/>
        </w:numPr>
        <w:pStyle w:val="Compact"/>
      </w:pPr>
      <w:r>
        <w:rPr>
          <w:bCs/>
          <w:b/>
        </w:rPr>
        <w:t xml:space="preserve">Energy Consumption in Use (`tmijmmgwve`):</w:t>
      </w:r>
      <w:r>
        <w:t xml:space="preserve"> </w:t>
      </w:r>
      <w:r>
        <w:t xml:space="preserve">20 kWh/year.</w:t>
      </w:r>
    </w:p>
    <w:p>
      <w:pPr>
        <w:numPr>
          <w:ilvl w:val="0"/>
          <w:numId w:val="1005"/>
        </w:numPr>
        <w:pStyle w:val="Compact"/>
      </w:pPr>
      <w:r>
        <w:rPr>
          <w:bCs/>
          <w:b/>
        </w:rPr>
        <w:t xml:space="preserve">Recyclability Percentage (`htdmysqfin`):</w:t>
      </w:r>
      <w:r>
        <w:t xml:space="preserve"> </w:t>
      </w:r>
      <w:r>
        <w:t xml:space="preserve">60%.</w:t>
      </w:r>
    </w:p>
    <w:p>
      <w:pPr>
        <w:numPr>
          <w:ilvl w:val="0"/>
          <w:numId w:val="1005"/>
        </w:numPr>
        <w:pStyle w:val="Compact"/>
      </w:pPr>
      <w:r>
        <w:rPr>
          <w:bCs/>
          <w:b/>
        </w:rPr>
        <w:t xml:space="preserve">Circular/Take-back Programs (`xmhkzfinxz`):</w:t>
      </w:r>
      <w:r>
        <w:t xml:space="preserve"> </w:t>
      </w:r>
      <w:r>
        <w:t xml:space="preserve">"Robust take-back and refurbishment program in place."</w:t>
      </w:r>
    </w:p>
    <w:bookmarkEnd w:id="25"/>
    <w:bookmarkStart w:id="26" w:name="emission-factors-used"/>
    <w:p>
      <w:pPr>
        <w:pStyle w:val="Heading3"/>
      </w:pPr>
      <w:r>
        <w:t xml:space="preserve">3.2. Emission Factors Used</w:t>
      </w:r>
    </w:p>
    <w:p>
      <w:pPr>
        <w:pStyle w:val="FirstParagraph"/>
      </w:pPr>
      <w:r>
        <w:t xml:space="preserve">Industry-standard emission factors are applied, primarily from Ecoinvent/DEFRA equivalents and other recognized sources:</w:t>
      </w:r>
    </w:p>
    <w:p>
      <w:pPr>
        <w:numPr>
          <w:ilvl w:val="0"/>
          <w:numId w:val="1006"/>
        </w:numPr>
        <w:pStyle w:val="Compact"/>
      </w:pPr>
      <w:r>
        <w:rPr>
          <w:bCs/>
          <w:b/>
        </w:rPr>
        <w:t xml:space="preserve">Road Transport (HGV &gt;20t, Europe):</w:t>
      </w:r>
      <w:r>
        <w:t xml:space="preserve"> </w:t>
      </w:r>
      <w:r>
        <w:t xml:space="preserve">0.092 kg CO2e/tonne-km (Well-to-Wheel).</w:t>
      </w:r>
    </w:p>
    <w:p>
      <w:pPr>
        <w:numPr>
          <w:ilvl w:val="0"/>
          <w:numId w:val="1006"/>
        </w:numPr>
        <w:pStyle w:val="Compact"/>
      </w:pPr>
      <w:r>
        <w:rPr>
          <w:bCs/>
          <w:b/>
        </w:rPr>
        <w:t xml:space="preserve">Last-Mile Delivery (Average Van):</w:t>
      </w:r>
      <w:r>
        <w:t xml:space="preserve"> </w:t>
      </w:r>
      <w:r>
        <w:t xml:space="preserve">0.24934 kg CO2e/km (from UK BEIS source for vans up to 3.5 tonnes).</w:t>
      </w:r>
    </w:p>
    <w:p>
      <w:pPr>
        <w:numPr>
          <w:ilvl w:val="0"/>
          <w:numId w:val="1006"/>
        </w:numPr>
        <w:pStyle w:val="Compact"/>
      </w:pPr>
      <w:r>
        <w:rPr>
          <w:bCs/>
          <w:b/>
        </w:rPr>
        <w:t xml:space="preserve">Electricity Grid Mix (China, 2023 National Average):</w:t>
      </w:r>
      <w:r>
        <w:t xml:space="preserve"> </w:t>
      </w:r>
      <w:r>
        <w:t xml:space="preserve">0.6205 kg CO2e/kWh.</w:t>
      </w:r>
    </w:p>
    <w:p>
      <w:pPr>
        <w:numPr>
          <w:ilvl w:val="0"/>
          <w:numId w:val="1006"/>
        </w:numPr>
        <w:pStyle w:val="Compact"/>
      </w:pPr>
      <w:r>
        <w:rPr>
          <w:bCs/>
          <w:b/>
        </w:rPr>
        <w:t xml:space="preserve">Electricity Grid Mix (Europe, 2024 Average):</w:t>
      </w:r>
      <w:r>
        <w:t xml:space="preserve"> </w:t>
      </w:r>
      <w:r>
        <w:t xml:space="preserve">0.181 kg CO2e/kWh (181 kg CO2/MWh).</w:t>
      </w:r>
    </w:p>
    <w:p>
      <w:pPr>
        <w:numPr>
          <w:ilvl w:val="0"/>
          <w:numId w:val="1006"/>
        </w:numPr>
        <w:pStyle w:val="Compact"/>
      </w:pPr>
      <w:r>
        <w:rPr>
          <w:bCs/>
          <w:b/>
        </w:rPr>
        <w:t xml:space="preserve">Waste Disposal (Landfill, for plastics):</w:t>
      </w:r>
      <w:r>
        <w:t xml:space="preserve"> </w:t>
      </w:r>
      <w:r>
        <w:t xml:space="preserve">0.04 kg CO2e/kg (40 kg CO2e/tonne) for general waste.</w:t>
      </w:r>
    </w:p>
    <w:bookmarkEnd w:id="26"/>
    <w:bookmarkStart w:id="27" w:name="bill-of-materials-bom-breakdown"/>
    <w:p>
      <w:pPr>
        <w:pStyle w:val="Heading3"/>
      </w:pPr>
      <w:r>
        <w:t xml:space="preserve">3.3. Bill of Materials (BOM) Breakdown</w:t>
      </w:r>
    </w:p>
    <w:p>
      <w:pPr>
        <w:pStyle w:val="FirstParagraph"/>
      </w:pPr>
      <w:r>
        <w:t xml:space="preserve">The following hypothetical BOM entry, representative of `gonndzgg`\'s specified format, is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Main Casing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bl>
    <w:p>
      <w:pPr>
        <w:pStyle w:val="BodyText"/>
      </w:pPr>
      <w:r>
        <w:t xml:space="preserve">This table directly uses the \'Total Carbon\' value (4.2 kg CO2e) for the material\'s lifecycle impact up to factory gate for the specific component.</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The Product Carbon Footprint for one unit of</w:t>
      </w:r>
      <w:r>
        <w:t xml:space="preserve"> </w:t>
      </w:r>
      <w:r>
        <w:rPr>
          <w:bCs/>
          <w:b/>
        </w:rPr>
        <w:t xml:space="preserve">ffkexjdqrt</w:t>
      </w:r>
      <w:r>
        <w:t xml:space="preserve"> </w:t>
      </w:r>
      <w:r>
        <w:t xml:space="preserve">is calculated across its lifecycle stages and categorized by GHG Protocol scopes.</w:t>
      </w:r>
    </w:p>
    <w:bookmarkStart w:id="29" w:name="X1ad9a0c33edfd883cba8e7eb5d0853356860b8a"/>
    <w:p>
      <w:pPr>
        <w:pStyle w:val="Heading3"/>
      </w:pPr>
      <w:r>
        <w:t xml:space="preserve">4.1. Material Acquisition &amp; Pre-processing (Scope 3, Category 1)</w:t>
      </w:r>
    </w:p>
    <w:p>
      <w:pPr>
        <w:numPr>
          <w:ilvl w:val="0"/>
          <w:numId w:val="1007"/>
        </w:numPr>
        <w:pStyle w:val="Compact"/>
      </w:pPr>
      <w:r>
        <w:rPr>
          <w:bCs/>
          <w:b/>
        </w:rPr>
        <w:t xml:space="preserve">Emissions from Materials (Based on BOM):</w:t>
      </w:r>
      <w:r>
        <w:t xml:space="preserve"> </w:t>
      </w:r>
      <w:r>
        <w:t xml:space="preserve">4.2 kg CO2e</w:t>
      </w:r>
    </w:p>
    <w:bookmarkEnd w:id="29"/>
    <w:bookmarkStart w:id="30" w:name="manufacturing-production-scope-1-2"/>
    <w:p>
      <w:pPr>
        <w:pStyle w:val="Heading3"/>
      </w:pPr>
      <w:r>
        <w:t xml:space="preserve">4.2. Manufacturing / Production (Scope 1 &amp; 2)</w:t>
      </w:r>
    </w:p>
    <w:p>
      <w:pPr>
        <w:numPr>
          <w:ilvl w:val="0"/>
          <w:numId w:val="1008"/>
        </w:numPr>
        <w:pStyle w:val="Compact"/>
      </w:pPr>
      <w:r>
        <w:rPr>
          <w:bCs/>
          <w:b/>
        </w:rPr>
        <w:t xml:space="preserve">Direct Emissions (Scope 1):</w:t>
      </w:r>
      <w:r>
        <w:t xml:space="preserve"> </w:t>
      </w:r>
      <w:r>
        <w:t xml:space="preserve">Assumed negligible or implicitly covered by energy intensity if not specified as direct fuel combustion. For this analysis, direct process emissions from `udwqtrdykp` are not explicitly quantified but would be included if fuel consumption data were available. 0 kg CO2e (assumed).</w:t>
      </w:r>
    </w:p>
    <w:p>
      <w:pPr>
        <w:numPr>
          <w:ilvl w:val="0"/>
          <w:numId w:val="1008"/>
        </w:numPr>
        <w:pStyle w:val="Compact"/>
      </w:pPr>
      <w:r>
        <w:rPr>
          <w:bCs/>
          <w:b/>
        </w:rPr>
        <w:t xml:space="preserve">Purchased Electricity (Scope 2):</w:t>
      </w:r>
    </w:p>
    <w:p>
      <w:pPr>
        <w:numPr>
          <w:ilvl w:val="1"/>
          <w:numId w:val="1009"/>
        </w:numPr>
        <w:pStyle w:val="Compact"/>
      </w:pPr>
      <w:r>
        <w:t xml:space="preserve">Total Energy Intensity: 10 kWh/unit [from `zedykfvenu`]</w:t>
      </w:r>
    </w:p>
    <w:p>
      <w:pPr>
        <w:numPr>
          <w:ilvl w:val="1"/>
          <w:numId w:val="1009"/>
        </w:numPr>
        <w:pStyle w:val="Compact"/>
      </w:pPr>
      <w:r>
        <w:t xml:space="preserve">Non-renewable Energy Usage: 10 kWh/unit * (1 - 0.75 [from `qzkslnxlgi`]) = 2.5 kWh/unit</w:t>
      </w:r>
    </w:p>
    <w:p>
      <w:pPr>
        <w:numPr>
          <w:ilvl w:val="1"/>
          <w:numId w:val="1009"/>
        </w:numPr>
        <w:pStyle w:val="Compact"/>
      </w:pPr>
      <w:r>
        <w:t xml:space="preserve">Emissions: 2.5 kWh/unit * 0.6205 kg CO2e/kWh (China Grid) = 1.55 kg CO2e.</w:t>
      </w:r>
    </w:p>
    <w:bookmarkEnd w:id="30"/>
    <w:bookmarkStart w:id="31" w:name="transportation-scope-3-categories-4-9"/>
    <w:p>
      <w:pPr>
        <w:pStyle w:val="Heading3"/>
      </w:pPr>
      <w:r>
        <w:t xml:space="preserve">4.3. Transportation (Scope 3, Categories 4 &amp; 9)</w:t>
      </w:r>
    </w:p>
    <w:p>
      <w:pPr>
        <w:numPr>
          <w:ilvl w:val="0"/>
          <w:numId w:val="1010"/>
        </w:numPr>
        <w:pStyle w:val="Compact"/>
      </w:pPr>
      <w:r>
        <w:rPr>
          <w:bCs/>
          <w:b/>
        </w:rPr>
        <w:t xml:space="preserve">Upstream Transportation (Materials to Factory - Scope 3, Category 4):</w:t>
      </w:r>
    </w:p>
    <w:p>
      <w:pPr>
        <w:numPr>
          <w:ilvl w:val="1"/>
          <w:numId w:val="1011"/>
        </w:numPr>
        <w:pStyle w:val="Compact"/>
      </w:pPr>
      <w:r>
        <w:t xml:space="preserve">Distance (50% of `oxvftzsqfn`): 1500 km * 0.5 = 750 km</w:t>
      </w:r>
    </w:p>
    <w:p>
      <w:pPr>
        <w:numPr>
          <w:ilvl w:val="1"/>
          <w:numId w:val="1011"/>
        </w:numPr>
        <w:pStyle w:val="Compact"/>
      </w:pPr>
      <w:r>
        <w:t xml:space="preserve">Product Material Weight: 1.2 kg (from hypothetical BOM)</w:t>
      </w:r>
    </w:p>
    <w:p>
      <w:pPr>
        <w:numPr>
          <w:ilvl w:val="1"/>
          <w:numId w:val="1011"/>
        </w:numPr>
        <w:pStyle w:val="Compact"/>
      </w:pPr>
      <w:r>
        <w:t xml:space="preserve">Emissions: 750 km * (1.2 kg / 1000 kg/tonne) * 0.092 kg CO2e/tonne-km = 0.08 kg CO2e.</w:t>
      </w:r>
    </w:p>
    <w:p>
      <w:pPr>
        <w:numPr>
          <w:ilvl w:val="0"/>
          <w:numId w:val="1010"/>
        </w:numPr>
        <w:pStyle w:val="Compact"/>
      </w:pPr>
      <w:r>
        <w:rPr>
          <w:bCs/>
          <w:b/>
        </w:rPr>
        <w:t xml:space="preserve">Downstream Transportation (Factory to European Hub - Scope 3, Category 9):</w:t>
      </w:r>
    </w:p>
    <w:p>
      <w:pPr>
        <w:numPr>
          <w:ilvl w:val="1"/>
          <w:numId w:val="1012"/>
        </w:numPr>
        <w:pStyle w:val="Compact"/>
      </w:pPr>
      <w:r>
        <w:t xml:space="preserve">Distance (50% of `oxvftzsqfn`): 1500 km * 0.5 = 750 km</w:t>
      </w:r>
    </w:p>
    <w:p>
      <w:pPr>
        <w:numPr>
          <w:ilvl w:val="1"/>
          <w:numId w:val="1012"/>
        </w:numPr>
        <w:pStyle w:val="Compact"/>
      </w:pPr>
      <w:r>
        <w:t xml:space="preserve">Product Weight: 1.2 kg</w:t>
      </w:r>
    </w:p>
    <w:p>
      <w:pPr>
        <w:numPr>
          <w:ilvl w:val="1"/>
          <w:numId w:val="1012"/>
        </w:numPr>
        <w:pStyle w:val="Compact"/>
      </w:pPr>
      <w:r>
        <w:t xml:space="preserve">Emissions: 750 km * (1.2 kg / 1000 kg/tonne) * 0.092 kg CO2e/tonne-km = 0.08 kg CO2e.</w:t>
      </w:r>
    </w:p>
    <w:p>
      <w:pPr>
        <w:numPr>
          <w:ilvl w:val="0"/>
          <w:numId w:val="1010"/>
        </w:numPr>
        <w:pStyle w:val="Compact"/>
      </w:pPr>
      <w:r>
        <w:rPr>
          <w:bCs/>
          <w:b/>
        </w:rPr>
        <w:t xml:space="preserve">Last-Mile Delivery (to Customer - Scope 3, Category 9):</w:t>
      </w:r>
    </w:p>
    <w:p>
      <w:pPr>
        <w:numPr>
          <w:ilvl w:val="1"/>
          <w:numId w:val="1013"/>
        </w:numPr>
        <w:pStyle w:val="Compact"/>
      </w:pPr>
      <w:r>
        <w:t xml:space="preserve">Assumed Distance: 50 km</w:t>
      </w:r>
    </w:p>
    <w:p>
      <w:pPr>
        <w:numPr>
          <w:ilvl w:val="1"/>
          <w:numId w:val="1013"/>
        </w:numPr>
        <w:pStyle w:val="Compact"/>
      </w:pPr>
      <w:r>
        <w:t xml:space="preserve">Assumed Average Van Load: 500 kg (0.5 tonnes)</w:t>
      </w:r>
    </w:p>
    <w:p>
      <w:pPr>
        <w:numPr>
          <w:ilvl w:val="1"/>
          <w:numId w:val="1013"/>
        </w:numPr>
        <w:pStyle w:val="Compact"/>
      </w:pPr>
      <w:r>
        <w:t xml:space="preserve">Product\'s Share of Van Load: 1.2 kg / 500 kg = 0.0024</w:t>
      </w:r>
    </w:p>
    <w:p>
      <w:pPr>
        <w:numPr>
          <w:ilvl w:val="1"/>
          <w:numId w:val="1013"/>
        </w:numPr>
        <w:pStyle w:val="Compact"/>
      </w:pPr>
      <w:r>
        <w:t xml:space="preserve">Emissions Factor (Average Van): 0.24934 kg CO2e/km</w:t>
      </w:r>
    </w:p>
    <w:p>
      <w:pPr>
        <w:numPr>
          <w:ilvl w:val="1"/>
          <w:numId w:val="1013"/>
        </w:numPr>
        <w:pStyle w:val="Compact"/>
      </w:pPr>
      <w:r>
        <w:t xml:space="preserve">Emissions: 50 km * 0.24934 kg CO2e/km * 0.0024 = 0.03 kg CO2e.</w:t>
      </w:r>
    </w:p>
    <w:bookmarkEnd w:id="31"/>
    <w:bookmarkStart w:id="32" w:name="use-phase-scope-3-category-11"/>
    <w:p>
      <w:pPr>
        <w:pStyle w:val="Heading3"/>
      </w:pPr>
      <w:r>
        <w:t xml:space="preserve">4.4. Use Phase (Scope 3, Category 11)</w:t>
      </w:r>
    </w:p>
    <w:p>
      <w:pPr>
        <w:numPr>
          <w:ilvl w:val="0"/>
          <w:numId w:val="1014"/>
        </w:numPr>
        <w:pStyle w:val="Compact"/>
      </w:pPr>
      <w:r>
        <w:rPr>
          <w:bCs/>
          <w:b/>
        </w:rPr>
        <w:t xml:space="preserve">Product Lifespan (`vyutvqhsik`):</w:t>
      </w:r>
      <w:r>
        <w:t xml:space="preserve"> </w:t>
      </w:r>
      <w:r>
        <w:t xml:space="preserve">5 years</w:t>
      </w:r>
    </w:p>
    <w:p>
      <w:pPr>
        <w:numPr>
          <w:ilvl w:val="0"/>
          <w:numId w:val="1014"/>
        </w:numPr>
        <w:pStyle w:val="Compact"/>
      </w:pPr>
      <w:r>
        <w:rPr>
          <w:bCs/>
          <w:b/>
        </w:rPr>
        <w:t xml:space="preserve">Energy Consumption in Use (`tmijmmgwve`):</w:t>
      </w:r>
      <w:r>
        <w:t xml:space="preserve"> </w:t>
      </w:r>
      <w:r>
        <w:t xml:space="preserve">20 kWh/year</w:t>
      </w:r>
    </w:p>
    <w:p>
      <w:pPr>
        <w:numPr>
          <w:ilvl w:val="0"/>
          <w:numId w:val="1014"/>
        </w:numPr>
        <w:pStyle w:val="Compact"/>
      </w:pPr>
      <w:r>
        <w:rPr>
          <w:bCs/>
          <w:b/>
        </w:rPr>
        <w:t xml:space="preserve">Total Energy Consumption:</w:t>
      </w:r>
      <w:r>
        <w:t xml:space="preserve"> </w:t>
      </w:r>
      <w:r>
        <w:t xml:space="preserve">20 kWh/year * 5 years = 100 kWh</w:t>
      </w:r>
    </w:p>
    <w:p>
      <w:pPr>
        <w:numPr>
          <w:ilvl w:val="0"/>
          <w:numId w:val="1014"/>
        </w:numPr>
        <w:pStyle w:val="Compact"/>
      </w:pPr>
      <w:r>
        <w:rPr>
          <w:bCs/>
          <w:b/>
        </w:rPr>
        <w:t xml:space="preserve">Emissions (Europe Grid Mix):</w:t>
      </w:r>
      <w:r>
        <w:t xml:space="preserve"> </w:t>
      </w:r>
      <w:r>
        <w:t xml:space="preserve">100 kWh * 0.181 kg CO2e/kWh = 18.1 kg CO2e.</w:t>
      </w:r>
    </w:p>
    <w:bookmarkEnd w:id="32"/>
    <w:bookmarkStart w:id="33" w:name="Xd8b0cc1007d2f3c714880ecf2ca12af4f909441"/>
    <w:p>
      <w:pPr>
        <w:pStyle w:val="Heading3"/>
      </w:pPr>
      <w:r>
        <w:t xml:space="preserve">4.5. End-of-Life (EoL) Treatment (Scope 3, Category 12)</w:t>
      </w:r>
    </w:p>
    <w:p>
      <w:pPr>
        <w:numPr>
          <w:ilvl w:val="0"/>
          <w:numId w:val="1015"/>
        </w:numPr>
        <w:pStyle w:val="Compact"/>
      </w:pPr>
      <w:r>
        <w:rPr>
          <w:bCs/>
          <w:b/>
        </w:rPr>
        <w:t xml:space="preserve">Product Weight:</w:t>
      </w:r>
      <w:r>
        <w:t xml:space="preserve"> </w:t>
      </w:r>
      <w:r>
        <w:t xml:space="preserve">1.2 kg</w:t>
      </w:r>
    </w:p>
    <w:p>
      <w:pPr>
        <w:numPr>
          <w:ilvl w:val="0"/>
          <w:numId w:val="1015"/>
        </w:numPr>
        <w:pStyle w:val="Compact"/>
      </w:pPr>
      <w:r>
        <w:rPr>
          <w:bCs/>
          <w:b/>
        </w:rPr>
        <w:t xml:space="preserve">Recyclability Percentage (`htdmysqfin`):</w:t>
      </w:r>
      <w:r>
        <w:t xml:space="preserve"> </w:t>
      </w:r>
      <w:r>
        <w:t xml:space="preserve">60%</w:t>
      </w:r>
    </w:p>
    <w:p>
      <w:pPr>
        <w:numPr>
          <w:ilvl w:val="0"/>
          <w:numId w:val="1015"/>
        </w:numPr>
        <w:pStyle w:val="Compact"/>
      </w:pPr>
      <w:r>
        <w:rPr>
          <w:bCs/>
          <w:b/>
        </w:rPr>
        <w:t xml:space="preserve">Non-recycled Portion:</w:t>
      </w:r>
      <w:r>
        <w:t xml:space="preserve"> </w:t>
      </w:r>
      <w:r>
        <w:t xml:space="preserve">1.2 kg * (1 - 0.60) = 0.48 kg</w:t>
      </w:r>
    </w:p>
    <w:p>
      <w:pPr>
        <w:numPr>
          <w:ilvl w:val="0"/>
          <w:numId w:val="1015"/>
        </w:numPr>
        <w:pStyle w:val="Compact"/>
      </w:pPr>
      <w:r>
        <w:rPr>
          <w:bCs/>
          <w:b/>
        </w:rPr>
        <w:t xml:space="preserve">Emissions from Disposal (Landfill assumption):</w:t>
      </w:r>
      <w:r>
        <w:t xml:space="preserve"> </w:t>
      </w:r>
      <w:r>
        <w:t xml:space="preserve">0.48 kg * 0.04 kg CO2e/kg = 0.02 kg CO2e.</w:t>
      </w:r>
    </w:p>
    <w:p>
      <w:pPr>
        <w:numPr>
          <w:ilvl w:val="0"/>
          <w:numId w:val="1015"/>
        </w:numPr>
        <w:pStyle w:val="Compact"/>
      </w:pPr>
      <w:r>
        <w:rPr>
          <w:bCs/>
          <w:b/>
        </w:rPr>
        <w:t xml:space="preserve">Circular/Take-back Programs (`xmhkzfinxz`):</w:t>
      </w:r>
      <w:r>
        <w:t xml:space="preserve"> </w:t>
      </w:r>
      <w:r>
        <w:t xml:space="preserve">"Robust take-back and refurbishment program in place." These programs further reduce the overall EoL impact by extending product lifecycles and maximizing material recovery, potentially leading to avoided emissions from new production, though not explicitly quantified here due to data limitations.</w:t>
      </w:r>
    </w:p>
    <w:bookmarkEnd w:id="33"/>
    <w:bookmarkStart w:id="34" w:name="summary-of-pcf-results"/>
    <w:p>
      <w:pPr>
        <w:pStyle w:val="Heading3"/>
      </w:pPr>
      <w:r>
        <w:t xml:space="preserve">4.6. Summary of PCF Results</w:t>
      </w:r>
    </w:p>
    <w:p>
      <w:pPr>
        <w:pStyle w:val="FirstParagraph"/>
      </w:pPr>
      <w:r>
        <w:t xml:space="preserve">The total Product Carbon Footprint for one unit of</w:t>
      </w:r>
      <w:r>
        <w:t xml:space="preserve"> </w:t>
      </w:r>
      <w:r>
        <w:rPr>
          <w:bCs/>
          <w:b/>
        </w:rPr>
        <w:t xml:space="preserve">ffkexjdqrt</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4.20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1.55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0.08</w:t>
            </w:r>
          </w:p>
        </w:tc>
      </w:tr>
      <w:tr>
        <w:tc>
          <w:tcPr/>
          <w:p>
            <w:pPr>
              <w:pStyle w:val="Compact"/>
              <w:jc w:val="left"/>
            </w:pPr>
            <w:r>
              <w:t xml:space="preserve">Downstream Transportation (Primary)</w:t>
            </w:r>
          </w:p>
        </w:tc>
        <w:tc>
          <w:tcPr/>
          <w:p>
            <w:pPr>
              <w:pStyle w:val="Compact"/>
              <w:jc w:val="left"/>
            </w:pPr>
            <w:r>
              <w:t xml:space="preserve">Scope 3, Category 9</w:t>
            </w:r>
          </w:p>
        </w:tc>
        <w:tc>
          <w:tcPr/>
          <w:p>
            <w:pPr>
              <w:pStyle w:val="Compact"/>
              <w:jc w:val="left"/>
            </w:pPr>
            <w:r>
              <w:t xml:space="preserve">0.08</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24.07</w:t>
            </w:r>
          </w:p>
        </w:tc>
      </w:tr>
    </w:tbl>
    <w:bookmarkEnd w:id="34"/>
    <w:bookmarkStart w:id="35"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1.55</w:t>
            </w:r>
          </w:p>
        </w:tc>
        <w:tc>
          <w:tcPr/>
          <w:p>
            <w:pPr>
              <w:pStyle w:val="Compact"/>
              <w:jc w:val="left"/>
            </w:pPr>
            <w:r>
              <w:t xml:space="preserve">6.44%</w:t>
            </w:r>
          </w:p>
        </w:tc>
      </w:tr>
      <w:tr>
        <w:tc>
          <w:tcPr/>
          <w:p>
            <w:pPr>
              <w:pStyle w:val="Compact"/>
              <w:jc w:val="left"/>
            </w:pPr>
            <w:r>
              <w:t xml:space="preserve">Scope 3 (Value Chain Emissions)</w:t>
            </w:r>
          </w:p>
        </w:tc>
        <w:tc>
          <w:tcPr/>
          <w:p>
            <w:pPr>
              <w:pStyle w:val="Compact"/>
              <w:jc w:val="left"/>
            </w:pPr>
            <w:r>
              <w:t xml:space="preserve">22.52</w:t>
            </w:r>
          </w:p>
        </w:tc>
        <w:tc>
          <w:tcPr/>
          <w:p>
            <w:pPr>
              <w:pStyle w:val="Compact"/>
              <w:jc w:val="left"/>
            </w:pPr>
            <w:r>
              <w:t xml:space="preserve">93.56%</w:t>
            </w:r>
          </w:p>
        </w:tc>
      </w:tr>
      <w:tr>
        <w:tc>
          <w:tcPr/>
          <w:p>
            <w:pPr>
              <w:pStyle w:val="Compact"/>
              <w:jc w:val="left"/>
            </w:pPr>
            <w:r>
              <w:t xml:space="preserve">    Category 1 (Purchased Goods &amp; Services)</w:t>
            </w:r>
          </w:p>
        </w:tc>
        <w:tc>
          <w:tcPr/>
          <w:p>
            <w:pPr>
              <w:pStyle w:val="Compact"/>
              <w:jc w:val="left"/>
            </w:pPr>
            <w:r>
              <w:t xml:space="preserve">4.20</w:t>
            </w:r>
          </w:p>
        </w:tc>
        <w:tc>
          <w:tcPr/>
          <w:p>
            <w:pPr>
              <w:pStyle w:val="Compact"/>
              <w:jc w:val="left"/>
            </w:pPr>
            <w:r>
              <w:t xml:space="preserve">17.45%</w:t>
            </w:r>
          </w:p>
        </w:tc>
      </w:tr>
      <w:tr>
        <w:tc>
          <w:tcPr/>
          <w:p>
            <w:pPr>
              <w:pStyle w:val="Compact"/>
              <w:jc w:val="left"/>
            </w:pPr>
            <w:r>
              <w:t xml:space="preserve">    Category 4 (Upstream Transportation)</w:t>
            </w:r>
          </w:p>
        </w:tc>
        <w:tc>
          <w:tcPr/>
          <w:p>
            <w:pPr>
              <w:pStyle w:val="Compact"/>
              <w:jc w:val="left"/>
            </w:pPr>
            <w:r>
              <w:t xml:space="preserve">0.08</w:t>
            </w:r>
          </w:p>
        </w:tc>
        <w:tc>
          <w:tcPr/>
          <w:p>
            <w:pPr>
              <w:pStyle w:val="Compact"/>
              <w:jc w:val="left"/>
            </w:pPr>
            <w:r>
              <w:t xml:space="preserve">0.33%</w:t>
            </w:r>
          </w:p>
        </w:tc>
      </w:tr>
      <w:tr>
        <w:tc>
          <w:tcPr/>
          <w:p>
            <w:pPr>
              <w:pStyle w:val="Compact"/>
              <w:jc w:val="left"/>
            </w:pPr>
            <w:r>
              <w:t xml:space="preserve">    Category 9 (Downstream Transportation)</w:t>
            </w:r>
          </w:p>
        </w:tc>
        <w:tc>
          <w:tcPr/>
          <w:p>
            <w:pPr>
              <w:pStyle w:val="Compact"/>
              <w:jc w:val="left"/>
            </w:pPr>
            <w:r>
              <w:t xml:space="preserve">0.11</w:t>
            </w:r>
          </w:p>
        </w:tc>
        <w:tc>
          <w:tcPr/>
          <w:p>
            <w:pPr>
              <w:pStyle w:val="Compact"/>
              <w:jc w:val="left"/>
            </w:pPr>
            <w:r>
              <w:t xml:space="preserve">0.46%</w:t>
            </w:r>
          </w:p>
        </w:tc>
      </w:tr>
      <w:tr>
        <w:tc>
          <w:tcPr/>
          <w:p>
            <w:pPr>
              <w:pStyle w:val="Compact"/>
              <w:jc w:val="left"/>
            </w:pPr>
            <w:r>
              <w:t xml:space="preserve">    Category 11 (Use of Sold Products)</w:t>
            </w:r>
          </w:p>
        </w:tc>
        <w:tc>
          <w:tcPr/>
          <w:p>
            <w:pPr>
              <w:pStyle w:val="Compact"/>
              <w:jc w:val="left"/>
            </w:pPr>
            <w:r>
              <w:t xml:space="preserve">18.10</w:t>
            </w:r>
          </w:p>
        </w:tc>
        <w:tc>
          <w:tcPr/>
          <w:p>
            <w:pPr>
              <w:pStyle w:val="Compact"/>
              <w:jc w:val="left"/>
            </w:pPr>
            <w:r>
              <w:t xml:space="preserve">75.20%</w:t>
            </w:r>
          </w:p>
        </w:tc>
      </w:tr>
      <w:tr>
        <w:tc>
          <w:tcPr/>
          <w:p>
            <w:pPr>
              <w:pStyle w:val="Compact"/>
              <w:jc w:val="left"/>
            </w:pPr>
            <w:r>
              <w:t xml:space="preserve">    Category 12 (End-of-Life Treatment)</w:t>
            </w:r>
          </w:p>
        </w:tc>
        <w:tc>
          <w:tcPr/>
          <w:p>
            <w:pPr>
              <w:pStyle w:val="Compact"/>
              <w:jc w:val="left"/>
            </w:pPr>
            <w:r>
              <w:t xml:space="preserve">0.02</w:t>
            </w:r>
          </w:p>
        </w:tc>
        <w:tc>
          <w:tcPr/>
          <w:p>
            <w:pPr>
              <w:pStyle w:val="Compact"/>
              <w:jc w:val="left"/>
            </w:pPr>
            <w:r>
              <w:t xml:space="preserve">0.08%</w:t>
            </w:r>
          </w:p>
        </w:tc>
      </w:tr>
      <w:tr>
        <w:tc>
          <w:tcPr/>
          <w:p>
            <w:pPr>
              <w:pStyle w:val="Compact"/>
              <w:jc w:val="left"/>
            </w:pPr>
            <w:r>
              <w:rPr>
                <w:bCs/>
                <w:b/>
              </w:rPr>
              <w:t xml:space="preserve">Total PCF</w:t>
            </w:r>
          </w:p>
        </w:tc>
        <w:tc>
          <w:tcPr/>
          <w:p>
            <w:pPr>
              <w:pStyle w:val="Compact"/>
              <w:jc w:val="left"/>
            </w:pPr>
            <w:r>
              <w:rPr>
                <w:bCs/>
                <w:b/>
              </w:rPr>
              <w:t xml:space="preserve">24.07</w:t>
            </w:r>
          </w:p>
        </w:tc>
        <w:tc>
          <w:tcPr/>
          <w:p>
            <w:pPr>
              <w:pStyle w:val="Compact"/>
              <w:jc w:val="left"/>
            </w:pPr>
            <w:r>
              <w:rPr>
                <w:bCs/>
                <w:b/>
              </w:rPr>
              <w:t xml:space="preserve">100.00%</w:t>
            </w:r>
          </w:p>
        </w:tc>
      </w:tr>
    </w:tbl>
    <w:p>
      <w:pPr>
        <w:pStyle w:val="BodyText"/>
      </w:pPr>
      <w:r>
        <w:t xml:space="preserve">The analysis shows that Scope 3 emissions constitute the vast majority of the product\'s carbon footprint, with the \'Use of Sold Products\' category being the dominant hotspot.</w:t>
      </w:r>
    </w:p>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5.1. Hotspots Identification</w:t>
      </w:r>
    </w:p>
    <w:p>
      <w:pPr>
        <w:pStyle w:val="FirstParagraph"/>
      </w:pPr>
      <w:r>
        <w:t xml:space="preserve">The primary emission hotspots for ffkexjdqrt are:</w:t>
      </w:r>
    </w:p>
    <w:p>
      <w:pPr>
        <w:numPr>
          <w:ilvl w:val="0"/>
          <w:numId w:val="1016"/>
        </w:numPr>
        <w:pStyle w:val="Compact"/>
      </w:pPr>
      <w:r>
        <w:rPr>
          <w:bCs/>
          <w:b/>
        </w:rPr>
        <w:t xml:space="preserve">Use Phase (Scope 3, Category 11):</w:t>
      </w:r>
      <w:r>
        <w:t xml:space="preserve"> </w:t>
      </w:r>
      <w:r>
        <w:t xml:space="preserve">This stage accounts for approximately 75% of the total PCF, largely due to the product\'s energy consumption over its 5-year lifespan.</w:t>
      </w:r>
    </w:p>
    <w:p>
      <w:pPr>
        <w:numPr>
          <w:ilvl w:val="0"/>
          <w:numId w:val="1016"/>
        </w:numPr>
        <w:pStyle w:val="Compact"/>
      </w:pPr>
      <w:r>
        <w:rPr>
          <w:bCs/>
          <w:b/>
        </w:rPr>
        <w:t xml:space="preserve">Material Acquisition &amp; Pre-processing (Scope 3, Category 1):</w:t>
      </w:r>
      <w:r>
        <w:t xml:space="preserve"> </w:t>
      </w:r>
      <w:r>
        <w:t xml:space="preserve">The production of the main casing (plastic) contributes significantly, representing about 17.5% of the total PCF.</w:t>
      </w:r>
    </w:p>
    <w:p>
      <w:pPr>
        <w:numPr>
          <w:ilvl w:val="0"/>
          <w:numId w:val="1016"/>
        </w:numPr>
        <w:pStyle w:val="Compact"/>
      </w:pPr>
      <w:r>
        <w:rPr>
          <w:bCs/>
          <w:b/>
        </w:rPr>
        <w:t xml:space="preserve">Manufacturing (Scope 2):</w:t>
      </w:r>
      <w:r>
        <w:t xml:space="preserve"> </w:t>
      </w:r>
      <w:r>
        <w:t xml:space="preserve">While lower than Scope 3, purchased electricity for manufacturing in China contributes noticeably (around 6.4%).</w:t>
      </w:r>
    </w:p>
    <w:bookmarkEnd w:id="37"/>
    <w:bookmarkStart w:id="38" w:name="reliability-statement"/>
    <w:p>
      <w:pPr>
        <w:pStyle w:val="Heading3"/>
      </w:pPr>
      <w:r>
        <w:t xml:space="preserve">5.2. Reliability Statement</w:t>
      </w:r>
    </w:p>
    <w:p>
      <w:pPr>
        <w:pStyle w:val="FirstParagraph"/>
      </w:pPr>
      <w:r>
        <w:t xml:space="preserve">This report is generated based on the specific parameters provided by the client,</w:t>
      </w:r>
      <w:r>
        <w:t xml:space="preserve"> </w:t>
      </w:r>
      <w:r>
        <w:rPr>
          <w:bCs/>
          <w:b/>
        </w:rPr>
        <w:t xml:space="preserve">udwqtrdykp</w:t>
      </w:r>
      <w:r>
        <w:t xml:space="preserve">, and uses a combination of primary (where specified) and secondary industry-standard emission factors. The accuracy of this PCF analysis relies heavily on the quality and representativeness of the input data, particularly for the hypothetical BOM entry and the assumed numerical values for generic parameters. While robust methodologies from the GHG Protocol have been applied, more granular, product-specific, and supplier-specific primary data would enhance the accuracy and reduce uncertainties, especially for Scope 3 categories.</w:t>
      </w:r>
    </w:p>
    <w:bookmarkEnd w:id="38"/>
    <w:bookmarkStart w:id="39"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rPr>
          <w:bCs/>
          <w:b/>
        </w:rPr>
        <w:t xml:space="preserve">udwqtrdykp</w:t>
      </w:r>
      <w:r>
        <w:t xml:space="preserve"> </w:t>
      </w:r>
      <w:r>
        <w:t xml:space="preserve">should consider the following strategies to reduce the carbon footprint of ffkexjdqrt:</w:t>
      </w:r>
    </w:p>
    <w:p>
      <w:pPr>
        <w:numPr>
          <w:ilvl w:val="0"/>
          <w:numId w:val="1017"/>
        </w:numPr>
        <w:pStyle w:val="Compact"/>
      </w:pPr>
      <w:r>
        <w:rPr>
          <w:bCs/>
          <w:b/>
        </w:rPr>
        <w:t xml:space="preserve">Optimize Use Phase:</w:t>
      </w:r>
    </w:p>
    <w:p>
      <w:pPr>
        <w:numPr>
          <w:ilvl w:val="1"/>
          <w:numId w:val="1018"/>
        </w:numPr>
        <w:pStyle w:val="Compact"/>
      </w:pPr>
      <w:r>
        <w:t xml:space="preserve">Invest in energy-efficient design to reduce energy consumption during the product\'s lifespan.</w:t>
      </w:r>
    </w:p>
    <w:p>
      <w:pPr>
        <w:numPr>
          <w:ilvl w:val="1"/>
          <w:numId w:val="1018"/>
        </w:numPr>
        <w:pStyle w:val="Compact"/>
      </w:pPr>
      <w:r>
        <w:t xml:space="preserve">Explore options for providing renewable energy solutions or offsets for customers to mitigate use-phase emissions.</w:t>
      </w:r>
    </w:p>
    <w:p>
      <w:pPr>
        <w:numPr>
          <w:ilvl w:val="1"/>
          <w:numId w:val="1018"/>
        </w:numPr>
        <w:pStyle w:val="Compact"/>
      </w:pPr>
      <w:r>
        <w:t xml:space="preserve">Educate users on energy-saving practices.</w:t>
      </w:r>
    </w:p>
    <w:p>
      <w:pPr>
        <w:numPr>
          <w:ilvl w:val="0"/>
          <w:numId w:val="1017"/>
        </w:numPr>
        <w:pStyle w:val="Compact"/>
      </w:pPr>
      <w:r>
        <w:rPr>
          <w:bCs/>
          <w:b/>
        </w:rPr>
        <w:t xml:space="preserve">Material Optimization:</w:t>
      </w:r>
    </w:p>
    <w:p>
      <w:pPr>
        <w:numPr>
          <w:ilvl w:val="1"/>
          <w:numId w:val="1019"/>
        </w:numPr>
        <w:pStyle w:val="Compact"/>
      </w:pPr>
      <w:r>
        <w:t xml:space="preserve">Explore alternative materials with lower embodied carbon footprints.</w:t>
      </w:r>
    </w:p>
    <w:p>
      <w:pPr>
        <w:numPr>
          <w:ilvl w:val="1"/>
          <w:numId w:val="1019"/>
        </w:numPr>
        <w:pStyle w:val="Compact"/>
      </w:pPr>
      <w:r>
        <w:t xml:space="preserve">Increase the use of recycled content in components, such as the main casing.</w:t>
      </w:r>
    </w:p>
    <w:p>
      <w:pPr>
        <w:numPr>
          <w:ilvl w:val="1"/>
          <w:numId w:val="1019"/>
        </w:numPr>
        <w:pStyle w:val="Compact"/>
      </w:pPr>
      <w:r>
        <w:t xml:space="preserve">Engage with suppliers to understand and improve their production processes\' environmental performance.</w:t>
      </w:r>
    </w:p>
    <w:p>
      <w:pPr>
        <w:numPr>
          <w:ilvl w:val="0"/>
          <w:numId w:val="1017"/>
        </w:numPr>
        <w:pStyle w:val="Compact"/>
      </w:pPr>
      <w:r>
        <w:rPr>
          <w:bCs/>
          <w:b/>
        </w:rPr>
        <w:t xml:space="preserve">Manufacturing Efficiency:</w:t>
      </w:r>
    </w:p>
    <w:p>
      <w:pPr>
        <w:numPr>
          <w:ilvl w:val="1"/>
          <w:numId w:val="1020"/>
        </w:numPr>
        <w:pStyle w:val="Compact"/>
      </w:pPr>
      <w:r>
        <w:t xml:space="preserve">Increase renewable energy procurement for manufacturing operations in China, exceeding the current 75% usage.</w:t>
      </w:r>
    </w:p>
    <w:p>
      <w:pPr>
        <w:numPr>
          <w:ilvl w:val="1"/>
          <w:numId w:val="1020"/>
        </w:numPr>
        <w:pStyle w:val="Compact"/>
      </w:pPr>
      <w:r>
        <w:t xml:space="preserve">Implement energy efficiency measures within the production facilities.</w:t>
      </w:r>
    </w:p>
    <w:p>
      <w:pPr>
        <w:numPr>
          <w:ilvl w:val="0"/>
          <w:numId w:val="1017"/>
        </w:numPr>
        <w:pStyle w:val="Compact"/>
      </w:pPr>
      <w:r>
        <w:rPr>
          <w:bCs/>
          <w:b/>
        </w:rPr>
        <w:t xml:space="preserve">Enhance Circularity:</w:t>
      </w:r>
    </w:p>
    <w:p>
      <w:pPr>
        <w:numPr>
          <w:ilvl w:val="1"/>
          <w:numId w:val="1021"/>
        </w:numPr>
        <w:pStyle w:val="Compact"/>
      </w:pPr>
      <w:r>
        <w:t xml:space="preserve">Further develop and promote the "Robust take-back and refurbishment program" (`xmhkzfinxz`) to extend product lifespans and ensure high-value material recovery.</w:t>
      </w:r>
    </w:p>
    <w:p>
      <w:pPr>
        <w:numPr>
          <w:ilvl w:val="1"/>
          <w:numId w:val="1021"/>
        </w:numPr>
        <w:pStyle w:val="Compact"/>
      </w:pPr>
      <w:r>
        <w:t xml:space="preserve">Explore design for disassembly and repair to facilitate recycling and refurbishment.</w:t>
      </w:r>
    </w:p>
    <w:p>
      <w:pPr>
        <w:numPr>
          <w:ilvl w:val="0"/>
          <w:numId w:val="1017"/>
        </w:numPr>
        <w:pStyle w:val="Compact"/>
      </w:pPr>
      <w:r>
        <w:rPr>
          <w:bCs/>
          <w:b/>
        </w:rPr>
        <w:t xml:space="preserve">Supply Chain Engagement:</w:t>
      </w:r>
    </w:p>
    <w:p>
      <w:pPr>
        <w:numPr>
          <w:ilvl w:val="1"/>
          <w:numId w:val="1022"/>
        </w:numPr>
        <w:pStyle w:val="Compact"/>
      </w:pPr>
      <w:r>
        <w:t xml:space="preserve">Collaborate with logistics providers to optimize transport routes, utilize more efficient modes (e.g., rail, sea where feasible), and ensure high load factors to reduce transport emissions.</w:t>
      </w:r>
    </w:p>
    <w:p>
      <w:pPr>
        <w:numPr>
          <w:ilvl w:val="1"/>
          <w:numId w:val="1022"/>
        </w:numPr>
        <w:pStyle w:val="Compact"/>
      </w:pPr>
      <w:r>
        <w:t xml:space="preserve">Collect more specific data from upstream and downstream partners to refine Scope 3 calculations.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ffkexjdqrt</dc:title>
  <dc:creator/>
  <dc:description>Detailed Product Carbon Footprint (PCF) analysis report for ffkexjdqrt, performed by Senior Sustainability Consultant hgvhsuvfvo for udwqtrdykp, adhering to GHG Protocol standards and 2026 LSR updates.</dc:description>
  <dc:language>en</dc:language>
  <cp:keywords/>
  <dcterms:created xsi:type="dcterms:W3CDTF">2026-07-15T13:39:19Z</dcterms:created>
  <dcterms:modified xsi:type="dcterms:W3CDTF">2026-07-15T13:39:19Z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