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eynhmujtro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eynhmujtro</w:t>
      </w:r>
    </w:p>
    <w:p>
      <w:pPr>
        <w:pStyle w:val="BodyText"/>
      </w:pPr>
      <w:r>
        <w:t xml:space="preserve">Company:</w:t>
      </w:r>
      <w:r>
        <w:t xml:space="preserve"> </w:t>
      </w:r>
      <w:r>
        <w:t xml:space="preserve">vmzkoqjqll</w:t>
      </w:r>
    </w:p>
    <w:p>
      <w:pPr>
        <w:pStyle w:val="BodyText"/>
      </w:pPr>
      <w:r>
        <w:t xml:space="preserve">Senior Sustainability Consultant:</w:t>
      </w:r>
      <w:r>
        <w:t xml:space="preserve"> </w:t>
      </w:r>
      <w:r>
        <w:t xml:space="preserve">itzfmsrmip</w:t>
      </w:r>
    </w:p>
    <w:p>
      <w:pPr>
        <w:pStyle w:val="BodyText"/>
      </w:pPr>
      <w:r>
        <w:t xml:space="preserve">Accounting Standard:</w:t>
      </w:r>
      <w:r>
        <w:t xml:space="preserve"> </w:t>
      </w:r>
      <w:r>
        <w:t xml:space="preserve">GHG Protocol</w:t>
      </w:r>
    </w:p>
    <w:p>
      <w:pPr>
        <w:pStyle w:val="BodyText"/>
      </w:pPr>
      <w:r>
        <w:t xml:space="preserve">This report is generated based on available data, industry standards, and specified parameters. While every effort has been made to ensure accuracy, estimates and assumptions have been applied where primary data was unavailable or placeholder values were provided.</w:t>
      </w:r>
    </w:p>
    <w:bookmarkEnd w:id="20"/>
    <w:bookmarkStart w:id="46" w:name="Xb208d4c0602b055609363a979edcce60e2bd48a"/>
    <w:p>
      <w:pPr>
        <w:pStyle w:val="Heading1"/>
      </w:pPr>
      <w:r>
        <w:t xml:space="preserve">Product Carbon Footprint Analysis Report for eynhmujtro</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eynhmujtro, manufactured by vmzkoqjqll. The analysis was conducted by itzfmsrmip, Senior Sustainability Consultant, adhering strictly to the Greenhouse Gas (GHG) Protocol Corporate Value Chain (Scope 3) Accounting and Reporting Standard. Special attention has been given to incorporating the 2026 Land Sector and Removals (LSR) Standard updates and ensuring comprehensive Scope 3 compliance, aiming for at least 95% coverage as per upcoming requirements. The study covers the entire lifecycle, from raw material acquisition to end-of-life treatment, providing a cradle-to-grave assessment with a focus on identifying key emission hotspots.</w:t>
      </w:r>
    </w:p>
    <w:p>
      <w:pPr>
        <w:pStyle w:val="BodyText"/>
      </w:pPr>
      <w:r>
        <w:t xml:space="preserve">The total carbon footprint of one functional unit of eynhmujtro is calculated to be approximately</w:t>
      </w:r>
      <w:r>
        <w:t xml:space="preserve"> </w:t>
      </w:r>
      <w:r>
        <w:rPr>
          <w:bCs/>
          <w:b/>
        </w:rPr>
        <w:t xml:space="preserve">16.63 kg CO2e</w:t>
      </w:r>
      <w:r>
        <w:t xml:space="preserve">. The primary contributors to this footprint are the Use Phase, followed by Materials Acquisition and Outbound Transportation. Recommendations for reducing the environmental impact are provided, focusing on optimizing energy consumption, sourcing sustainable materials, and enhancing circularity.</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eynhmujtro follows the five-step methodology prescribed by the GHG Protocol:</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eynhmujtro.</w:t>
      </w:r>
    </w:p>
    <w:p>
      <w:pPr>
        <w:numPr>
          <w:ilvl w:val="0"/>
          <w:numId w:val="1001"/>
        </w:numPr>
        <w:pStyle w:val="Compact"/>
      </w:pPr>
      <w:r>
        <w:rPr>
          <w:bCs/>
          <w:b/>
        </w:rPr>
        <w:t xml:space="preserve">System Boundary:</w:t>
      </w:r>
      <w:r>
        <w:t xml:space="preserve"> </w:t>
      </w:r>
      <w:r>
        <w:t xml:space="preserve">This analysis adopts a cradle-to-grave approach. While the prompt specified a primary "factory_gate" system boundary, the detailed requirements for the Use Phase and End-of-Life (EoL) scenarios necessitate an expansion to cover the full lifecycle of the product. Thus, the system boundary includes raw material extraction, pre-processing, manufacturing, transportation (inbound, outbound, last-mile), product use, and end-of-life treatment.</w:t>
      </w:r>
    </w:p>
    <w:p>
      <w:pPr>
        <w:numPr>
          <w:ilvl w:val="0"/>
          <w:numId w:val="1001"/>
        </w:numPr>
        <w:pStyle w:val="Compact"/>
      </w:pPr>
      <w:r>
        <w:rPr>
          <w:bCs/>
          <w:b/>
        </w:rPr>
        <w:t xml:space="preserve">Geographic Scope:</w:t>
      </w:r>
      <w:r>
        <w:t xml:space="preserve"> </w:t>
      </w:r>
      <w:r>
        <w:t xml:space="preserve">Final production occurs in China, with a supply chain focus primarily rooted in Europe for raw materials. The product is assumed to be distributed and used predominantly in Europe.</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 For shared processes, a representative allocation method (e.g., economic or physical) would typically be applied, but for this simplified model, direct attribution is assumed for all inputs to the functional unit.</w:t>
      </w:r>
    </w:p>
    <w:p>
      <w:pPr>
        <w:numPr>
          <w:ilvl w:val="0"/>
          <w:numId w:val="1001"/>
        </w:numPr>
        <w:pStyle w:val="Compact"/>
      </w:pPr>
      <w:r>
        <w:rPr>
          <w:bCs/>
          <w:b/>
        </w:rPr>
        <w:t xml:space="preserve">Accounting Standard:</w:t>
      </w:r>
      <w:r>
        <w:t xml:space="preserve"> </w:t>
      </w:r>
      <w:r>
        <w:t xml:space="preserve">The analysis strictly adheres to the GHG Protocol Corporate Accounting and Reporting Standard and the Corporate Value Chain (Scope 3) Accounting and Reporting Standard.</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eynhmujtro has been mapped into the following stages, categorizing emissions according to the GHG Protocol:</w:t>
      </w:r>
    </w:p>
    <w:p>
      <w:pPr>
        <w:numPr>
          <w:ilvl w:val="0"/>
          <w:numId w:val="1002"/>
        </w:numPr>
        <w:pStyle w:val="Compact"/>
      </w:pPr>
      <w:r>
        <w:rPr>
          <w:bCs/>
          <w:b/>
        </w:rPr>
        <w:t xml:space="preserve">Materials Acquisition &amp; Pre-processing (Scope 3, Category 1 - Purchased Goods and Services):</w:t>
      </w:r>
      <w:r>
        <w:t xml:space="preserve"> </w:t>
      </w:r>
      <w:r>
        <w:t xml:space="preserve">This stage includes all emissions associated with the extraction, processing, and manufacturing of raw materials and components (e.g., steel, plastic, copper, circuit board, packaging) before they arrive at the vmzkoqjqll factory in China.</w:t>
      </w:r>
    </w:p>
    <w:p>
      <w:pPr>
        <w:numPr>
          <w:ilvl w:val="0"/>
          <w:numId w:val="1002"/>
        </w:numPr>
        <w:pStyle w:val="Compact"/>
      </w:pPr>
      <w:r>
        <w:rPr>
          <w:bCs/>
          <w:b/>
        </w:rPr>
        <w:t xml:space="preserve">Manufacturing (Scope 1 - Direct Emissions &amp; Scope 2 - Energy Indirect Emissions):</w:t>
      </w:r>
    </w:p>
    <w:p>
      <w:pPr>
        <w:numPr>
          <w:ilvl w:val="1"/>
          <w:numId w:val="1003"/>
        </w:numPr>
        <w:pStyle w:val="Compact"/>
      </w:pPr>
      <w:r>
        <w:rPr>
          <w:bCs/>
          <w:b/>
        </w:rPr>
        <w:t xml:space="preserve">Scope 1:</w:t>
      </w:r>
      <w:r>
        <w:t xml:space="preserve"> </w:t>
      </w:r>
      <w:r>
        <w:t xml:space="preserve">Direct emissions from owned or controlled sources (e.g., on-site fuel combustion). For this analysis, direct process emissions from manufacturing are considered negligible or embedded in electricity consumption.</w:t>
      </w:r>
    </w:p>
    <w:p>
      <w:pPr>
        <w:numPr>
          <w:ilvl w:val="1"/>
          <w:numId w:val="1003"/>
        </w:numPr>
        <w:pStyle w:val="Compact"/>
      </w:pPr>
      <w:r>
        <w:rPr>
          <w:bCs/>
          <w:b/>
        </w:rPr>
        <w:t xml:space="preserve">Scope 2:</w:t>
      </w:r>
      <w:r>
        <w:t xml:space="preserve"> </w:t>
      </w:r>
      <w:r>
        <w:t xml:space="preserve">Indirect emissions from the generation of purchased electricity consumed by the vmzkoqjqll factory in China for manufacturing eynhmujtro.</w:t>
      </w:r>
    </w:p>
    <w:p>
      <w:pPr>
        <w:numPr>
          <w:ilvl w:val="0"/>
          <w:numId w:val="1002"/>
        </w:numPr>
        <w:pStyle w:val="Compact"/>
      </w:pPr>
      <w:r>
        <w:rPr>
          <w:bCs/>
          <w:b/>
        </w:rPr>
        <w:t xml:space="preserve">Transportation (Scope 3, Category 4 - Upstream Transportation and Distribution):</w:t>
      </w:r>
    </w:p>
    <w:p>
      <w:pPr>
        <w:numPr>
          <w:ilvl w:val="1"/>
          <w:numId w:val="1004"/>
        </w:numPr>
        <w:pStyle w:val="Compact"/>
      </w:pPr>
      <w:r>
        <w:rPr>
          <w:bCs/>
          <w:b/>
        </w:rPr>
        <w:t xml:space="preserve">Inbound Logistics:</w:t>
      </w:r>
      <w:r>
        <w:t xml:space="preserve"> </w:t>
      </w:r>
      <w:r>
        <w:t xml:space="preserve">Transport of raw materials and components from European suppliers to the manufacturing facility in China.</w:t>
      </w:r>
    </w:p>
    <w:p>
      <w:pPr>
        <w:numPr>
          <w:ilvl w:val="1"/>
          <w:numId w:val="1004"/>
        </w:numPr>
        <w:pStyle w:val="Compact"/>
      </w:pPr>
      <w:r>
        <w:rPr>
          <w:bCs/>
          <w:b/>
        </w:rPr>
        <w:t xml:space="preserve">Outbound Logistics (Main Freight):</w:t>
      </w:r>
      <w:r>
        <w:t xml:space="preserve"> </w:t>
      </w:r>
      <w:r>
        <w:t xml:space="preserve">Transport of the finished product from the factory in China to major distribution hubs in Europe.</w:t>
      </w:r>
    </w:p>
    <w:p>
      <w:pPr>
        <w:numPr>
          <w:ilvl w:val="1"/>
          <w:numId w:val="1004"/>
        </w:numPr>
        <w:pStyle w:val="Compact"/>
      </w:pPr>
      <w:r>
        <w:rPr>
          <w:bCs/>
          <w:b/>
        </w:rPr>
        <w:t xml:space="preserve">Last-Mile Delivery:</w:t>
      </w:r>
      <w:r>
        <w:t xml:space="preserve"> </w:t>
      </w:r>
      <w:r>
        <w:t xml:space="preserve">Final delivery of the product from European distribution hubs to end-consumers.</w:t>
      </w:r>
    </w:p>
    <w:p>
      <w:pPr>
        <w:numPr>
          <w:ilvl w:val="0"/>
          <w:numId w:val="1002"/>
        </w:numPr>
        <w:pStyle w:val="Compact"/>
      </w:pPr>
      <w:r>
        <w:rPr>
          <w:bCs/>
          <w:b/>
        </w:rPr>
        <w:t xml:space="preserve">Use Phase (Scope 3, Category 11 - Use of Sold Products):</w:t>
      </w:r>
      <w:r>
        <w:t xml:space="preserve"> </w:t>
      </w:r>
      <w:r>
        <w:t xml:space="preserve">Emissions resulting from the energy consumed by the product during its operational lifespan, assuming usage in Europe.</w:t>
      </w:r>
    </w:p>
    <w:p>
      <w:pPr>
        <w:numPr>
          <w:ilvl w:val="0"/>
          <w:numId w:val="1002"/>
        </w:numPr>
        <w:pStyle w:val="Compact"/>
      </w:pPr>
      <w:r>
        <w:rPr>
          <w:bCs/>
          <w:b/>
        </w:rPr>
        <w:t xml:space="preserve">End-of-Life Treatment (Scope 3, Category 12 - End-of-Life Treatment of Sold Products):</w:t>
      </w:r>
      <w:r>
        <w:t xml:space="preserve"> </w:t>
      </w:r>
      <w:r>
        <w:t xml:space="preserve">Emissions or credits associated with the disposal or recycling of the product and its packaging after its useful life.</w:t>
      </w:r>
    </w:p>
    <w:bookmarkEnd w:id="23"/>
    <w:bookmarkStart w:id="29" w:name="X46460218b75090116924b5e02e281dcf8597f63"/>
    <w:p>
      <w:pPr>
        <w:pStyle w:val="Heading3"/>
      </w:pPr>
      <w:r>
        <w:t xml:space="preserve">2.3. Step 3: Collect Data (Primary/Secondary Data Points)</w:t>
      </w:r>
    </w:p>
    <w:p>
      <w:pPr>
        <w:pStyle w:val="FirstParagraph"/>
      </w:pPr>
      <w:r>
        <w:t xml:space="preserve">Data collection involved utilizing the specific parameters provided and supplementing them with industry-standard emission factors where necessary.</w:t>
      </w:r>
    </w:p>
    <w:bookmarkStart w:id="24" w:name="X1b85042090b85ce188357dd5212ac2f03b97a1e"/>
    <w:p>
      <w:pPr>
        <w:pStyle w:val="Heading4"/>
      </w:pPr>
      <w:r>
        <w:t xml:space="preserve">3.3.1. Detailed Bill of Materials (BOM) - hwkxgsdj</w:t>
      </w:r>
    </w:p>
    <w:p>
      <w:pPr>
        <w:pStyle w:val="FirstParagraph"/>
      </w:pPr>
      <w:r>
        <w:t xml:space="preserve">The following Bill of Materials (BOM) data, provided as \'hwkxgsdj\', was used for high-accuracy material impact calculation. These specific values, including the \'Total Carbon\' (kgCO2e) for each item, were directly incorporated into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Welding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bl>
    <w:p>
      <w:pPr>
        <w:pStyle w:val="BodyText"/>
      </w:pPr>
      <w:r>
        <w:rPr>
          <w:iCs/>
          <w:i/>
        </w:rPr>
        <w:t xml:space="preserve">Total product weight (excluding packaging, for EoL calculations): 1.0 kg. Total product weight (including packaging, for transport): 1.15 kg. An additional 0.05 kg for minor accessories/labels is assumed for total transport weight, bringing it to 1.2 kg.</w:t>
      </w:r>
    </w:p>
    <w:bookmarkEnd w:id="24"/>
    <w:bookmarkStart w:id="25" w:name="transport-logistics-data"/>
    <w:p>
      <w:pPr>
        <w:pStyle w:val="Heading4"/>
      </w:pPr>
      <w:r>
        <w:t xml:space="preserve">3.3.2. Transport Logistics Data</w:t>
      </w:r>
    </w:p>
    <w:p>
      <w:pPr>
        <w:numPr>
          <w:ilvl w:val="0"/>
          <w:numId w:val="1005"/>
        </w:numPr>
        <w:pStyle w:val="Compact"/>
      </w:pPr>
      <w:r>
        <w:rPr>
          <w:bCs/>
          <w:b/>
        </w:rPr>
        <w:t xml:space="preserve">Transport Mode:</w:t>
      </w:r>
      <w:r>
        <w:t xml:space="preserve"> </w:t>
      </w:r>
      <w:r>
        <w:t xml:space="preserve">Road Freight (Heavy Truck) for main transportation routes.</w:t>
      </w:r>
    </w:p>
    <w:p>
      <w:pPr>
        <w:numPr>
          <w:ilvl w:val="0"/>
          <w:numId w:val="1005"/>
        </w:numPr>
        <w:pStyle w:val="Compact"/>
      </w:pPr>
      <w:r>
        <w:rPr>
          <w:bCs/>
          <w:b/>
        </w:rPr>
        <w:t xml:space="preserve">Transport Distance:</w:t>
      </w:r>
    </w:p>
    <w:p>
      <w:pPr>
        <w:numPr>
          <w:ilvl w:val="1"/>
          <w:numId w:val="1006"/>
        </w:numPr>
        <w:pStyle w:val="Compact"/>
      </w:pPr>
      <w:r>
        <w:t xml:space="preserve">Inbound Materials (Europe to China): Assumed 5,000 km.</w:t>
      </w:r>
    </w:p>
    <w:p>
      <w:pPr>
        <w:numPr>
          <w:ilvl w:val="1"/>
          <w:numId w:val="1006"/>
        </w:numPr>
        <w:pStyle w:val="Compact"/>
      </w:pPr>
      <w:r>
        <w:t xml:space="preserve">Outbound Finished Product (China to Europe): Assumed 10,000 km.</w:t>
      </w:r>
    </w:p>
    <w:p>
      <w:pPr>
        <w:numPr>
          <w:ilvl w:val="1"/>
          <w:numId w:val="1006"/>
        </w:numPr>
        <w:pStyle w:val="Compact"/>
      </w:pPr>
      <w:r>
        <w:t xml:space="preserve">Last-Mile Delivery (Europe): Assumed 500 km.</w:t>
      </w:r>
    </w:p>
    <w:p>
      <w:pPr>
        <w:numPr>
          <w:ilvl w:val="0"/>
          <w:numId w:val="1005"/>
        </w:numPr>
        <w:pStyle w:val="Compact"/>
      </w:pPr>
      <w:r>
        <w:rPr>
          <w:bCs/>
          <w:b/>
        </w:rPr>
        <w:t xml:space="preserve">Last-Mile Delivery Channel:</w:t>
      </w:r>
      <w:r>
        <w:t xml:space="preserve"> </w:t>
      </w:r>
      <w:r>
        <w:t xml:space="preserve">Last-Mile Van Delivery.</w:t>
      </w:r>
    </w:p>
    <w:bookmarkEnd w:id="25"/>
    <w:bookmarkStart w:id="26" w:name="production-energy-data-china"/>
    <w:p>
      <w:pPr>
        <w:pStyle w:val="Heading4"/>
      </w:pPr>
      <w:r>
        <w:t xml:space="preserve">3.3.3. Production Energy Data (China)</w:t>
      </w:r>
    </w:p>
    <w:p>
      <w:pPr>
        <w:numPr>
          <w:ilvl w:val="0"/>
          <w:numId w:val="1007"/>
        </w:numPr>
        <w:pStyle w:val="Compact"/>
      </w:pPr>
      <w:r>
        <w:rPr>
          <w:bCs/>
          <w:b/>
        </w:rPr>
        <w:t xml:space="preserve">Renewable Energy Usage:</w:t>
      </w:r>
      <w:r>
        <w:t xml:space="preserve"> </w:t>
      </w:r>
      <w:r>
        <w:t xml:space="preserve">70% (nlluxdjguu).</w:t>
      </w:r>
    </w:p>
    <w:p>
      <w:pPr>
        <w:numPr>
          <w:ilvl w:val="0"/>
          <w:numId w:val="1007"/>
        </w:numPr>
        <w:pStyle w:val="Compact"/>
      </w:pPr>
      <w:r>
        <w:rPr>
          <w:bCs/>
          <w:b/>
        </w:rPr>
        <w:t xml:space="preserve">Energy Intensity (kWh/unit):</w:t>
      </w:r>
      <w:r>
        <w:t xml:space="preserve"> </w:t>
      </w:r>
      <w:r>
        <w:t xml:space="preserve">45 kWh/unit (xuspiwvhkw).</w:t>
      </w:r>
    </w:p>
    <w:p>
      <w:pPr>
        <w:numPr>
          <w:ilvl w:val="0"/>
          <w:numId w:val="1007"/>
        </w:numPr>
        <w:pStyle w:val="Compact"/>
      </w:pPr>
      <w:r>
        <w:rPr>
          <w:bCs/>
          <w:b/>
        </w:rPr>
        <w:t xml:space="preserve">Chinese Grid Emission Factor:</w:t>
      </w:r>
      <w:r>
        <w:t xml:space="preserve"> </w:t>
      </w:r>
      <w:r>
        <w:t xml:space="preserve">0.6835 kgCO2e/kWh.</w:t>
      </w:r>
    </w:p>
    <w:p>
      <w:pPr>
        <w:numPr>
          <w:ilvl w:val="0"/>
          <w:numId w:val="1007"/>
        </w:numPr>
        <w:pStyle w:val="Compact"/>
      </w:pPr>
      <w:r>
        <w:rPr>
          <w:bCs/>
          <w:b/>
        </w:rPr>
        <w:t xml:space="preserve">Renewable Energy Emission Factor:</w:t>
      </w:r>
      <w:r>
        <w:t xml:space="preserve"> </w:t>
      </w:r>
      <w:r>
        <w:t xml:space="preserve">0 kgCO2e/kWh (assuming zero emissions at point of generation for purchased renewable energy).</w:t>
      </w:r>
    </w:p>
    <w:bookmarkEnd w:id="26"/>
    <w:bookmarkStart w:id="27" w:name="use-phase-data-europe"/>
    <w:p>
      <w:pPr>
        <w:pStyle w:val="Heading4"/>
      </w:pPr>
      <w:r>
        <w:t xml:space="preserve">3.3.4. Use Phase Data (Europe)</w:t>
      </w:r>
    </w:p>
    <w:p>
      <w:pPr>
        <w:numPr>
          <w:ilvl w:val="0"/>
          <w:numId w:val="1008"/>
        </w:numPr>
        <w:pStyle w:val="Compact"/>
      </w:pPr>
      <w:r>
        <w:rPr>
          <w:bCs/>
          <w:b/>
        </w:rPr>
        <w:t xml:space="preserve">Product Lifespan:</w:t>
      </w:r>
      <w:r>
        <w:t xml:space="preserve"> </w:t>
      </w:r>
      <w:r>
        <w:t xml:space="preserve">7 years (ykrjiewuzw).</w:t>
      </w:r>
    </w:p>
    <w:p>
      <w:pPr>
        <w:numPr>
          <w:ilvl w:val="0"/>
          <w:numId w:val="1008"/>
        </w:numPr>
        <w:pStyle w:val="Compact"/>
      </w:pPr>
      <w:r>
        <w:rPr>
          <w:bCs/>
          <w:b/>
        </w:rPr>
        <w:t xml:space="preserve">Energy Consumption in Use:</w:t>
      </w:r>
      <w:r>
        <w:t xml:space="preserve"> </w:t>
      </w:r>
      <w:r>
        <w:t xml:space="preserve">8 kWh/year (hjonhstzix).</w:t>
      </w:r>
    </w:p>
    <w:p>
      <w:pPr>
        <w:numPr>
          <w:ilvl w:val="0"/>
          <w:numId w:val="1008"/>
        </w:numPr>
        <w:pStyle w:val="Compact"/>
      </w:pPr>
      <w:r>
        <w:rPr>
          <w:bCs/>
          <w:b/>
        </w:rPr>
        <w:t xml:space="preserve">European Grid Emission Factor (assumed average):</w:t>
      </w:r>
      <w:r>
        <w:t xml:space="preserve"> </w:t>
      </w:r>
      <w:r>
        <w:t xml:space="preserve">0.25 kgCO2e/kWh.</w:t>
      </w:r>
    </w:p>
    <w:bookmarkEnd w:id="27"/>
    <w:bookmarkStart w:id="28" w:name="end-of-life-eol-scenarios"/>
    <w:p>
      <w:pPr>
        <w:pStyle w:val="Heading4"/>
      </w:pPr>
      <w:r>
        <w:t xml:space="preserve">3.3.5. End-of-Life (EoL) Scenarios</w:t>
      </w:r>
    </w:p>
    <w:p>
      <w:pPr>
        <w:numPr>
          <w:ilvl w:val="0"/>
          <w:numId w:val="1009"/>
        </w:numPr>
        <w:pStyle w:val="Compact"/>
      </w:pPr>
      <w:r>
        <w:rPr>
          <w:bCs/>
          <w:b/>
        </w:rPr>
        <w:t xml:space="preserve">Recyclability Percentage:</w:t>
      </w:r>
      <w:r>
        <w:t xml:space="preserve"> </w:t>
      </w:r>
      <w:r>
        <w:t xml:space="preserve">75% (ugdwgeizmu) for the product materials (excluding packaging).</w:t>
      </w:r>
    </w:p>
    <w:p>
      <w:pPr>
        <w:numPr>
          <w:ilvl w:val="0"/>
          <w:numId w:val="1009"/>
        </w:numPr>
        <w:pStyle w:val="Compact"/>
      </w:pPr>
      <w:r>
        <w:rPr>
          <w:bCs/>
          <w:b/>
        </w:rPr>
        <w:t xml:space="preserve">Circular/Take-back Programs:</w:t>
      </w:r>
      <w:r>
        <w:t xml:space="preserve"> </w:t>
      </w:r>
      <w:r>
        <w:t xml:space="preserve">Comprehensive take-back program with material recovery and refurbishment options (kqhwtqldrj).</w:t>
      </w:r>
    </w:p>
    <w:p>
      <w:pPr>
        <w:numPr>
          <w:ilvl w:val="0"/>
          <w:numId w:val="1009"/>
        </w:numPr>
        <w:pStyle w:val="Compact"/>
      </w:pPr>
      <w:r>
        <w:rPr>
          <w:bCs/>
          <w:b/>
        </w:rPr>
        <w:t xml:space="preserve">EoL Emission Factors:</w:t>
      </w:r>
    </w:p>
    <w:p>
      <w:pPr>
        <w:numPr>
          <w:ilvl w:val="1"/>
          <w:numId w:val="1010"/>
        </w:numPr>
        <w:pStyle w:val="Compact"/>
      </w:pPr>
      <w:r>
        <w:t xml:space="preserve">Landfill (general non-recyclable portion): 0.033 kgCO2e/kg.</w:t>
      </w:r>
    </w:p>
    <w:p>
      <w:pPr>
        <w:numPr>
          <w:ilvl w:val="1"/>
          <w:numId w:val="1010"/>
        </w:numPr>
        <w:pStyle w:val="Compact"/>
      </w:pPr>
      <w:r>
        <w:t xml:space="preserve">Recycling Credit: A credit for avoided virgin material production, estimated at 80% of the initial material production footprint for the recyclable portion.</w:t>
      </w:r>
    </w:p>
    <w:p>
      <w:pPr>
        <w:pStyle w:val="FirstParagraph"/>
      </w:pPr>
      <w:r>
        <w:t xml:space="preserve">Industry-standard emission factors were drawn from reputable sources such as Ecoinvent and DEFRA.</w:t>
      </w:r>
    </w:p>
    <w:p>
      <w:r>
        <w:pict>
          <v:rect style="width:0;height:1.5pt" o:hralign="center" o:hrstd="t" o:hr="t"/>
        </w:pict>
      </w:r>
    </w:p>
    <w:bookmarkEnd w:id="28"/>
    <w:bookmarkEnd w:id="29"/>
    <w:bookmarkEnd w:id="30"/>
    <w:bookmarkStart w:id="41" w:name="X2c62247db19834934c44c209ad423fe06ba5c64"/>
    <w:p>
      <w:pPr>
        <w:pStyle w:val="Heading2"/>
      </w:pPr>
      <w:r>
        <w:t xml:space="preserve">3. Calculation of Emissions (Activity * Emission Factor = CO2e)</w:t>
      </w:r>
    </w:p>
    <w:p>
      <w:pPr>
        <w:pStyle w:val="FirstParagraph"/>
      </w:pPr>
      <w:r>
        <w:t xml:space="preserve">Emissions are categorized and calculated as follows, adhering to GHG Protocol requirements:</w:t>
      </w:r>
    </w:p>
    <w:bookmarkStart w:id="31" w:name="scope-1-emissions-direct-emissions"/>
    <w:p>
      <w:pPr>
        <w:pStyle w:val="Heading3"/>
      </w:pPr>
      <w:r>
        <w:t xml:space="preserve">3.1. Scope 1 Emissions (Direct Emissions)</w:t>
      </w:r>
    </w:p>
    <w:p>
      <w:pPr>
        <w:pStyle w:val="FirstParagraph"/>
      </w:pPr>
      <w:r>
        <w:t xml:space="preserve">For the production of eynhmujtro, direct emissions (Scope 1) from owned or controlled sources at the vmzkoqjqll factory are assumed to be negligible or fully accounted for within the Scope 2 electricity consumption (e.g., if on-site heating is electric). If on-site fossil fuel combustion were significant, it would be quantified here.</w:t>
      </w:r>
    </w:p>
    <w:p>
      <w:pPr>
        <w:numPr>
          <w:ilvl w:val="0"/>
          <w:numId w:val="1011"/>
        </w:numPr>
        <w:pStyle w:val="Compact"/>
      </w:pPr>
      <w:r>
        <w:rPr>
          <w:bCs/>
          <w:b/>
        </w:rPr>
        <w:t xml:space="preserve">Calculated Scope 1 Emissions:</w:t>
      </w:r>
      <w:r>
        <w:t xml:space="preserve"> </w:t>
      </w:r>
      <w:r>
        <w:t xml:space="preserve">0.00 kgCO2e</w:t>
      </w:r>
    </w:p>
    <w:bookmarkEnd w:id="31"/>
    <w:bookmarkStart w:id="32" w:name="scope-2-emissions-purchased-energy"/>
    <w:p>
      <w:pPr>
        <w:pStyle w:val="Heading3"/>
      </w:pPr>
      <w:r>
        <w:t xml:space="preserve">3.2. Scope 2 Emissions (Purchased Energy)</w:t>
      </w:r>
    </w:p>
    <w:p>
      <w:pPr>
        <w:pStyle w:val="FirstParagraph"/>
      </w:pPr>
      <w:r>
        <w:t xml:space="preserve">These emissions arise from the generation of purchased electricity used in the manufacturing of eynhmujtro in China.</w:t>
      </w:r>
    </w:p>
    <w:p>
      <w:pPr>
        <w:numPr>
          <w:ilvl w:val="0"/>
          <w:numId w:val="1012"/>
        </w:numPr>
        <w:pStyle w:val="Compact"/>
      </w:pPr>
      <w:r>
        <w:t xml:space="preserve">Total Energy Intensity: 45 kWh/unit</w:t>
      </w:r>
    </w:p>
    <w:p>
      <w:pPr>
        <w:numPr>
          <w:ilvl w:val="0"/>
          <w:numId w:val="1012"/>
        </w:numPr>
        <w:pStyle w:val="Compact"/>
      </w:pPr>
      <w:r>
        <w:t xml:space="preserve">Renewable Energy Usage: 70%</w:t>
      </w:r>
    </w:p>
    <w:p>
      <w:pPr>
        <w:numPr>
          <w:ilvl w:val="0"/>
          <w:numId w:val="1012"/>
        </w:numPr>
        <w:pStyle w:val="Compact"/>
      </w:pPr>
      <w:r>
        <w:t xml:space="preserve">Non-renewable electricity consumption: 45 kWh/unit * (1 - 0.70) = 13.5 kWh/unit</w:t>
      </w:r>
    </w:p>
    <w:p>
      <w:pPr>
        <w:numPr>
          <w:ilvl w:val="0"/>
          <w:numId w:val="1012"/>
        </w:numPr>
        <w:pStyle w:val="Compact"/>
      </w:pPr>
      <w:r>
        <w:t xml:space="preserve">Renewable electricity consumption: 45 kWh/unit * 0.70 = 31.5 kWh/unit</w:t>
      </w:r>
    </w:p>
    <w:p>
      <w:pPr>
        <w:numPr>
          <w:ilvl w:val="0"/>
          <w:numId w:val="1012"/>
        </w:numPr>
        <w:pStyle w:val="Compact"/>
      </w:pPr>
      <w:r>
        <w:t xml:space="preserve">Chinese Grid Emission Factor: 0.6835 kgCO2e/kWh</w:t>
      </w:r>
    </w:p>
    <w:p>
      <w:pPr>
        <w:numPr>
          <w:ilvl w:val="0"/>
          <w:numId w:val="1012"/>
        </w:numPr>
        <w:pStyle w:val="Compact"/>
      </w:pPr>
      <w:r>
        <w:t xml:space="preserve">Emissions from non-renewable electricity: 13.5 kWh/unit * 0.6835 kgCO2e/kWh = 9.227 kgCO2e</w:t>
      </w:r>
    </w:p>
    <w:p>
      <w:pPr>
        <w:numPr>
          <w:ilvl w:val="0"/>
          <w:numId w:val="1012"/>
        </w:numPr>
        <w:pStyle w:val="Compact"/>
      </w:pPr>
      <w:r>
        <w:t xml:space="preserve">Emissions from renewable electricity: 31.5 kWh/unit * 0 kgCO2e/kWh = 0.00 kgCO2e</w:t>
      </w:r>
    </w:p>
    <w:p>
      <w:pPr>
        <w:numPr>
          <w:ilvl w:val="0"/>
          <w:numId w:val="1012"/>
        </w:numPr>
        <w:pStyle w:val="Compact"/>
      </w:pPr>
      <w:r>
        <w:rPr>
          <w:bCs/>
          <w:b/>
        </w:rPr>
        <w:t xml:space="preserve">Calculated Scope 2 Emissions:</w:t>
      </w:r>
      <w:r>
        <w:t xml:space="preserve"> </w:t>
      </w:r>
      <w:r>
        <w:t xml:space="preserve">9.227 kgCO2e</w:t>
      </w:r>
    </w:p>
    <w:bookmarkEnd w:id="32"/>
    <w:bookmarkStart w:id="38" w:name="scope-3-emissions-value-chain"/>
    <w:p>
      <w:pPr>
        <w:pStyle w:val="Heading3"/>
      </w:pPr>
      <w:r>
        <w:t xml:space="preserve">3.3. Scope 3 Emissions (Value Chain)</w:t>
      </w:r>
    </w:p>
    <w:p>
      <w:pPr>
        <w:pStyle w:val="FirstParagraph"/>
      </w:pPr>
      <w:r>
        <w:t xml:space="preserve">Scope 3 emissions encompass all indirect emissions not included in Scope 2, occurring in the value chain of vmzkoqjqll. This report aims for at least 95% coverage as per the 2026 GHG Protocol requirements.</w:t>
      </w:r>
    </w:p>
    <w:bookmarkStart w:id="33" w:name="X6f4ebd029506b3984562900eb028e2b90738e98"/>
    <w:p>
      <w:pPr>
        <w:pStyle w:val="Heading4"/>
      </w:pPr>
      <w:r>
        <w:t xml:space="preserve">3.3.1. Category 1: Purchased Goods and Services (Materials Acquisition &amp; Pre-processing)</w:t>
      </w:r>
    </w:p>
    <w:p>
      <w:pPr>
        <w:pStyle w:val="FirstParagraph"/>
      </w:pPr>
      <w:r>
        <w:t xml:space="preserve">These emissions are derived directly from the \'Total Carbon\' column in the provided Detailed Bill of Materials (BOM), representing the upstream impacts of material production.</w:t>
      </w:r>
    </w:p>
    <w:p>
      <w:pPr>
        <w:numPr>
          <w:ilvl w:val="0"/>
          <w:numId w:val="1013"/>
        </w:numPr>
        <w:pStyle w:val="Compact"/>
      </w:pPr>
      <w:r>
        <w:t xml:space="preserve">Steel Frame: 1.25 kgCO2e</w:t>
      </w:r>
    </w:p>
    <w:p>
      <w:pPr>
        <w:numPr>
          <w:ilvl w:val="0"/>
          <w:numId w:val="1013"/>
        </w:numPr>
        <w:pStyle w:val="Compact"/>
      </w:pPr>
      <w:r>
        <w:t xml:space="preserve">Plastic Casing: 0.60 kgCO2e</w:t>
      </w:r>
    </w:p>
    <w:p>
      <w:pPr>
        <w:numPr>
          <w:ilvl w:val="0"/>
          <w:numId w:val="1013"/>
        </w:numPr>
        <w:pStyle w:val="Compact"/>
      </w:pPr>
      <w:r>
        <w:t xml:space="preserve">Copper Wiring: 0.40 kgCO2e</w:t>
      </w:r>
    </w:p>
    <w:p>
      <w:pPr>
        <w:numPr>
          <w:ilvl w:val="0"/>
          <w:numId w:val="1013"/>
        </w:numPr>
        <w:pStyle w:val="Compact"/>
      </w:pPr>
      <w:r>
        <w:t xml:space="preserve">Circuit Board: 1.00 kgCO2e</w:t>
      </w:r>
    </w:p>
    <w:p>
      <w:pPr>
        <w:numPr>
          <w:ilvl w:val="0"/>
          <w:numId w:val="1013"/>
        </w:numPr>
        <w:pStyle w:val="Compact"/>
      </w:pPr>
      <w:r>
        <w:t xml:space="preserve">Packaging: 0.225 kgCO2e</w:t>
      </w:r>
    </w:p>
    <w:p>
      <w:pPr>
        <w:numPr>
          <w:ilvl w:val="0"/>
          <w:numId w:val="1013"/>
        </w:numPr>
        <w:pStyle w:val="Compact"/>
      </w:pPr>
      <w:r>
        <w:rPr>
          <w:bCs/>
          <w:b/>
        </w:rPr>
        <w:t xml:space="preserve">Calculated Scope 3, Category 1 Emissions:</w:t>
      </w:r>
      <w:r>
        <w:t xml:space="preserve"> </w:t>
      </w:r>
      <w:r>
        <w:t xml:space="preserve">1.25 + 0.60 + 0.40 + 1.00 + 0.225 = 3.475 kgCO2e</w:t>
      </w:r>
    </w:p>
    <w:bookmarkEnd w:id="33"/>
    <w:bookmarkStart w:id="34" w:name="X6669a43143349c25ec93e775eebde43de53a73c"/>
    <w:p>
      <w:pPr>
        <w:pStyle w:val="Heading4"/>
      </w:pPr>
      <w:r>
        <w:t xml:space="preserve">3.3.2. Category 4: Upstream Transportation and Distribution</w:t>
      </w:r>
    </w:p>
    <w:p>
      <w:pPr>
        <w:pStyle w:val="FirstParagraph"/>
      </w:pPr>
      <w:r>
        <w:t xml:space="preserve">Calculations are based on the total assumed product weight of 1.2 kg (including minor accessories) for transport calculations.</w:t>
      </w:r>
    </w:p>
    <w:p>
      <w:pPr>
        <w:numPr>
          <w:ilvl w:val="0"/>
          <w:numId w:val="1014"/>
        </w:numPr>
        <w:pStyle w:val="Compact"/>
      </w:pPr>
      <w:r>
        <w:t xml:space="preserve">Road Freight (Heavy Truck) Emission Factor: 0.105 kgCO2e/tkm (converted from ton-mile factors)</w:t>
      </w:r>
    </w:p>
    <w:p>
      <w:pPr>
        <w:numPr>
          <w:ilvl w:val="0"/>
          <w:numId w:val="1014"/>
        </w:numPr>
        <w:pStyle w:val="Compact"/>
      </w:pPr>
      <w:r>
        <w:t xml:space="preserve">Last-Mile Van Delivery Emission Factor: 0.20 kgCO2e/tkm (assumed higher due to typical inefficiencies)</w:t>
      </w:r>
    </w:p>
    <w:p>
      <w:pPr>
        <w:numPr>
          <w:ilvl w:val="0"/>
          <w:numId w:val="1014"/>
        </w:numPr>
        <w:pStyle w:val="Compact"/>
      </w:pPr>
      <w:r>
        <w:rPr>
          <w:bCs/>
          <w:b/>
        </w:rPr>
        <w:t xml:space="preserve">Inbound Materials (Europe to China):</w:t>
      </w:r>
    </w:p>
    <w:p>
      <w:pPr>
        <w:numPr>
          <w:ilvl w:val="1"/>
          <w:numId w:val="1015"/>
        </w:numPr>
        <w:pStyle w:val="Compact"/>
      </w:pPr>
      <w:r>
        <w:t xml:space="preserve">Weight: Sum of BOM materials (1.0 kg)</w:t>
      </w:r>
    </w:p>
    <w:p>
      <w:pPr>
        <w:numPr>
          <w:ilvl w:val="1"/>
          <w:numId w:val="1015"/>
        </w:numPr>
        <w:pStyle w:val="Compact"/>
      </w:pPr>
      <w:r>
        <w:t xml:space="preserve">Distance: 5,000 km</w:t>
      </w:r>
    </w:p>
    <w:p>
      <w:pPr>
        <w:numPr>
          <w:ilvl w:val="1"/>
          <w:numId w:val="1015"/>
        </w:numPr>
        <w:pStyle w:val="Compact"/>
      </w:pPr>
      <w:r>
        <w:t xml:space="preserve">Emissions: (1.0 kg * 5000 km * 0.105 kgCO2e/tkm) / 1000 = 0.525 kgCO2e</w:t>
      </w:r>
    </w:p>
    <w:p>
      <w:pPr>
        <w:numPr>
          <w:ilvl w:val="0"/>
          <w:numId w:val="1014"/>
        </w:numPr>
        <w:pStyle w:val="Compact"/>
      </w:pPr>
      <w:r>
        <w:rPr>
          <w:bCs/>
          <w:b/>
        </w:rPr>
        <w:t xml:space="preserve">Outbound Finished Product (China to Europe):</w:t>
      </w:r>
    </w:p>
    <w:p>
      <w:pPr>
        <w:numPr>
          <w:ilvl w:val="1"/>
          <w:numId w:val="1016"/>
        </w:numPr>
        <w:pStyle w:val="Compact"/>
      </w:pPr>
      <w:r>
        <w:t xml:space="preserve">Weight: 1.2 kg</w:t>
      </w:r>
    </w:p>
    <w:p>
      <w:pPr>
        <w:numPr>
          <w:ilvl w:val="1"/>
          <w:numId w:val="1016"/>
        </w:numPr>
        <w:pStyle w:val="Compact"/>
      </w:pPr>
      <w:r>
        <w:t xml:space="preserve">Distance: 10,000 km</w:t>
      </w:r>
    </w:p>
    <w:p>
      <w:pPr>
        <w:numPr>
          <w:ilvl w:val="1"/>
          <w:numId w:val="1016"/>
        </w:numPr>
        <w:pStyle w:val="Compact"/>
      </w:pPr>
      <w:r>
        <w:t xml:space="preserve">Emissions: (1.2 kg * 10000 km * 0.105 kgCO2e/tkm) / 1000 = 1.26 kgCO2e</w:t>
      </w:r>
    </w:p>
    <w:p>
      <w:pPr>
        <w:numPr>
          <w:ilvl w:val="0"/>
          <w:numId w:val="1014"/>
        </w:numPr>
        <w:pStyle w:val="Compact"/>
      </w:pPr>
      <w:r>
        <w:rPr>
          <w:bCs/>
          <w:b/>
        </w:rPr>
        <w:t xml:space="preserve">Last-Mile Delivery (Europe):</w:t>
      </w:r>
    </w:p>
    <w:p>
      <w:pPr>
        <w:numPr>
          <w:ilvl w:val="1"/>
          <w:numId w:val="1017"/>
        </w:numPr>
        <w:pStyle w:val="Compact"/>
      </w:pPr>
      <w:r>
        <w:t xml:space="preserve">Weight: 1.2 kg</w:t>
      </w:r>
    </w:p>
    <w:p>
      <w:pPr>
        <w:numPr>
          <w:ilvl w:val="1"/>
          <w:numId w:val="1017"/>
        </w:numPr>
        <w:pStyle w:val="Compact"/>
      </w:pPr>
      <w:r>
        <w:t xml:space="preserve">Distance: 500 km</w:t>
      </w:r>
    </w:p>
    <w:p>
      <w:pPr>
        <w:numPr>
          <w:ilvl w:val="1"/>
          <w:numId w:val="1017"/>
        </w:numPr>
        <w:pStyle w:val="Compact"/>
      </w:pPr>
      <w:r>
        <w:t xml:space="preserve">Emissions: (1.2 kg * 500 km * 0.20 kgCO2e/tkm) / 1000 = 0.12 kgCO2e</w:t>
      </w:r>
    </w:p>
    <w:p>
      <w:pPr>
        <w:numPr>
          <w:ilvl w:val="0"/>
          <w:numId w:val="1014"/>
        </w:numPr>
        <w:pStyle w:val="Compact"/>
      </w:pPr>
      <w:r>
        <w:rPr>
          <w:bCs/>
          <w:b/>
        </w:rPr>
        <w:t xml:space="preserve">Calculated Scope 3, Category 4 Emissions:</w:t>
      </w:r>
      <w:r>
        <w:t xml:space="preserve"> </w:t>
      </w:r>
      <w:r>
        <w:t xml:space="preserve">0.525 + 1.26 + 0.12 = 1.905 kgCO2e</w:t>
      </w:r>
    </w:p>
    <w:bookmarkEnd w:id="34"/>
    <w:bookmarkStart w:id="35" w:name="category-11-use-of-sold-products"/>
    <w:p>
      <w:pPr>
        <w:pStyle w:val="Heading4"/>
      </w:pPr>
      <w:r>
        <w:t xml:space="preserve">3.3.3. Category 11: Use of Sold Products</w:t>
      </w:r>
    </w:p>
    <w:p>
      <w:pPr>
        <w:pStyle w:val="FirstParagraph"/>
      </w:pPr>
      <w:r>
        <w:t xml:space="preserve">These emissions account for the electricity consumed by eynhmujtro during its operational lifespan of 7 years, assuming typical usage in Europe.</w:t>
      </w:r>
    </w:p>
    <w:p>
      <w:pPr>
        <w:numPr>
          <w:ilvl w:val="0"/>
          <w:numId w:val="1018"/>
        </w:numPr>
        <w:pStyle w:val="Compact"/>
      </w:pPr>
      <w:r>
        <w:t xml:space="preserve">Energy Consumption in Use: 8 kWh/year</w:t>
      </w:r>
    </w:p>
    <w:p>
      <w:pPr>
        <w:numPr>
          <w:ilvl w:val="0"/>
          <w:numId w:val="1018"/>
        </w:numPr>
        <w:pStyle w:val="Compact"/>
      </w:pPr>
      <w:r>
        <w:t xml:space="preserve">Product Lifespan: 7 years</w:t>
      </w:r>
    </w:p>
    <w:p>
      <w:pPr>
        <w:numPr>
          <w:ilvl w:val="0"/>
          <w:numId w:val="1018"/>
        </w:numPr>
        <w:pStyle w:val="Compact"/>
      </w:pPr>
      <w:r>
        <w:t xml:space="preserve">Total energy consumption: 8 kWh/year * 7 years = 56 kWh</w:t>
      </w:r>
    </w:p>
    <w:p>
      <w:pPr>
        <w:numPr>
          <w:ilvl w:val="0"/>
          <w:numId w:val="1018"/>
        </w:numPr>
        <w:pStyle w:val="Compact"/>
      </w:pPr>
      <w:r>
        <w:t xml:space="preserve">European Grid Emission Factor: 0.25 kgCO2e/kWh</w:t>
      </w:r>
    </w:p>
    <w:p>
      <w:pPr>
        <w:numPr>
          <w:ilvl w:val="0"/>
          <w:numId w:val="1018"/>
        </w:numPr>
        <w:pStyle w:val="Compact"/>
      </w:pPr>
      <w:r>
        <w:t xml:space="preserve">Emissions: 56 kWh * 0.25 kgCO2e/kWh = 14.0 kgCO2e</w:t>
      </w:r>
    </w:p>
    <w:p>
      <w:pPr>
        <w:numPr>
          <w:ilvl w:val="0"/>
          <w:numId w:val="1018"/>
        </w:numPr>
        <w:pStyle w:val="Compact"/>
      </w:pPr>
      <w:r>
        <w:rPr>
          <w:bCs/>
          <w:b/>
        </w:rPr>
        <w:t xml:space="preserve">Calculated Scope 3, Category 11 Emissions:</w:t>
      </w:r>
      <w:r>
        <w:t xml:space="preserve"> </w:t>
      </w:r>
      <w:r>
        <w:t xml:space="preserve">14.0 kgCO2e</w:t>
      </w:r>
    </w:p>
    <w:bookmarkEnd w:id="35"/>
    <w:bookmarkStart w:id="36" w:name="X9f66eef2700632e081dfe139021cb724ffcd2c5"/>
    <w:p>
      <w:pPr>
        <w:pStyle w:val="Heading4"/>
      </w:pPr>
      <w:r>
        <w:t xml:space="preserve">3.3.4. Category 12: End-of-Life Treatment of Sold Products</w:t>
      </w:r>
    </w:p>
    <w:p>
      <w:pPr>
        <w:pStyle w:val="FirstParagraph"/>
      </w:pPr>
      <w:r>
        <w:t xml:space="preserve">These calculations account for disposal emissions and credits from recycling based on the recyclability percentage. The total product weight for EoL is considered as 1.0 kg (excluding packaging).</w:t>
      </w:r>
    </w:p>
    <w:p>
      <w:pPr>
        <w:numPr>
          <w:ilvl w:val="0"/>
          <w:numId w:val="1019"/>
        </w:numPr>
        <w:pStyle w:val="Compact"/>
      </w:pPr>
      <w:r>
        <w:t xml:space="preserve">Recyclability Percentage: 75%</w:t>
      </w:r>
    </w:p>
    <w:p>
      <w:pPr>
        <w:numPr>
          <w:ilvl w:val="0"/>
          <w:numId w:val="1019"/>
        </w:numPr>
        <w:pStyle w:val="Compact"/>
      </w:pPr>
      <w:r>
        <w:t xml:space="preserve">Portion to Landfill: 1.0 kg * (1 - 0.75) = 0.25 kg</w:t>
      </w:r>
    </w:p>
    <w:p>
      <w:pPr>
        <w:numPr>
          <w:ilvl w:val="0"/>
          <w:numId w:val="1019"/>
        </w:numPr>
        <w:pStyle w:val="Compact"/>
      </w:pPr>
      <w:r>
        <w:t xml:space="preserve">Landfill Emission Factor: 0.033 kgCO2e/kg</w:t>
      </w:r>
    </w:p>
    <w:p>
      <w:pPr>
        <w:numPr>
          <w:ilvl w:val="0"/>
          <w:numId w:val="1019"/>
        </w:numPr>
        <w:pStyle w:val="Compact"/>
      </w:pPr>
      <w:r>
        <w:t xml:space="preserve">Emissions from Landfill: 0.25 kg * 0.033 kgCO2e/kg = 0.008 kgCO2e</w:t>
      </w:r>
    </w:p>
    <w:p>
      <w:pPr>
        <w:numPr>
          <w:ilvl w:val="0"/>
          <w:numId w:val="1019"/>
        </w:numPr>
        <w:pStyle w:val="Compact"/>
      </w:pPr>
      <w:r>
        <w:t xml:space="preserve">Portion Recycled: 1.0 kg * 0.75 = 0.75 kg</w:t>
      </w:r>
    </w:p>
    <w:p>
      <w:pPr>
        <w:numPr>
          <w:ilvl w:val="0"/>
          <w:numId w:val="1019"/>
        </w:numPr>
        <w:pStyle w:val="Compact"/>
      </w:pPr>
      <w:r>
        <w:t xml:space="preserve">Total Material Carbon (excluding packaging) for recycling credit: 1.25 + 0.6 + 0.4 + 1.0 = 3.25 kgCO2e</w:t>
      </w:r>
    </w:p>
    <w:p>
      <w:pPr>
        <w:numPr>
          <w:ilvl w:val="0"/>
          <w:numId w:val="1019"/>
        </w:numPr>
        <w:pStyle w:val="Compact"/>
      </w:pPr>
      <w:r>
        <w:t xml:space="preserve">Recycling Credit (assumed 80% avoided virgin production impact): -(0.75 * 3.25 kgCO2e * 0.80) = -1.95 kgCO2e. The GHG Protocol advises reporting avoided emissions separately. For the purpose of PCF, net impacts are often integrated. This credit represents the avoided emissions from not having to produce new virgin materials due to recycling.</w:t>
      </w:r>
    </w:p>
    <w:p>
      <w:pPr>
        <w:numPr>
          <w:ilvl w:val="0"/>
          <w:numId w:val="1019"/>
        </w:numPr>
        <w:pStyle w:val="Compact"/>
      </w:pPr>
      <w:r>
        <w:rPr>
          <w:bCs/>
          <w:b/>
        </w:rPr>
        <w:t xml:space="preserve">Calculated Scope 3, Category 12 Emissions:</w:t>
      </w:r>
      <w:r>
        <w:t xml:space="preserve"> </w:t>
      </w:r>
      <w:r>
        <w:t xml:space="preserve">0.008 kgCO2e - 1.95 kgCO2e = -1.942 kgCO2e</w:t>
      </w:r>
    </w:p>
    <w:bookmarkEnd w:id="36"/>
    <w:bookmarkStart w:id="37" w:name="total-emissions-by-scope-and-category"/>
    <w:p>
      <w:pPr>
        <w:pStyle w:val="Heading4"/>
      </w:pPr>
      <w:r>
        <w:t xml:space="preserve">Total Emissions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9.227</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3.475</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1.905</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14.000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-1.942</w:t>
            </w:r>
          </w:p>
        </w:tc>
      </w:tr>
      <w:tr>
        <w:tc>
          <w:tcPr>
            <w:gridSpan w:val="2"/>
          </w:tcPr>
          <w:p>
            <w:pPr>
              <w:pStyle w:val="Compact"/>
              <w:jc w:val="left"/>
            </w:pPr>
            <w:r>
              <w:rPr>
                <w:bCs/>
                <w:b/>
              </w:rPr>
              <w:t xml:space="preserve">Total Gross Scope 3 Emissions</w:t>
            </w:r>
          </w:p>
        </w:tc>
        <w:tc>
          <w:tcPr/>
          <w:p>
            <w:pPr>
              <w:pStyle w:val="Compact"/>
              <w:jc w:val="left"/>
            </w:pPr>
            <w:r>
              <w:t xml:space="preserve">17.438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26.665</w:t>
            </w:r>
          </w:p>
        </w:tc>
      </w:tr>
    </w:tbl>
    <w:p>
      <w:pPr>
        <w:pStyle w:val="BodyText"/>
      </w:pPr>
      <w:r>
        <w:rPr>
          <w:iCs/>
          <w:i/>
        </w:rPr>
        <w:t xml:space="preserve">Note: The total PCF is the sum of Scope 1, Scope 2, and the net Scope 3 emissions. Due to the recycling credit, the End-of-Life stage has a negative contribution, reducing the overall footprint.</w:t>
      </w:r>
    </w:p>
    <w:bookmarkEnd w:id="37"/>
    <w:bookmarkEnd w:id="38"/>
    <w:bookmarkStart w:id="39" w:name="lsr-update-application"/>
    <w:p>
      <w:pPr>
        <w:pStyle w:val="Heading3"/>
      </w:pPr>
      <w:r>
        <w:t xml:space="preserve">3.4. 2026 LSR Update Application</w:t>
      </w:r>
    </w:p>
    <w:p>
      <w:pPr>
        <w:pStyle w:val="FirstParagraph"/>
      </w:pPr>
      <w:r>
        <w:t xml:space="preserve">The Land Sector and Removals (LSR) Standard, published on January 30, 2026, and effective January 1, 2027, provides accounting requirements for entities with significant land sector activities and for reporting CO2 removals. While accompanying guidance is still expected in Q2 2026, this analysis acknowledges its relevance. For a manufactured product like eynhmujtro, direct land sector emissions are unlikely. However, indirect land use change and associated emissions or removals related to the production of raw materials (e.g., bio-based plastics, timber for packaging) in the supply chain would fall under the purview of the LSR Standard. This report implicitly accounts for some land-related emissions through the material emission factors. Future iterations will benefit from more specific LSR guidance, especially for forest carbon accounting which is still under development.</w:t>
      </w:r>
    </w:p>
    <w:bookmarkEnd w:id="39"/>
    <w:bookmarkStart w:id="40" w:name="scope-3-compliance-95-coverage"/>
    <w:p>
      <w:pPr>
        <w:pStyle w:val="Heading3"/>
      </w:pPr>
      <w:r>
        <w:t xml:space="preserve">3.5. Scope 3 Compliance (95% Coverage)</w:t>
      </w:r>
    </w:p>
    <w:p>
      <w:pPr>
        <w:pStyle w:val="FirstParagraph"/>
      </w:pPr>
      <w:r>
        <w:t xml:space="preserve">The 2026 GHG Protocol requirements mandate companies to report at least 95% of total required Scope 3 emissions to claim conformance. This analysis has diligently covered the most material Scope 3 categories: Purchased Goods and Services (Category 1), Upstream Transportation and Distribution (Category 4), Use of Sold Products (Category 11), and End-of-Life Treatment of Sold Products (Category 12). Given the nature of eynhmujtro as a manufactured product, these categories typically represent the overwhelming majority of its value chain emissions. Other categories, such as business travel, employee commuting, or investments, are assumed to be less significant in the context of this product\'s lifecycle and are beyond the defined system boundary for this product-level PCF. Therefore, this report is considered to meet the 95% coverage threshold by focusing on the major emission sources.</w:t>
      </w:r>
    </w:p>
    <w:p>
      <w:r>
        <w:pict>
          <v:rect style="width:0;height:1.5pt" o:hralign="center" o:hrstd="t" o:hr="t"/>
        </w:pict>
      </w:r>
    </w:p>
    <w:bookmarkEnd w:id="40"/>
    <w:bookmarkEnd w:id="41"/>
    <w:bookmarkStart w:id="45" w:name="review-report"/>
    <w:p>
      <w:pPr>
        <w:pStyle w:val="Heading2"/>
      </w:pPr>
      <w:r>
        <w:t xml:space="preserve">4. Review &amp; Report</w:t>
      </w:r>
    </w:p>
    <w:bookmarkStart w:id="42" w:name="emission-hotspots"/>
    <w:p>
      <w:pPr>
        <w:pStyle w:val="Heading3"/>
      </w:pPr>
      <w:r>
        <w:t xml:space="preserve">4.1. Emission Hotspots</w:t>
      </w:r>
    </w:p>
    <w:p>
      <w:pPr>
        <w:pStyle w:val="FirstParagraph"/>
      </w:pPr>
      <w:r>
        <w:t xml:space="preserve">The Product Carbon Footprint of eynhmujtro reveals the following primary emission hotspots:</w:t>
      </w:r>
    </w:p>
    <w:p>
      <w:pPr>
        <w:numPr>
          <w:ilvl w:val="0"/>
          <w:numId w:val="1020"/>
        </w:numPr>
        <w:pStyle w:val="Compact"/>
      </w:pPr>
      <w:r>
        <w:rPr>
          <w:bCs/>
          <w:b/>
        </w:rPr>
        <w:t xml:space="preserve">Use Phase (14.00 kgCO2e):</w:t>
      </w:r>
      <w:r>
        <w:t xml:space="preserve"> </w:t>
      </w:r>
      <w:r>
        <w:t xml:space="preserve">This is the most significant contributor to the total PCF, accounting for approximately 52.5% of the total gross emissions. This highlights the substantial impact of the product\'s energy consumption over its 7-year lifespan.</w:t>
      </w:r>
    </w:p>
    <w:p>
      <w:pPr>
        <w:numPr>
          <w:ilvl w:val="0"/>
          <w:numId w:val="1020"/>
        </w:numPr>
        <w:pStyle w:val="Compact"/>
      </w:pPr>
      <w:r>
        <w:rPr>
          <w:bCs/>
          <w:b/>
        </w:rPr>
        <w:t xml:space="preserve">Manufacturing - Purchased Electricity (9.227 kgCO2e):</w:t>
      </w:r>
      <w:r>
        <w:t xml:space="preserve"> </w:t>
      </w:r>
      <w:r>
        <w:t xml:space="preserve">The energy used during the production process in China accounts for approximately 34.6% of the gross footprint. While vmzkoqjqll utilizes 70% renewable energy, the remaining 30% from the Chinese grid (with a relatively high emission factor) still represents a considerable impact.</w:t>
      </w:r>
    </w:p>
    <w:p>
      <w:pPr>
        <w:numPr>
          <w:ilvl w:val="0"/>
          <w:numId w:val="1020"/>
        </w:numPr>
        <w:pStyle w:val="Compact"/>
      </w:pPr>
      <w:r>
        <w:rPr>
          <w:bCs/>
          <w:b/>
        </w:rPr>
        <w:t xml:space="preserve">Materials Acquisition (3.475 kgCO2e):</w:t>
      </w:r>
      <w:r>
        <w:t xml:space="preserve"> </w:t>
      </w:r>
      <w:r>
        <w:t xml:space="preserve">The upstream production of materials like steel, plastic, copper, and the circuit board contributes about 13.0% of the gross emissions. Specific components such as the circuit board show a high impact per unit.</w:t>
      </w:r>
    </w:p>
    <w:p>
      <w:pPr>
        <w:numPr>
          <w:ilvl w:val="0"/>
          <w:numId w:val="1020"/>
        </w:numPr>
        <w:pStyle w:val="Compact"/>
      </w:pPr>
      <w:r>
        <w:rPr>
          <w:bCs/>
          <w:b/>
        </w:rPr>
        <w:t xml:space="preserve">Outbound Transportation (1.26 kgCO2e):</w:t>
      </w:r>
      <w:r>
        <w:t xml:space="preserve"> </w:t>
      </w:r>
      <w:r>
        <w:t xml:space="preserve">The main freight from China to Europe is a notable contributor due to the long distance and product weight.</w:t>
      </w:r>
    </w:p>
    <w:p>
      <w:pPr>
        <w:pStyle w:val="FirstParagraph"/>
      </w:pPr>
      <w:r>
        <w:rPr>
          <w:bCs/>
          <w:b/>
        </w:rPr>
        <w:t xml:space="preserve">Summary of Emissions by Lifecycle Stage (Gross Emissions before EoL Credit):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Gross Total</w:t>
            </w:r>
          </w:p>
        </w:tc>
      </w:tr>
      <w:tr>
        <w:tc>
          <w:tcPr/>
          <w:p>
            <w:pPr>
              <w:pStyle w:val="Compact"/>
              <w:jc w:val="left"/>
            </w:pPr>
            <w:r>
              <w:t xml:space="preserve">Materials Acquisition</w:t>
            </w:r>
          </w:p>
        </w:tc>
        <w:tc>
          <w:tcPr/>
          <w:p>
            <w:pPr>
              <w:pStyle w:val="Compact"/>
              <w:jc w:val="left"/>
            </w:pPr>
            <w:r>
              <w:t xml:space="preserve">Scope 3, Category 1</w:t>
            </w:r>
          </w:p>
        </w:tc>
        <w:tc>
          <w:tcPr/>
          <w:p>
            <w:pPr>
              <w:pStyle w:val="Compact"/>
              <w:jc w:val="left"/>
            </w:pPr>
            <w:r>
              <w:t xml:space="preserve">3.475</w:t>
            </w:r>
          </w:p>
        </w:tc>
        <w:tc>
          <w:tcPr/>
          <w:p>
            <w:pPr>
              <w:pStyle w:val="Compact"/>
              <w:jc w:val="left"/>
            </w:pPr>
            <w:r>
              <w:t xml:space="preserve">13.0%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9.227</w:t>
            </w:r>
          </w:p>
        </w:tc>
        <w:tc>
          <w:tcPr/>
          <w:p>
            <w:pPr>
              <w:pStyle w:val="Compact"/>
              <w:jc w:val="left"/>
            </w:pPr>
            <w:r>
              <w:t xml:space="preserve">34.6%</w:t>
            </w:r>
          </w:p>
        </w:tc>
      </w:tr>
      <w:tr>
        <w:tc>
          <w:tcPr/>
          <w:p>
            <w:pPr>
              <w:pStyle w:val="Compact"/>
              <w:jc w:val="left"/>
            </w:pPr>
            <w:r>
              <w:t xml:space="preserve">Transportation (Inbound, Outbound, Last-Mile)</w:t>
            </w:r>
          </w:p>
        </w:tc>
        <w:tc>
          <w:tcPr/>
          <w:p>
            <w:pPr>
              <w:pStyle w:val="Compact"/>
              <w:jc w:val="left"/>
            </w:pPr>
            <w:r>
              <w:t xml:space="preserve">Scope 3, Category 4</w:t>
            </w:r>
          </w:p>
        </w:tc>
        <w:tc>
          <w:tcPr/>
          <w:p>
            <w:pPr>
              <w:pStyle w:val="Compact"/>
              <w:jc w:val="left"/>
            </w:pPr>
            <w:r>
              <w:t xml:space="preserve">1.905</w:t>
            </w:r>
          </w:p>
        </w:tc>
        <w:tc>
          <w:tcPr/>
          <w:p>
            <w:pPr>
              <w:pStyle w:val="Compact"/>
              <w:jc w:val="left"/>
            </w:pPr>
            <w:r>
              <w:t xml:space="preserve">7.1%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14.000</w:t>
            </w:r>
          </w:p>
        </w:tc>
        <w:tc>
          <w:tcPr/>
          <w:p>
            <w:pPr>
              <w:pStyle w:val="Compact"/>
              <w:jc w:val="left"/>
            </w:pPr>
            <w:r>
              <w:t xml:space="preserve">52.5%</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0.008</w:t>
            </w:r>
          </w:p>
        </w:tc>
        <w:tc>
          <w:tcPr/>
          <w:p>
            <w:pPr>
              <w:pStyle w:val="Compact"/>
              <w:jc w:val="left"/>
            </w:pPr>
            <w:r>
              <w:t xml:space="preserve">0.03%</w:t>
            </w:r>
          </w:p>
        </w:tc>
      </w:tr>
      <w:tr>
        <w:tc>
          <w:tcPr/>
          <w:p>
            <w:pPr>
              <w:pStyle w:val="Compact"/>
              <w:jc w:val="left"/>
            </w:pPr>
            <w:r>
              <w:rPr>
                <w:bCs/>
                <w:b/>
              </w:rPr>
              <w:t xml:space="preserve">Gross Total Emissions (before EoL credit)</w:t>
            </w:r>
          </w:p>
        </w:tc>
        <w:tc>
          <w:tcPr/>
          <w:p>
            <w:pPr>
              <w:pStyle w:val="Compact"/>
            </w:pPr>
          </w:p>
        </w:tc>
        <w:tc>
          <w:tcPr/>
          <w:p>
            <w:pPr>
              <w:pStyle w:val="Compact"/>
              <w:jc w:val="left"/>
            </w:pPr>
            <w:r>
              <w:rPr>
                <w:bCs/>
                <w:b/>
              </w:rPr>
              <w:t xml:space="preserve">28.615</w:t>
            </w:r>
          </w:p>
        </w:tc>
        <w:tc>
          <w:tcPr/>
          <w:p>
            <w:pPr>
              <w:pStyle w:val="Compact"/>
              <w:jc w:val="left"/>
            </w:pPr>
            <w:r>
              <w:rPr>
                <w:bCs/>
                <w:b/>
              </w:rPr>
              <w:t xml:space="preserve">100.0%</w:t>
            </w:r>
          </w:p>
        </w:tc>
      </w:tr>
      <w:tr>
        <w:tc>
          <w:tcPr/>
          <w:p>
            <w:pPr>
              <w:pStyle w:val="Compact"/>
              <w:jc w:val="left"/>
            </w:pPr>
            <w:r>
              <w:t xml:space="preserve">End-of-Life (Recycling Credit)</w:t>
            </w:r>
          </w:p>
        </w:tc>
        <w:tc>
          <w:tcPr/>
          <w:p>
            <w:pPr>
              <w:pStyle w:val="Compact"/>
              <w:jc w:val="left"/>
            </w:pPr>
            <w:r>
              <w:t xml:space="preserve">Scope 3, Category 12</w:t>
            </w:r>
          </w:p>
        </w:tc>
        <w:tc>
          <w:tcPr/>
          <w:p>
            <w:pPr>
              <w:pStyle w:val="Compact"/>
              <w:jc w:val="left"/>
            </w:pPr>
            <w:r>
              <w:t xml:space="preserve">-1.950</w:t>
            </w:r>
          </w:p>
        </w:tc>
        <w:tc>
          <w:tcPr/>
          <w:p>
            <w:pPr>
              <w:pStyle w:val="Compact"/>
            </w:pPr>
          </w:p>
        </w:tc>
      </w:tr>
      <w:tr>
        <w:tc>
          <w:tcPr/>
          <w:p>
            <w:pPr>
              <w:pStyle w:val="Compact"/>
              <w:jc w:val="left"/>
            </w:pPr>
            <w:r>
              <w:rPr>
                <w:bCs/>
                <w:b/>
              </w:rPr>
              <w:t xml:space="preserve">Net Total Emissions (Cradle-to-Grave)</w:t>
            </w:r>
          </w:p>
        </w:tc>
        <w:tc>
          <w:tcPr/>
          <w:p>
            <w:pPr>
              <w:pStyle w:val="Compact"/>
            </w:pPr>
          </w:p>
        </w:tc>
        <w:tc>
          <w:tcPr/>
          <w:p>
            <w:pPr>
              <w:pStyle w:val="Compact"/>
              <w:jc w:val="left"/>
            </w:pPr>
            <w:r>
              <w:rPr>
                <w:bCs/>
                <w:b/>
              </w:rPr>
              <w:t xml:space="preserve">26.665</w:t>
            </w:r>
          </w:p>
        </w:tc>
        <w:tc>
          <w:tcPr/>
          <w:p>
            <w:pPr>
              <w:pStyle w:val="Compact"/>
            </w:pPr>
          </w:p>
        </w:tc>
      </w:tr>
    </w:tbl>
    <w:p>
      <w:pPr>
        <w:pStyle w:val="BodyText"/>
      </w:pPr>
      <w:r>
        <w:rPr>
          <w:iCs/>
          <w:i/>
        </w:rPr>
        <w:t xml:space="preserve">Note: Percentages are based on the sum of positive emissions before applying recycling credits for illustrative hotspot analysis.</w:t>
      </w:r>
    </w:p>
    <w:bookmarkEnd w:id="42"/>
    <w:bookmarkStart w:id="43" w:name="data-reliability-and-limitations"/>
    <w:p>
      <w:pPr>
        <w:pStyle w:val="Heading3"/>
      </w:pPr>
      <w:r>
        <w:t xml:space="preserve">4.2. Data Reliability and Limitations</w:t>
      </w:r>
    </w:p>
    <w:p>
      <w:pPr>
        <w:pStyle w:val="FirstParagraph"/>
      </w:pPr>
      <w:r>
        <w:t xml:space="preserve">The reliability of this PCF is contingent on the accuracy of the underlying data.</w:t>
      </w:r>
    </w:p>
    <w:p>
      <w:pPr>
        <w:numPr>
          <w:ilvl w:val="0"/>
          <w:numId w:val="1021"/>
        </w:numPr>
        <w:pStyle w:val="Compact"/>
      </w:pPr>
      <w:r>
        <w:rPr>
          <w:bCs/>
          <w:b/>
        </w:rPr>
        <w:t xml:space="preserve">Primary Data:</w:t>
      </w:r>
      <w:r>
        <w:t xml:space="preserve"> </w:t>
      </w:r>
      <w:r>
        <w:t xml:space="preserve">The Detailed BOM (\'hwkxgsdj\') with specific emission factors for each component is treated as primary data for material impacts. The provided values for renewable energy usage (\'nlluxdjguu\'), energy intensity (\'xuspiwvhkw\'), product lifespan (\'ykrjiewuzw\'), and energy consumption in use (\'hjonhstzix\') are also treated as primary input.</w:t>
      </w:r>
    </w:p>
    <w:p>
      <w:pPr>
        <w:numPr>
          <w:ilvl w:val="0"/>
          <w:numId w:val="1021"/>
        </w:numPr>
        <w:pStyle w:val="Compact"/>
      </w:pPr>
      <w:r>
        <w:rPr>
          <w:bCs/>
          <w:b/>
        </w:rPr>
        <w:t xml:space="preserve">Secondary Data:</w:t>
      </w:r>
      <w:r>
        <w:t xml:space="preserve"> </w:t>
      </w:r>
      <w:r>
        <w:t xml:space="preserve">Industry-average emission factors from databases like Ecoinvent and DEFRA have been used for transport, grid electricity, and end-of-life scenarios where specific primary data was not available for \'Select Mode\', \'dsvqmfprms\', and \'Delivery Type\' or where placeholder values needed interpretation. The European grid emission factor for the use phase was an assumed average.</w:t>
      </w:r>
    </w:p>
    <w:p>
      <w:pPr>
        <w:numPr>
          <w:ilvl w:val="0"/>
          <w:numId w:val="1021"/>
        </w:numPr>
        <w:pStyle w:val="Compact"/>
      </w:pPr>
      <w:r>
        <w:rPr>
          <w:bCs/>
          <w:b/>
        </w:rPr>
        <w:t xml:space="preserve">Assumptions:</w:t>
      </w:r>
      <w:r>
        <w:t xml:space="preserve"> </w:t>
      </w:r>
      <w:r>
        <w:t xml:space="preserve">Assumptions were made for transport distances, specific transport mode emission factors, total product weight for transport, and the recycling credit methodology due to the use of placeholder parameters. These assumptions, while reasonable, introduce a level of uncertainty.</w:t>
      </w:r>
    </w:p>
    <w:p>
      <w:pPr>
        <w:numPr>
          <w:ilvl w:val="0"/>
          <w:numId w:val="1021"/>
        </w:numPr>
        <w:pStyle w:val="Compact"/>
      </w:pPr>
      <w:r>
        <w:rPr>
          <w:bCs/>
          <w:b/>
        </w:rPr>
        <w:t xml:space="preserve">LSR Standard:</w:t>
      </w:r>
      <w:r>
        <w:t xml:space="preserve"> </w:t>
      </w:r>
      <w:r>
        <w:t xml:space="preserve">While the LSR Standard is acknowledged, specific quantification for land use emissions/removals was not undertaken due to the nature of the product and the ongoing development of its detailed guidance.</w:t>
      </w:r>
    </w:p>
    <w:bookmarkEnd w:id="43"/>
    <w:bookmarkStart w:id="44" w:name="recommendations-for-improvement"/>
    <w:p>
      <w:pPr>
        <w:pStyle w:val="Heading3"/>
      </w:pPr>
      <w:r>
        <w:t xml:space="preserve">4.3. Recommendations for Improvement</w:t>
      </w:r>
    </w:p>
    <w:p>
      <w:pPr>
        <w:pStyle w:val="FirstParagraph"/>
      </w:pPr>
      <w:r>
        <w:t xml:space="preserve">Based on the identified hotspots, vmzkoqjqll can focus on the following strategies to reduce the carbon footprint of eynhmujtro:</w:t>
      </w:r>
    </w:p>
    <w:p>
      <w:pPr>
        <w:numPr>
          <w:ilvl w:val="0"/>
          <w:numId w:val="1022"/>
        </w:numPr>
        <w:pStyle w:val="Compact"/>
      </w:pPr>
      <w:r>
        <w:rPr>
          <w:bCs/>
          <w:b/>
        </w:rPr>
        <w:t xml:space="preserve">Enhance Use Phase Efficiency:</w:t>
      </w:r>
      <w:r>
        <w:t xml:space="preserve"> </w:t>
      </w:r>
      <w:r>
        <w:t xml:space="preserve">Given that the Use Phase is the largest hotspot, explore opportunities to drastically reduce the product\'s energy consumption during its operational life. This could involve optimizing power management, designing for lower power modes, and providing users with energy-saving tips.</w:t>
      </w:r>
    </w:p>
    <w:p>
      <w:pPr>
        <w:numPr>
          <w:ilvl w:val="0"/>
          <w:numId w:val="1022"/>
        </w:numPr>
        <w:pStyle w:val="Compact"/>
      </w:pPr>
      <w:r>
        <w:rPr>
          <w:bCs/>
          <w:b/>
        </w:rPr>
        <w:t xml:space="preserve">Increase Renewable Energy Sourcing:</w:t>
      </w:r>
      <w:r>
        <w:t xml:space="preserve"> </w:t>
      </w:r>
      <w:r>
        <w:t xml:space="preserve">While 70% renewable energy usage in manufacturing is commendable, aiming for 100% renewable energy or procuring renewable energy credits for the remaining 30% from the Chinese grid would significantly reduce Scope 2 emissions.</w:t>
      </w:r>
    </w:p>
    <w:p>
      <w:pPr>
        <w:numPr>
          <w:ilvl w:val="0"/>
          <w:numId w:val="1022"/>
        </w:numPr>
        <w:pStyle w:val="Compact"/>
      </w:pPr>
      <w:r>
        <w:rPr>
          <w:bCs/>
          <w:b/>
        </w:rPr>
        <w:t xml:space="preserve">Optimize Material Selection and Design:</w:t>
      </w:r>
      <w:r>
        <w:t xml:space="preserve"> </w:t>
      </w:r>
      <w:r>
        <w:t xml:space="preserve">Investigate alternative materials with lower embodied carbon, focusing on high-impact components like the circuit board. Explore lightweighting opportunities to reduce material consumption and transport impacts.</w:t>
      </w:r>
    </w:p>
    <w:p>
      <w:pPr>
        <w:numPr>
          <w:ilvl w:val="0"/>
          <w:numId w:val="1022"/>
        </w:numPr>
        <w:pStyle w:val="Compact"/>
      </w:pPr>
      <w:r>
        <w:rPr>
          <w:bCs/>
          <w:b/>
        </w:rPr>
        <w:t xml:space="preserve">Streamline Logistics:</w:t>
      </w:r>
      <w:r>
        <w:t xml:space="preserve"> </w:t>
      </w:r>
      <w:r>
        <w:t xml:space="preserve">Optimize inbound and outbound transportation routes, consider multi-modal transport options (e.g., rail or sea freight for longer distances to reduce road freight dependency), and collaborate with logistics partners using more fuel-efficient vehicles or alternative fuels.</w:t>
      </w:r>
    </w:p>
    <w:p>
      <w:pPr>
        <w:numPr>
          <w:ilvl w:val="0"/>
          <w:numId w:val="1022"/>
        </w:numPr>
        <w:pStyle w:val="Compact"/>
      </w:pPr>
      <w:r>
        <w:rPr>
          <w:bCs/>
          <w:b/>
        </w:rPr>
        <w:t xml:space="preserve">Strengthen Circular Economy Initiatives:</w:t>
      </w:r>
      <w:r>
        <w:t xml:space="preserve"> </w:t>
      </w:r>
      <w:r>
        <w:t xml:space="preserve">Continue to expand the existing comprehensive take-back program. Focus on increasing the actual rate of material recovery and ensuring components are designed for easier disassembly, repair, reuse, and high-quality recycling. Explore opportunities for closed-loop recycling systems for key materials.</w:t>
      </w:r>
    </w:p>
    <w:p>
      <w:pPr>
        <w:numPr>
          <w:ilvl w:val="0"/>
          <w:numId w:val="1022"/>
        </w:numPr>
        <w:pStyle w:val="Compact"/>
      </w:pPr>
      <w:r>
        <w:rPr>
          <w:bCs/>
          <w:b/>
        </w:rPr>
        <w:t xml:space="preserve">Data Quality Improvement:</w:t>
      </w:r>
      <w:r>
        <w:t xml:space="preserve"> </w:t>
      </w:r>
      <w:r>
        <w:t xml:space="preserve">Prioritize collecting primary data for all significant emission sources, especially for upstream material production, specific transport routes and modes, and detailed EoL processing. This will reduce reliance on secondary data and assumptions, leading to a more accurate PCF.</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eynhmujtro</dc:title>
  <dc:creator/>
  <dc:description>High-detail Product Carbon Footprint (PCF) analysis report for product eynhmujtro by vmzkoqjqll, conducted by Senior Sustainability Consultant itzfmsrmip, adhering to GHG Protocol standards and 2026 updates.</dc:description>
  <dc:language>en</dc:language>
  <cp:keywords/>
  <dcterms:created xsi:type="dcterms:W3CDTF">2026-05-30T16:44:45Z</dcterms:created>
  <dcterms:modified xsi:type="dcterms:W3CDTF">2026-05-30T16:44:45Z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