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exkpzenhdl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exkpzenhdl</w:t>
      </w:r>
    </w:p>
    <w:p>
      <w:pPr>
        <w:pStyle w:val="BodyText"/>
      </w:pPr>
      <w:r>
        <w:rPr>
          <w:bCs/>
          <w:b/>
        </w:rPr>
        <w:t xml:space="preserve">Company:</w:t>
      </w:r>
      <w:r>
        <w:t xml:space="preserve"> </w:t>
      </w:r>
      <w:r>
        <w:t xml:space="preserve">fhytommseq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quivhgojyu</w:t>
      </w:r>
    </w:p>
    <w:p>
      <w:pPr>
        <w:pStyle w:val="BodyText"/>
      </w:pPr>
      <w:r>
        <w:t xml:space="preserve">This report is generated based on available data and industry standards. Illustrative data has been used where specific parameters were provided as placeholders.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25,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exkpzenhdl</w:t>
      </w:r>
      <w:r>
        <w:t xml:space="preserve">, manufactured by</w:t>
      </w:r>
      <w:r>
        <w:t xml:space="preserve"> </w:t>
      </w:r>
      <w:r>
        <w:rPr>
          <w:bCs/>
          <w:b/>
        </w:rPr>
        <w:t xml:space="preserve">fhytommseq</w:t>
      </w:r>
      <w:r>
        <w:t xml:space="preserve">.</w:t>
      </w:r>
      <w:r>
        <w:t xml:space="preserve"> </w:t>
      </w:r>
      <w:r>
        <w:t xml:space="preserve">The analysis was conducted by Senior Sustainability Consultant</w:t>
      </w:r>
      <w:r>
        <w:t xml:space="preserve"> </w:t>
      </w:r>
      <w:r>
        <w:rPr>
          <w:bCs/>
          <w:b/>
        </w:rPr>
        <w:t xml:space="preserve">quivhgojyu</w:t>
      </w:r>
      <w:r>
        <w:t xml:space="preserve">, strictly adhering to the Greenhouse Gas (GHG) Protocol standards,</w:t>
      </w:r>
      <w:r>
        <w:t xml:space="preserve"> </w:t>
      </w:r>
      <w:r>
        <w:t xml:space="preserve">including the upcoming 2026 Land Sector and Removals (LSR) Standard update and the prospective 95% Scope 3 coverage requirement. The assessment covers</w:t>
      </w:r>
      <w:r>
        <w:t xml:space="preserve"> </w:t>
      </w:r>
      <w:r>
        <w:t xml:space="preserve">the product\'s lifecycle from raw material extraction to end-of-life, within a factory-gate system boundary, with a geographic scope focused on China for</w:t>
      </w:r>
      <w:r>
        <w:t xml:space="preserve"> </w:t>
      </w:r>
      <w:r>
        <w:t xml:space="preserve">final production and Europe for the supply chain. Where specific data was provided as a placeholder, illustrative example data has been utilized to</w:t>
      </w:r>
      <w:r>
        <w:t xml:space="preserve"> </w:t>
      </w:r>
      <w:r>
        <w:t xml:space="preserve">demonstrate the comprehensive methodology.</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initial phase of the PCF analysis establishes the boundaries and specific parameters for accurate measurement.</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product exkpzenhdl. This unit provides a reference basis for quantifying inputs and outputs throughout the product\'s life cycle.</w:t>
      </w:r>
    </w:p>
    <w:p>
      <w:pPr>
        <w:numPr>
          <w:ilvl w:val="0"/>
          <w:numId w:val="1001"/>
        </w:numPr>
        <w:pStyle w:val="Compact"/>
      </w:pPr>
      <w:r>
        <w:rPr>
          <w:bCs/>
          <w:b/>
        </w:rPr>
        <w:t xml:space="preserve">System Boundary:</w:t>
      </w:r>
      <w:r>
        <w:t xml:space="preserve"> </w:t>
      </w:r>
      <w:r>
        <w:t xml:space="preserve">The chosen system boundary is</w:t>
      </w:r>
      <w:r>
        <w:t xml:space="preserve"> </w:t>
      </w:r>
      <w:r>
        <w:rPr>
          <w:bCs/>
          <w:b/>
        </w:rPr>
        <w:t xml:space="preserve">factory_gate</w:t>
      </w:r>
      <w:r>
        <w:t xml:space="preserve">. This means the assessment primarily focuses on emissions occurring up to the point the product leaves the manufacturing facility. However, in line with GHG Protocol\'s comprehensive approach, significant upstream (supply chain) and downstream (use phase, end-of-life) emissions are also considered to provide a holistic view of the product\'s impact.</w:t>
      </w:r>
    </w:p>
    <w:p>
      <w:pPr>
        <w:numPr>
          <w:ilvl w:val="0"/>
          <w:numId w:val="1001"/>
        </w:numPr>
        <w:pStyle w:val="Compact"/>
      </w:pPr>
      <w:r>
        <w:rPr>
          <w:bCs/>
          <w:b/>
        </w:rPr>
        <w:t xml:space="preserve">Geographic Scope:</w:t>
      </w:r>
      <w:r>
        <w:t xml:space="preserve"> </w:t>
      </w:r>
      <w:r>
        <w:t xml:space="preserve">The final production country is identified as</w:t>
      </w:r>
      <w:r>
        <w:t xml:space="preserve"> </w:t>
      </w:r>
      <w:r>
        <w:rPr>
          <w:bCs/>
          <w:b/>
        </w:rPr>
        <w:t xml:space="preserve">China</w:t>
      </w:r>
      <w:r>
        <w:t xml:space="preserve">, with a supply chain focus on</w:t>
      </w:r>
      <w:r>
        <w:t xml:space="preserve"> </w:t>
      </w:r>
      <w:r>
        <w:rPr>
          <w:bCs/>
          <w:b/>
        </w:rPr>
        <w:t xml:space="preserve">Europe Focused</w:t>
      </w:r>
      <w:r>
        <w:t xml:space="preserve">. This geographical context influences the selection of region-specific emission factors for energy, manufacturing processes, and transportation.</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the globally recognized standard for greenhouse gas accounting. This ensures consistency, transparency, and comparability of emissions data.</w:t>
      </w:r>
    </w:p>
    <w:p>
      <w:pPr>
        <w:numPr>
          <w:ilvl w:val="0"/>
          <w:numId w:val="1001"/>
        </w:numPr>
        <w:pStyle w:val="Compact"/>
      </w:pPr>
      <w:r>
        <w:rPr>
          <w:bCs/>
          <w:b/>
        </w:rPr>
        <w:t xml:space="preserve">Allocation:</w:t>
      </w:r>
      <w:r>
        <w:t xml:space="preserve"> </w:t>
      </w:r>
      <w:r>
        <w:t xml:space="preserve">Emissions are allocated directly to the functional unit based on mass and energy flows throughout the life cycle stages.</w:t>
      </w:r>
    </w:p>
    <w:bookmarkEnd w:id="23"/>
    <w:p>
      <w:r>
        <w:pict>
          <v:rect style="width:0;height:1.5pt" o:hralign="center" o:hrstd="t" o:hr="t"/>
        </w:pict>
      </w:r>
    </w:p>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product\'s lifecycle stages and the data collection strategy, including specific parameters provided.</w:t>
      </w:r>
      <w:r>
        <w:t xml:space="preserve"> </w:t>
      </w:r>
      <w:r>
        <w:t xml:space="preserve">Due to the nature of the prompt, where detailed data was provided as a string placeholder (e.g., "duylhwfe"), illustrative example data has been constructed</w:t>
      </w:r>
      <w:r>
        <w:t xml:space="preserve"> </w:t>
      </w:r>
      <w:r>
        <w:t xml:space="preserve">following the specified format to demonstrate the methodology.</w:t>
      </w:r>
    </w:p>
    <w:bookmarkStart w:id="25" w:name="X27a25553588624fb7137dac639b913f4bd3af60"/>
    <w:p>
      <w:pPr>
        <w:pStyle w:val="Heading3"/>
      </w:pPr>
      <w:r>
        <w:t xml:space="preserve">Material Acquisition &amp; Pre-processing (Upstream - Scope 3)</w:t>
      </w:r>
    </w:p>
    <w:p>
      <w:pPr>
        <w:pStyle w:val="FirstParagraph"/>
      </w:pPr>
      <w:r>
        <w:t xml:space="preserve">This stage includes the extraction of raw materials, their processing into usable forms, and the manufacturing of components.</w:t>
      </w:r>
      <w:r>
        <w:t xml:space="preserve"> </w:t>
      </w:r>
      <w:r>
        <w:t xml:space="preserve">The Detailed Bill of Materials (BOM) for exkpzenhdl, as specified by the placeholder "duylhwfe", would typically be</w:t>
      </w:r>
      <w:r>
        <w:t xml:space="preserve"> </w:t>
      </w:r>
      <w:r>
        <w:t xml:space="preserve">the primary data source for material inputs. For this report, an illustrative BOM is presented below, adhering to the</w:t>
      </w:r>
      <w:r>
        <w:t xml:space="preserve"> </w:t>
      </w:r>
      <w:r>
        <w:t xml:space="preserve">specified format (ID, Description, Category, Process, Qty, Unit, Emission Factor, Total Carbon).</w:t>
      </w:r>
      <w:r>
        <w:t xml:space="preserve"> </w:t>
      </w:r>
      <w:r>
        <w:t xml:space="preserve">Industry-standard emission factors from databases like Ecoinvent and DEFRA would be applied for materials and processes.</w:t>
      </w:r>
    </w:p>
    <w:bookmarkStart w:id="24" w:name="Xab6f421fe06893147a25bdc9dd3f2a340fabdc7"/>
    <w:p>
      <w:pPr>
        <w:pStyle w:val="Heading4"/>
      </w:pPr>
      <w:r>
        <w:t xml:space="preserve">Illustrative Detailed Bill of Materials (BOM) for exkpzenhdl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Subtotal Material Emissions:</w:t>
            </w:r>
          </w:p>
        </w:tc>
        <w:tc>
          <w:tcPr/>
          <w:p>
            <w:pPr>
              <w:pStyle w:val="Compact"/>
              <w:jc w:val="left"/>
            </w:pPr>
            <w:r>
              <w:rPr>
                <w:bCs/>
                <w:b/>
              </w:rPr>
              <w:t xml:space="preserve">12.25</w:t>
            </w:r>
          </w:p>
        </w:tc>
      </w:tr>
    </w:tbl>
    <w:p>
      <w:pPr>
        <w:pStyle w:val="BodyText"/>
      </w:pPr>
      <w:r>
        <w:rPr>
          <w:iCs/>
          <w:i/>
        </w:rPr>
        <w:t xml:space="preserve">Note: The "Emission Factor" and "Total Carbon" values in the table above are illustrative examples. Actual calculations would utilize specific, verified emission factors from robust LCI databases for each material and process.</w:t>
      </w:r>
    </w:p>
    <w:bookmarkEnd w:id="24"/>
    <w:bookmarkEnd w:id="25"/>
    <w:bookmarkStart w:id="26" w:name="X1f6b6bb31c35bc1c09bae79b09196390ba64403"/>
    <w:p>
      <w:pPr>
        <w:pStyle w:val="Heading3"/>
      </w:pPr>
      <w:r>
        <w:t xml:space="preserve">Production Phase (Direct &amp; Indirect - Scope 1 &amp; 2)</w:t>
      </w:r>
    </w:p>
    <w:p>
      <w:pPr>
        <w:pStyle w:val="FirstParagraph"/>
      </w:pPr>
      <w:r>
        <w:t xml:space="preserve">The manufacturing of exkpzenhdl takes place in China. Key data for this phase includes:</w:t>
      </w:r>
    </w:p>
    <w:p>
      <w:pPr>
        <w:numPr>
          <w:ilvl w:val="0"/>
          <w:numId w:val="1002"/>
        </w:numPr>
        <w:pStyle w:val="Compact"/>
      </w:pPr>
      <w:r>
        <w:rPr>
          <w:bCs/>
          <w:b/>
        </w:rPr>
        <w:t xml:space="preserve">Renewable Energy Usage (ekeimnzwhr):</w:t>
      </w:r>
      <w:r>
        <w:t xml:space="preserve"> </w:t>
      </w:r>
      <w:r>
        <w:t xml:space="preserve">An illustrative value of</w:t>
      </w:r>
      <w:r>
        <w:t xml:space="preserve"> </w:t>
      </w:r>
      <w:r>
        <w:rPr>
          <w:bCs/>
          <w:b/>
        </w:rPr>
        <w:t xml:space="preserve">30% renewable energy</w:t>
      </w:r>
      <w:r>
        <w:t xml:space="preserve"> </w:t>
      </w:r>
      <w:r>
        <w:t xml:space="preserve">is assumed for the production facility. This impacts the grid electricity emission factor for the non-renewable portion.</w:t>
      </w:r>
    </w:p>
    <w:p>
      <w:pPr>
        <w:numPr>
          <w:ilvl w:val="0"/>
          <w:numId w:val="1002"/>
        </w:numPr>
        <w:pStyle w:val="Compact"/>
      </w:pPr>
      <w:r>
        <w:rPr>
          <w:bCs/>
          <w:b/>
        </w:rPr>
        <w:t xml:space="preserve">Energy Intensity (yqkztevvzm):</w:t>
      </w:r>
      <w:r>
        <w:t xml:space="preserve"> </w:t>
      </w:r>
      <w:r>
        <w:t xml:space="preserve">An illustrative energy intensity of</w:t>
      </w:r>
      <w:r>
        <w:t xml:space="preserve"> </w:t>
      </w:r>
      <w:r>
        <w:rPr>
          <w:bCs/>
          <w:b/>
        </w:rPr>
        <w:t xml:space="preserve">5.0 kWh/unit</w:t>
      </w:r>
      <w:r>
        <w:t xml:space="preserve"> </w:t>
      </w:r>
      <w:r>
        <w:t xml:space="preserve">is used for the production of one unit of exkpzenhdl.</w:t>
      </w:r>
    </w:p>
    <w:p>
      <w:pPr>
        <w:pStyle w:val="FirstParagraph"/>
      </w:pPr>
      <w:r>
        <w:t xml:space="preserve">Emissions from direct combustion in owned or controlled sources (Scope 1) and purchased electricity (Scope 2) are accounted for here.</w:t>
      </w:r>
      <w:r>
        <w:t xml:space="preserve"> </w:t>
      </w:r>
      <w:r>
        <w:t xml:space="preserve">The emission factor for grid electricity in China is a critical secondary data point. In 2021, China\'s comprehensive electricity footprint was 0.6835 tCO2e/MWh (0.6835 kg CO2e/kWh), with variations across provinces. The 2022 emission factor for the power generation sector was reported as 0.5703 CO2/MWh. For illustrative purposes, an average grid emission factor of</w:t>
      </w:r>
      <w:r>
        <w:t xml:space="preserve"> </w:t>
      </w:r>
      <w:r>
        <w:rPr>
          <w:bCs/>
          <w:b/>
        </w:rPr>
        <w:t xml:space="preserve">0.6 kg CO2e/kWh</w:t>
      </w:r>
      <w:r>
        <w:t xml:space="preserve"> </w:t>
      </w:r>
      <w:r>
        <w:t xml:space="preserve">is used.</w:t>
      </w:r>
    </w:p>
    <w:bookmarkEnd w:id="26"/>
    <w:bookmarkStart w:id="27" w:name="Xa1d8eb1017c9433f871ad3f6273ddc9b35a7d84"/>
    <w:p>
      <w:pPr>
        <w:pStyle w:val="Heading3"/>
      </w:pPr>
      <w:r>
        <w:t xml:space="preserve">Transportation &amp; Distribution (Upstream &amp; Downstream - Scope 3)</w:t>
      </w:r>
    </w:p>
    <w:p>
      <w:pPr>
        <w:pStyle w:val="FirstParagraph"/>
      </w:pPr>
      <w:r>
        <w:t xml:space="preserve">Logistics data for the supply chain, as specified by the placeholders, are incorporated:</w:t>
      </w:r>
    </w:p>
    <w:p>
      <w:pPr>
        <w:numPr>
          <w:ilvl w:val="0"/>
          <w:numId w:val="1003"/>
        </w:numPr>
        <w:pStyle w:val="Compact"/>
      </w:pPr>
      <w:r>
        <w:rPr>
          <w:bCs/>
          <w:b/>
        </w:rPr>
        <w:t xml:space="preserve">Primary Transport Mode (Select Mode):</w:t>
      </w:r>
      <w:r>
        <w:t xml:space="preserve"> </w:t>
      </w:r>
      <w:r>
        <w:t xml:space="preserve">Illustratively,</w:t>
      </w:r>
      <w:r>
        <w:t xml:space="preserve"> </w:t>
      </w:r>
      <w:r>
        <w:rPr>
          <w:bCs/>
          <w:b/>
        </w:rPr>
        <w:t xml:space="preserve">Ocean Freight (Container Ship)</w:t>
      </w:r>
      <w:r>
        <w:t xml:space="preserve"> </w:t>
      </w:r>
      <w:r>
        <w:t xml:space="preserve">is assumed for long-haul transport from China to Europe.</w:t>
      </w:r>
    </w:p>
    <w:p>
      <w:pPr>
        <w:numPr>
          <w:ilvl w:val="0"/>
          <w:numId w:val="1003"/>
        </w:numPr>
        <w:pStyle w:val="Compact"/>
      </w:pPr>
      <w:r>
        <w:rPr>
          <w:bCs/>
          <w:b/>
        </w:rPr>
        <w:t xml:space="preserve">Primary Transport Distance (wwgpzyyylt):</w:t>
      </w:r>
      <w:r>
        <w:t xml:space="preserve"> </w:t>
      </w:r>
      <w:r>
        <w:t xml:space="preserve">An illustrative distance of</w:t>
      </w:r>
      <w:r>
        <w:t xml:space="preserve"> </w:t>
      </w:r>
      <w:r>
        <w:rPr>
          <w:bCs/>
          <w:b/>
        </w:rPr>
        <w:t xml:space="preserve">8,000 km</w:t>
      </w:r>
      <w:r>
        <w:t xml:space="preserve"> </w:t>
      </w:r>
      <w:r>
        <w:t xml:space="preserve">is used.</w:t>
      </w:r>
    </w:p>
    <w:p>
      <w:pPr>
        <w:numPr>
          <w:ilvl w:val="0"/>
          <w:numId w:val="1003"/>
        </w:numPr>
        <w:pStyle w:val="Compact"/>
      </w:pPr>
      <w:r>
        <w:rPr>
          <w:bCs/>
          <w:b/>
        </w:rPr>
        <w:t xml:space="preserve">Last-Mile Delivery Channel (Delivery Type):</w:t>
      </w:r>
      <w:r>
        <w:t xml:space="preserve"> </w:t>
      </w:r>
      <w:r>
        <w:t xml:space="preserve">Illustratively,</w:t>
      </w:r>
      <w:r>
        <w:t xml:space="preserve"> </w:t>
      </w:r>
      <w:r>
        <w:rPr>
          <w:bCs/>
          <w:b/>
        </w:rPr>
        <w:t xml:space="preserve">Road Freight (Heavy-Duty Truck)</w:t>
      </w:r>
      <w:r>
        <w:t xml:space="preserve"> </w:t>
      </w:r>
      <w:r>
        <w:t xml:space="preserve">is assumed for last-mile delivery to customers in Europe.</w:t>
      </w:r>
    </w:p>
    <w:p>
      <w:pPr>
        <w:numPr>
          <w:ilvl w:val="0"/>
          <w:numId w:val="1003"/>
        </w:numPr>
        <w:pStyle w:val="Compact"/>
      </w:pPr>
      <w:r>
        <w:rPr>
          <w:bCs/>
          <w:b/>
        </w:rPr>
        <w:t xml:space="preserve">Last-Mile Delivery Distance:</w:t>
      </w:r>
      <w:r>
        <w:t xml:space="preserve"> </w:t>
      </w:r>
      <w:r>
        <w:t xml:space="preserve">An illustrative distance of</w:t>
      </w:r>
      <w:r>
        <w:t xml:space="preserve"> </w:t>
      </w:r>
      <w:r>
        <w:rPr>
          <w:bCs/>
          <w:b/>
        </w:rPr>
        <w:t xml:space="preserve">500 km</w:t>
      </w:r>
      <w:r>
        <w:t xml:space="preserve"> </w:t>
      </w:r>
      <w:r>
        <w:t xml:space="preserve">is used.</w:t>
      </w:r>
    </w:p>
    <w:p>
      <w:pPr>
        <w:pStyle w:val="FirstParagraph"/>
      </w:pPr>
      <w:r>
        <w:t xml:space="preserve">Emission factors for transportation modes are sourced from industry standards. For ocean freight, average container ship emission intensity is approximately 0.016 kg CO2e/tonne-km. For road freight, an illustrative factor of 0.1 kg CO2e/tonne-km is used for heavy-duty trucks.</w:t>
      </w:r>
    </w:p>
    <w:bookmarkEnd w:id="27"/>
    <w:bookmarkStart w:id="28" w:name="use-phase-downstream---scope-3"/>
    <w:p>
      <w:pPr>
        <w:pStyle w:val="Heading3"/>
      </w:pPr>
      <w:r>
        <w:t xml:space="preserve">Use Phase (Downstream - Scope 3)</w:t>
      </w:r>
    </w:p>
    <w:p>
      <w:pPr>
        <w:pStyle w:val="FirstParagraph"/>
      </w:pPr>
      <w:r>
        <w:t xml:space="preserve">Emissions associated with the product\'s usage by the end-consumer are calculated based on:</w:t>
      </w:r>
    </w:p>
    <w:p>
      <w:pPr>
        <w:numPr>
          <w:ilvl w:val="0"/>
          <w:numId w:val="1004"/>
        </w:numPr>
        <w:pStyle w:val="Compact"/>
      </w:pPr>
      <w:r>
        <w:rPr>
          <w:bCs/>
          <w:b/>
        </w:rPr>
        <w:t xml:space="preserve">Product Lifespan (gwgsoqjeug):</w:t>
      </w:r>
      <w:r>
        <w:t xml:space="preserve"> </w:t>
      </w:r>
      <w:r>
        <w:t xml:space="preserve">An illustrative lifespan of</w:t>
      </w:r>
      <w:r>
        <w:t xml:space="preserve"> </w:t>
      </w:r>
      <w:r>
        <w:rPr>
          <w:bCs/>
          <w:b/>
        </w:rPr>
        <w:t xml:space="preserve">5 years</w:t>
      </w:r>
      <w:r>
        <w:t xml:space="preserve"> </w:t>
      </w:r>
      <w:r>
        <w:t xml:space="preserve">is assumed.</w:t>
      </w:r>
    </w:p>
    <w:p>
      <w:pPr>
        <w:numPr>
          <w:ilvl w:val="0"/>
          <w:numId w:val="1004"/>
        </w:numPr>
        <w:pStyle w:val="Compact"/>
      </w:pPr>
      <w:r>
        <w:rPr>
          <w:bCs/>
          <w:b/>
        </w:rPr>
        <w:t xml:space="preserve">Energy Consumption in Use (zydwoqtrrt):</w:t>
      </w:r>
      <w:r>
        <w:t xml:space="preserve"> </w:t>
      </w:r>
      <w:r>
        <w:t xml:space="preserve">An illustrative consumption of</w:t>
      </w:r>
      <w:r>
        <w:t xml:space="preserve"> </w:t>
      </w:r>
      <w:r>
        <w:rPr>
          <w:bCs/>
          <w:b/>
        </w:rPr>
        <w:t xml:space="preserve">10 kWh/year</w:t>
      </w:r>
      <w:r>
        <w:t xml:space="preserve"> </w:t>
      </w:r>
      <w:r>
        <w:t xml:space="preserve">is used for the product\'s operation.</w:t>
      </w:r>
    </w:p>
    <w:p>
      <w:pPr>
        <w:pStyle w:val="FirstParagraph"/>
      </w:pPr>
      <w:r>
        <w:t xml:space="preserve">The grid electricity mix of the consumption region (Europe Focused) would be used to calculate these emissions. For simplicity in this illustrative report, we will assume an average European grid mix emission factor, although more detailed analysis would require country-specific data. An illustrative factor of</w:t>
      </w:r>
      <w:r>
        <w:t xml:space="preserve"> </w:t>
      </w:r>
      <w:r>
        <w:rPr>
          <w:bCs/>
          <w:b/>
        </w:rPr>
        <w:t xml:space="preserve">0.3 kg CO2e/kWh</w:t>
      </w:r>
      <w:r>
        <w:t xml:space="preserve"> </w:t>
      </w:r>
      <w:r>
        <w:t xml:space="preserve">is used for European grid mix.</w:t>
      </w:r>
    </w:p>
    <w:bookmarkEnd w:id="28"/>
    <w:bookmarkStart w:id="29" w:name="end-of-life-eol-downstream---scope-3"/>
    <w:p>
      <w:pPr>
        <w:pStyle w:val="Heading3"/>
      </w:pPr>
      <w:r>
        <w:t xml:space="preserve">End-of-Life (EoL) (Downstream - Scope 3)</w:t>
      </w:r>
    </w:p>
    <w:p>
      <w:pPr>
        <w:pStyle w:val="FirstParagraph"/>
      </w:pPr>
      <w:r>
        <w:t xml:space="preserve">The end-of-life stage accounts for disposal or recovery of the product:</w:t>
      </w:r>
    </w:p>
    <w:p>
      <w:pPr>
        <w:numPr>
          <w:ilvl w:val="0"/>
          <w:numId w:val="1005"/>
        </w:numPr>
        <w:pStyle w:val="Compact"/>
      </w:pPr>
      <w:r>
        <w:rPr>
          <w:bCs/>
          <w:b/>
        </w:rPr>
        <w:t xml:space="preserve">Recyclability Percentage (rsgydkrvdt):</w:t>
      </w:r>
      <w:r>
        <w:t xml:space="preserve"> </w:t>
      </w:r>
      <w:r>
        <w:t xml:space="preserve">An illustrative</w:t>
      </w:r>
      <w:r>
        <w:t xml:space="preserve"> </w:t>
      </w:r>
      <w:r>
        <w:rPr>
          <w:bCs/>
          <w:b/>
        </w:rPr>
        <w:t xml:space="preserve">70% recyclability</w:t>
      </w:r>
      <w:r>
        <w:t xml:space="preserve"> </w:t>
      </w:r>
      <w:r>
        <w:t xml:space="preserve">is considered.</w:t>
      </w:r>
    </w:p>
    <w:p>
      <w:pPr>
        <w:numPr>
          <w:ilvl w:val="0"/>
          <w:numId w:val="1005"/>
        </w:numPr>
        <w:pStyle w:val="Compact"/>
      </w:pPr>
      <w:r>
        <w:rPr>
          <w:bCs/>
          <w:b/>
        </w:rPr>
        <w:t xml:space="preserve">Circular/Take-back Programs (dktoypwoyy):</w:t>
      </w:r>
      <w:r>
        <w:t xml:space="preserve"> </w:t>
      </w:r>
      <w:r>
        <w:t xml:space="preserve">An illustrative</w:t>
      </w:r>
      <w:r>
        <w:t xml:space="preserve"> </w:t>
      </w:r>
      <w:r>
        <w:rPr>
          <w:bCs/>
          <w:b/>
        </w:rPr>
        <w:t xml:space="preserve">Basic Take-back Program</w:t>
      </w:r>
      <w:r>
        <w:t xml:space="preserve"> </w:t>
      </w:r>
      <w:r>
        <w:t xml:space="preserve">is in place, facilitating the collection and sorting of recyclable materials.</w:t>
      </w:r>
    </w:p>
    <w:p>
      <w:pPr>
        <w:pStyle w:val="FirstParagraph"/>
      </w:pPr>
      <w:r>
        <w:t xml:space="preserve">Emissions (or avoided emissions/credits) for recycling are calculated based on the recyclability percentage. Recycled plastics generally have a lower carbon footprint than virgin plastics (at least 50% less). The process of recycling itself still incurs emissions, for example, from energy consumption during collection, sorting, and reprocessing. An illustrative emission factor of</w:t>
      </w:r>
      <w:r>
        <w:t xml:space="preserve"> </w:t>
      </w:r>
      <w:r>
        <w:rPr>
          <w:bCs/>
          <w:b/>
        </w:rPr>
        <w:t xml:space="preserve">0.2 kg CO2e/kg</w:t>
      </w:r>
      <w:r>
        <w:t xml:space="preserve"> </w:t>
      </w:r>
      <w:r>
        <w:t xml:space="preserve">for recycling process is applied for the recyclable portion, while the non-recyclable portion is assumed to go to landfill with an illustrative emission factor of</w:t>
      </w:r>
      <w:r>
        <w:t xml:space="preserve"> </w:t>
      </w:r>
      <w:r>
        <w:rPr>
          <w:bCs/>
          <w:b/>
        </w:rPr>
        <w:t xml:space="preserve">0.033 kg CO2e/kg</w:t>
      </w:r>
      <w:r>
        <w:t xml:space="preserve"> </w:t>
      </w:r>
      <w:r>
        <w:t xml:space="preserve">(based on plastic waste to landfill).</w:t>
      </w:r>
    </w:p>
    <w:bookmarkEnd w:id="29"/>
    <w:bookmarkEnd w:id="30"/>
    <w:p>
      <w:r>
        <w:pict>
          <v:rect style="width:0;height:1.5pt" o:hralign="center" o:hrstd="t" o:hr="t"/>
        </w:pict>
      </w:r>
    </w:p>
    <w:bookmarkStart w:id="43" w:name="Xb404f6bea4a0013006ec7a9103609d9ea6643c1"/>
    <w:p>
      <w:pPr>
        <w:pStyle w:val="Heading2"/>
      </w:pPr>
      <w:r>
        <w:t xml:space="preserve">4. Calculate Emissions (Activity * Emission Factor = CO2e)</w:t>
      </w:r>
    </w:p>
    <w:p>
      <w:pPr>
        <w:pStyle w:val="FirstParagraph"/>
      </w:pPr>
      <w:r>
        <w:t xml:space="preserve">Emissions are calculated by multiplying activity data (e.g., kg of material, kWh of energy, tonne-km of transport) by their respective emission factors. This report categorizes emissions according to the GHG Protocol\'s scopes.</w:t>
      </w:r>
    </w:p>
    <w:bookmarkStart w:id="31" w:name="ghg-protocol-scope-categorization"/>
    <w:p>
      <w:pPr>
        <w:pStyle w:val="Heading3"/>
      </w:pPr>
      <w:r>
        <w:t xml:space="preserve">GHG Protocol Scope Categorization</w:t>
      </w:r>
    </w:p>
    <w:p>
      <w:pPr>
        <w:numPr>
          <w:ilvl w:val="0"/>
          <w:numId w:val="1006"/>
        </w:numPr>
        <w:pStyle w:val="Compact"/>
      </w:pPr>
      <w:r>
        <w:rPr>
          <w:bCs/>
          <w:b/>
        </w:rPr>
        <w:t xml:space="preserve">Scope 1 (Direct Emissions):</w:t>
      </w:r>
      <w:r>
        <w:t xml:space="preserve"> </w:t>
      </w:r>
      <w:r>
        <w:t xml:space="preserve">Emissions from sources owned or controlled by fhytommseq. For the</w:t>
      </w:r>
      <w:r>
        <w:t xml:space="preserve"> </w:t>
      </w:r>
      <w:r>
        <w:rPr>
          <w:bCs/>
          <w:b/>
        </w:rPr>
        <w:t xml:space="preserve">factory_gate</w:t>
      </w:r>
      <w:r>
        <w:t xml:space="preserve"> </w:t>
      </w:r>
      <w:r>
        <w:t xml:space="preserve">boundary, this would primarily include direct fuel combustion in manufacturing operations (e.g., boilers, owned vehicles on-site) and process emissions. Given the placeholder nature of "Detailed Bill of Materials (BOM): duylhwfe" and "Process" not specifying direct fuel use, we will assume direct combustion in manufacturing is negligible for this illustrative product, or integrated into an overall process emission factor for materials.</w:t>
      </w:r>
    </w:p>
    <w:p>
      <w:pPr>
        <w:numPr>
          <w:ilvl w:val="0"/>
          <w:numId w:val="1006"/>
        </w:numPr>
        <w:pStyle w:val="Compact"/>
      </w:pPr>
      <w:r>
        <w:rPr>
          <w:bCs/>
          <w:b/>
        </w:rPr>
        <w:t xml:space="preserve">Scope 2 (Indirect Emissions from Purchased Energy):</w:t>
      </w:r>
      <w:r>
        <w:t xml:space="preserve"> </w:t>
      </w:r>
      <w:r>
        <w:t xml:space="preserve">Emissions from the generation of purchased electricity, heat, or steam consumed by fhytommseq\'s operations. This primarily covers electricity consumed in the manufacturing plant in China.</w:t>
      </w:r>
    </w:p>
    <w:p>
      <w:pPr>
        <w:numPr>
          <w:ilvl w:val="0"/>
          <w:numId w:val="1006"/>
        </w:numPr>
        <w:pStyle w:val="Compact"/>
      </w:pPr>
      <w:r>
        <w:rPr>
          <w:bCs/>
          <w:b/>
        </w:rPr>
        <w:t xml:space="preserve">Scope 3 (Other Indirect Emissions):</w:t>
      </w:r>
      <w:r>
        <w:t xml:space="preserve"> </w:t>
      </w:r>
      <w:r>
        <w:t xml:space="preserve">All other indirect emissions occurring in the value chain, both upstream and downstream. This includes emissions from raw material extraction, transportation, product use, and end-of-life treatment. For many companies, Scope 3 represents the majority (70-90%) of their total carbon footprint.</w:t>
      </w:r>
    </w:p>
    <w:bookmarkEnd w:id="31"/>
    <w:bookmarkStart w:id="32" w:name="lsr-update-scope-3-compliance"/>
    <w:p>
      <w:pPr>
        <w:pStyle w:val="Heading3"/>
      </w:pPr>
      <w:r>
        <w:t xml:space="preserve">2026 LSR Update &amp; Scope 3 Compliance</w:t>
      </w:r>
    </w:p>
    <w:p>
      <w:pPr>
        <w:pStyle w:val="FirstParagraph"/>
      </w:pPr>
      <w:r>
        <w:t xml:space="preserve">This analysis anticipates the application of the Land Sector and Removals (LSR) Standard. The LSR Standard, released on January 30, 2026, and effective January 1, 2027, provides comprehensive guidance for quantifying and reporting land emissions, CO2 removals, and technological CO2 removals. While exkpzenhdl\'s direct manufacturing processes may not have significant land-use change impacts, upstream agricultural or forestry components in the supply chain (if present in the actual BOM) would be accounted for under this standard, allowing for tracking of land-based emissions and removals.</w:t>
      </w:r>
    </w:p>
    <w:p>
      <w:pPr>
        <w:pStyle w:val="BodyText"/>
      </w:pPr>
      <w:r>
        <w:t xml:space="preserve">Furthermore, this report aims for at least</w:t>
      </w:r>
      <w:r>
        <w:t xml:space="preserve"> </w:t>
      </w:r>
      <w:r>
        <w:rPr>
          <w:bCs/>
          <w:b/>
        </w:rPr>
        <w:t xml:space="preserve">95% coverage for Scope 3 reporting</w:t>
      </w:r>
      <w:r>
        <w:t xml:space="preserve">, aligning with the prospective 2026 GHG Protocol requirements. This emphasizes quantifying all major Scope 3 emission sources and transparently disclosing any exclusions.</w:t>
      </w:r>
    </w:p>
    <w:bookmarkEnd w:id="32"/>
    <w:bookmarkStart w:id="42" w:name="illustrative-emissions-calculation"/>
    <w:p>
      <w:pPr>
        <w:pStyle w:val="Heading3"/>
      </w:pPr>
      <w:r>
        <w:t xml:space="preserve">Illustrative Emissions Calculation</w:t>
      </w:r>
    </w:p>
    <w:bookmarkStart w:id="33" w:name="scope-1-emissions-direct-operations"/>
    <w:p>
      <w:pPr>
        <w:pStyle w:val="Heading4"/>
      </w:pPr>
      <w:r>
        <w:t xml:space="preserve">Scope 1 Emissions (Direct Operations)</w:t>
      </w:r>
    </w:p>
    <w:p>
      <w:pPr>
        <w:pStyle w:val="FirstParagraph"/>
      </w:pPr>
      <w:r>
        <w:t xml:space="preserve">For a \'factory_gate\' boundary and in the absence of specific direct combustion fuel data for product exkpzenhdl, Scope 1 emissions are considered minimal and primarily embedded within the manufacturing processes accounted for in Scope 3 (purchased goods) or Scope 2 (purchased electricity if generated on-site from owned assets that are not for sale). Given the focus on "Energy Intensity (kWh/unit)" for the production phase, direct combustion is not explicitly calculated here, or assumed to be zero for this product\'s manufacturing process.</w:t>
      </w:r>
    </w:p>
    <w:p>
      <w:pPr>
        <w:pStyle w:val="BodyText"/>
      </w:pPr>
      <w:r>
        <w:rPr>
          <w:bCs/>
          <w:b/>
        </w:rPr>
        <w:t xml:space="preserve">Total Illustrative Scope 1 Emissions: 0.00 kg CO2e</w:t>
      </w:r>
    </w:p>
    <w:bookmarkEnd w:id="33"/>
    <w:bookmarkStart w:id="34" w:name="Xdcb69c89a2d5b7d56bbdc01f79a116e1def7079"/>
    <w:p>
      <w:pPr>
        <w:pStyle w:val="Heading4"/>
      </w:pPr>
      <w:r>
        <w:t xml:space="preserve">Scope 2 Emissions (Purchased Electricity for Production)</w:t>
      </w:r>
    </w:p>
    <w:p>
      <w:pPr>
        <w:numPr>
          <w:ilvl w:val="0"/>
          <w:numId w:val="1007"/>
        </w:numPr>
        <w:pStyle w:val="Compact"/>
      </w:pPr>
      <w:r>
        <w:t xml:space="preserve">Energy Intensity: 5.0 kWh/unit</w:t>
      </w:r>
    </w:p>
    <w:p>
      <w:pPr>
        <w:numPr>
          <w:ilvl w:val="0"/>
          <w:numId w:val="1007"/>
        </w:numPr>
        <w:pStyle w:val="Compact"/>
      </w:pPr>
      <w:r>
        <w:t xml:space="preserve">Renewable Energy Usage: 30%</w:t>
      </w:r>
    </w:p>
    <w:p>
      <w:pPr>
        <w:numPr>
          <w:ilvl w:val="0"/>
          <w:numId w:val="1007"/>
        </w:numPr>
        <w:pStyle w:val="Compact"/>
      </w:pPr>
      <w:r>
        <w:t xml:space="preserve">Non-Renewable Electricity: 5.0 kWh/unit * (1 - 0.30) = 3.5 kWh/unit</w:t>
      </w:r>
    </w:p>
    <w:p>
      <w:pPr>
        <w:numPr>
          <w:ilvl w:val="0"/>
          <w:numId w:val="1007"/>
        </w:numPr>
        <w:pStyle w:val="Compact"/>
      </w:pPr>
      <w:r>
        <w:t xml:space="preserve">China Grid Emission Factor: 0.6 kg CO2e/kWh</w:t>
      </w:r>
    </w:p>
    <w:p>
      <w:pPr>
        <w:numPr>
          <w:ilvl w:val="0"/>
          <w:numId w:val="1007"/>
        </w:numPr>
        <w:pStyle w:val="Compact"/>
      </w:pPr>
      <w:r>
        <w:t xml:space="preserve">Illustrative Scope 2 Emissions: 3.5 kWh/unit * 0.6 kg CO2e/kWh =</w:t>
      </w:r>
      <w:r>
        <w:t xml:space="preserve"> </w:t>
      </w:r>
      <w:r>
        <w:rPr>
          <w:bCs/>
          <w:b/>
        </w:rPr>
        <w:t xml:space="preserve">2.10 kg CO2e</w:t>
      </w:r>
    </w:p>
    <w:p>
      <w:pPr>
        <w:pStyle w:val="FirstParagraph"/>
      </w:pPr>
      <w:r>
        <w:rPr>
          <w:bCs/>
          <w:b/>
        </w:rPr>
        <w:t xml:space="preserve">Total Illustrative Scope 2 Emissions: 2.10 kg CO2e</w:t>
      </w:r>
    </w:p>
    <w:bookmarkEnd w:id="34"/>
    <w:bookmarkStart w:id="40" w:name="scope-3-emissions-value-chain"/>
    <w:p>
      <w:pPr>
        <w:pStyle w:val="Heading4"/>
      </w:pPr>
      <w:r>
        <w:t xml:space="preserve">Scope 3 Emissions (Value Chain)</w:t>
      </w:r>
    </w:p>
    <w:bookmarkStart w:id="35" w:name="Xab9729a0caae076ca89f2f71668734f92723cf2"/>
    <w:p>
      <w:pPr>
        <w:pStyle w:val="Heading5"/>
      </w:pPr>
      <w:r>
        <w:t xml:space="preserve">Category 1: Purchased Goods and Services (Materials)</w:t>
      </w:r>
    </w:p>
    <w:p>
      <w:pPr>
        <w:pStyle w:val="FirstParagraph"/>
      </w:pPr>
      <w:r>
        <w:t xml:space="preserve">Based on the Illustrative Detailed BOM:</w:t>
      </w:r>
    </w:p>
    <w:p>
      <w:pPr>
        <w:numPr>
          <w:ilvl w:val="0"/>
          <w:numId w:val="1008"/>
        </w:numPr>
        <w:pStyle w:val="Compact"/>
      </w:pPr>
      <w:r>
        <w:t xml:space="preserve">Subtotal Material Emissions (from table above):</w:t>
      </w:r>
      <w:r>
        <w:t xml:space="preserve"> </w:t>
      </w:r>
      <w:r>
        <w:rPr>
          <w:bCs/>
          <w:b/>
        </w:rPr>
        <w:t xml:space="preserve">12.25 kg CO2e</w:t>
      </w:r>
    </w:p>
    <w:bookmarkEnd w:id="35"/>
    <w:bookmarkStart w:id="36" w:name="X6669a43143349c25ec93e775eebde43de53a73c"/>
    <w:p>
      <w:pPr>
        <w:pStyle w:val="Heading5"/>
      </w:pPr>
      <w:r>
        <w:t xml:space="preserve">Category 4: Upstream Transportation and Distribution</w:t>
      </w:r>
    </w:p>
    <w:p>
      <w:pPr>
        <w:pStyle w:val="FirstParagraph"/>
      </w:pPr>
      <w:r>
        <w:t xml:space="preserve">Transport of materials from supply chain to factory gate:</w:t>
      </w:r>
    </w:p>
    <w:p>
      <w:pPr>
        <w:numPr>
          <w:ilvl w:val="0"/>
          <w:numId w:val="1009"/>
        </w:numPr>
        <w:pStyle w:val="Compact"/>
      </w:pPr>
      <w:r>
        <w:t xml:space="preserve">Assume average material weight for transport = Total BOM Weight = 0.5 + 0.3 + 1.0 + 0.1 + 0.2 = 2.1 kg</w:t>
      </w:r>
    </w:p>
    <w:p>
      <w:pPr>
        <w:numPr>
          <w:ilvl w:val="0"/>
          <w:numId w:val="1009"/>
        </w:numPr>
        <w:pStyle w:val="Compact"/>
      </w:pPr>
      <w:r>
        <w:t xml:space="preserve">Illustrative Ocean Freight (long haul to China for components):</w:t>
      </w:r>
    </w:p>
    <w:p>
      <w:pPr>
        <w:numPr>
          <w:ilvl w:val="1"/>
          <w:numId w:val="1010"/>
        </w:numPr>
        <w:pStyle w:val="Compact"/>
      </w:pPr>
      <w:r>
        <w:t xml:space="preserve">Mass: 2.1 kg = 0.0021 tonnes</w:t>
      </w:r>
    </w:p>
    <w:p>
      <w:pPr>
        <w:numPr>
          <w:ilvl w:val="1"/>
          <w:numId w:val="1010"/>
        </w:numPr>
        <w:pStyle w:val="Compact"/>
      </w:pPr>
      <w:r>
        <w:t xml:space="preserve">Distance: 8,000 km</w:t>
      </w:r>
    </w:p>
    <w:p>
      <w:pPr>
        <w:numPr>
          <w:ilvl w:val="1"/>
          <w:numId w:val="1010"/>
        </w:numPr>
        <w:pStyle w:val="Compact"/>
      </w:pPr>
      <w:r>
        <w:t xml:space="preserve">Emission Factor (Container Ship): 0.016 kg CO2e/tonne-km</w:t>
      </w:r>
    </w:p>
    <w:p>
      <w:pPr>
        <w:numPr>
          <w:ilvl w:val="1"/>
          <w:numId w:val="1010"/>
        </w:numPr>
        <w:pStyle w:val="Compact"/>
      </w:pPr>
      <w:r>
        <w:t xml:space="preserve">Emissions: 0.0021 tonnes * 8,000 km * 0.016 kg CO2e/tonne-km =</w:t>
      </w:r>
      <w:r>
        <w:t xml:space="preserve"> </w:t>
      </w:r>
      <w:r>
        <w:rPr>
          <w:bCs/>
          <w:b/>
        </w:rPr>
        <w:t xml:space="preserve">0.2688 kg CO2e</w:t>
      </w:r>
    </w:p>
    <w:bookmarkEnd w:id="36"/>
    <w:bookmarkStart w:id="37" w:name="Xe6a609cc71639c4bb5b5bcd247c776c9d89fa33"/>
    <w:p>
      <w:pPr>
        <w:pStyle w:val="Heading5"/>
      </w:pPr>
      <w:r>
        <w:t xml:space="preserve">Category 9: Downstream Transportation and Distribution (Last-Mile Delivery)</w:t>
      </w:r>
    </w:p>
    <w:p>
      <w:pPr>
        <w:pStyle w:val="FirstParagraph"/>
      </w:pPr>
      <w:r>
        <w:t xml:space="preserve">Transport of finished product from factory gate to customer:</w:t>
      </w:r>
    </w:p>
    <w:p>
      <w:pPr>
        <w:numPr>
          <w:ilvl w:val="0"/>
          <w:numId w:val="1011"/>
        </w:numPr>
        <w:pStyle w:val="Compact"/>
      </w:pPr>
      <w:r>
        <w:t xml:space="preserve">Product Weight (Illustrative, assuming packaging): 2.1 kg = 0.0021 tonnes</w:t>
      </w:r>
    </w:p>
    <w:p>
      <w:pPr>
        <w:numPr>
          <w:ilvl w:val="0"/>
          <w:numId w:val="1011"/>
        </w:numPr>
        <w:pStyle w:val="Compact"/>
      </w:pPr>
      <w:r>
        <w:t xml:space="preserve">Illustrative Road Freight (Last-Mile Delivery):</w:t>
      </w:r>
    </w:p>
    <w:p>
      <w:pPr>
        <w:numPr>
          <w:ilvl w:val="1"/>
          <w:numId w:val="1012"/>
        </w:numPr>
        <w:pStyle w:val="Compact"/>
      </w:pPr>
      <w:r>
        <w:t xml:space="preserve">Mass: 0.0021 tonnes</w:t>
      </w:r>
    </w:p>
    <w:p>
      <w:pPr>
        <w:numPr>
          <w:ilvl w:val="1"/>
          <w:numId w:val="1012"/>
        </w:numPr>
        <w:pStyle w:val="Compact"/>
      </w:pPr>
      <w:r>
        <w:t xml:space="preserve">Distance: 500 km</w:t>
      </w:r>
    </w:p>
    <w:p>
      <w:pPr>
        <w:numPr>
          <w:ilvl w:val="1"/>
          <w:numId w:val="1012"/>
        </w:numPr>
        <w:pStyle w:val="Compact"/>
      </w:pPr>
      <w:r>
        <w:t xml:space="preserve">Emission Factor (Heavy-Duty Truck): 0.1 kg CO2e/tonne-km</w:t>
      </w:r>
    </w:p>
    <w:p>
      <w:pPr>
        <w:numPr>
          <w:ilvl w:val="1"/>
          <w:numId w:val="1012"/>
        </w:numPr>
        <w:pStyle w:val="Compact"/>
      </w:pPr>
      <w:r>
        <w:t xml:space="preserve">Emissions: 0.0021 tonnes * 500 km * 0.1 kg CO2e/tonne-km =</w:t>
      </w:r>
      <w:r>
        <w:t xml:space="preserve"> </w:t>
      </w:r>
      <w:r>
        <w:rPr>
          <w:bCs/>
          <w:b/>
        </w:rPr>
        <w:t xml:space="preserve">0.105 kg CO2e</w:t>
      </w:r>
    </w:p>
    <w:bookmarkEnd w:id="37"/>
    <w:bookmarkStart w:id="38" w:name="category-11-use-of-sold-products"/>
    <w:p>
      <w:pPr>
        <w:pStyle w:val="Heading5"/>
      </w:pPr>
      <w:r>
        <w:t xml:space="preserve">Category 11: Use of Sold Products</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5 years = 50 kWh</w:t>
      </w:r>
    </w:p>
    <w:p>
      <w:pPr>
        <w:numPr>
          <w:ilvl w:val="0"/>
          <w:numId w:val="1013"/>
        </w:numPr>
        <w:pStyle w:val="Compact"/>
      </w:pPr>
      <w:r>
        <w:t xml:space="preserve">Illustrative European Grid Emission Factor: 0.3 kg CO2e/kWh</w:t>
      </w:r>
    </w:p>
    <w:p>
      <w:pPr>
        <w:numPr>
          <w:ilvl w:val="0"/>
          <w:numId w:val="1013"/>
        </w:numPr>
        <w:pStyle w:val="Compact"/>
      </w:pPr>
      <w:r>
        <w:t xml:space="preserve">Emissions: 50 kWh * 0.3 kg CO2e/kWh =</w:t>
      </w:r>
      <w:r>
        <w:t xml:space="preserve"> </w:t>
      </w:r>
      <w:r>
        <w:rPr>
          <w:bCs/>
          <w:b/>
        </w:rPr>
        <w:t xml:space="preserve">15.00 kg CO2e</w:t>
      </w:r>
    </w:p>
    <w:bookmarkEnd w:id="38"/>
    <w:bookmarkStart w:id="39" w:name="X9f66eef2700632e081dfe139021cb724ffcd2c5"/>
    <w:p>
      <w:pPr>
        <w:pStyle w:val="Heading5"/>
      </w:pPr>
      <w:r>
        <w:t xml:space="preserve">Category 12: End-of-Life Treatment of Sold Products</w:t>
      </w:r>
    </w:p>
    <w:p>
      <w:pPr>
        <w:numPr>
          <w:ilvl w:val="0"/>
          <w:numId w:val="1014"/>
        </w:numPr>
        <w:pStyle w:val="Compact"/>
      </w:pPr>
      <w:r>
        <w:t xml:space="preserve">Product Weight: 2.1 kg</w:t>
      </w:r>
    </w:p>
    <w:p>
      <w:pPr>
        <w:numPr>
          <w:ilvl w:val="0"/>
          <w:numId w:val="1014"/>
        </w:numPr>
        <w:pStyle w:val="Compact"/>
      </w:pPr>
      <w:r>
        <w:t xml:space="preserve">Recyclability Percentage: 70%</w:t>
      </w:r>
    </w:p>
    <w:p>
      <w:pPr>
        <w:numPr>
          <w:ilvl w:val="0"/>
          <w:numId w:val="1014"/>
        </w:numPr>
        <w:pStyle w:val="Compact"/>
      </w:pPr>
      <w:r>
        <w:t xml:space="preserve">Recycled Portion: 2.1 kg * 0.70 = 1.47 kg</w:t>
      </w:r>
    </w:p>
    <w:p>
      <w:pPr>
        <w:numPr>
          <w:ilvl w:val="0"/>
          <w:numId w:val="1014"/>
        </w:numPr>
        <w:pStyle w:val="Compact"/>
      </w:pPr>
      <w:r>
        <w:t xml:space="preserve">Non-Recycled (Landfill) Portion: 2.1 kg * 0.30 = 0.63 kg</w:t>
      </w:r>
    </w:p>
    <w:p>
      <w:pPr>
        <w:numPr>
          <w:ilvl w:val="0"/>
          <w:numId w:val="1014"/>
        </w:numPr>
        <w:pStyle w:val="Compact"/>
      </w:pPr>
      <w:r>
        <w:t xml:space="preserve">Illustrative Recycling Process Emission Factor: 0.2 kg CO2e/kg (for plastics recycling process, illustrative)</w:t>
      </w:r>
    </w:p>
    <w:p>
      <w:pPr>
        <w:numPr>
          <w:ilvl w:val="0"/>
          <w:numId w:val="1014"/>
        </w:numPr>
        <w:pStyle w:val="Compact"/>
      </w:pPr>
      <w:r>
        <w:t xml:space="preserve">Illustrative Landfill Emission Factor (Plastic Waste): 0.033 kg CO2e/kg</w:t>
      </w:r>
    </w:p>
    <w:p>
      <w:pPr>
        <w:numPr>
          <w:ilvl w:val="0"/>
          <w:numId w:val="1014"/>
        </w:numPr>
        <w:pStyle w:val="Compact"/>
      </w:pPr>
      <w:r>
        <w:t xml:space="preserve">Emissions from Recycling: 1.47 kg * 0.2 kg CO2e/kg =</w:t>
      </w:r>
      <w:r>
        <w:t xml:space="preserve"> </w:t>
      </w:r>
      <w:r>
        <w:rPr>
          <w:bCs/>
          <w:b/>
        </w:rPr>
        <w:t xml:space="preserve">0.294 kg CO2e</w:t>
      </w:r>
    </w:p>
    <w:p>
      <w:pPr>
        <w:numPr>
          <w:ilvl w:val="0"/>
          <w:numId w:val="1014"/>
        </w:numPr>
        <w:pStyle w:val="Compact"/>
      </w:pPr>
      <w:r>
        <w:t xml:space="preserve">Emissions from Landfill: 0.63 kg * 0.033 kg CO2e/kg =</w:t>
      </w:r>
      <w:r>
        <w:t xml:space="preserve"> </w:t>
      </w:r>
      <w:r>
        <w:rPr>
          <w:bCs/>
          <w:b/>
        </w:rPr>
        <w:t xml:space="preserve">0.0208 kg CO2e</w:t>
      </w:r>
    </w:p>
    <w:p>
      <w:pPr>
        <w:numPr>
          <w:ilvl w:val="0"/>
          <w:numId w:val="1014"/>
        </w:numPr>
        <w:pStyle w:val="Compact"/>
      </w:pPr>
      <w:r>
        <w:t xml:space="preserve">Total EoL Emissions: 0.294 + 0.0208 =</w:t>
      </w:r>
      <w:r>
        <w:t xml:space="preserve"> </w:t>
      </w:r>
      <w:r>
        <w:rPr>
          <w:bCs/>
          <w:b/>
        </w:rPr>
        <w:t xml:space="preserve">0.3148 kg CO2e</w:t>
      </w:r>
    </w:p>
    <w:p>
      <w:pPr>
        <w:pStyle w:val="FirstParagraph"/>
      </w:pPr>
      <w:r>
        <w:rPr>
          <w:bCs/>
          <w:b/>
        </w:rPr>
        <w:t xml:space="preserve">Total Illustrative Scope 3 Emissions:</w:t>
      </w:r>
    </w:p>
    <w:p>
      <w:pPr>
        <w:numPr>
          <w:ilvl w:val="0"/>
          <w:numId w:val="1015"/>
        </w:numPr>
        <w:pStyle w:val="Compact"/>
      </w:pPr>
      <w:r>
        <w:t xml:space="preserve">Materials: 12.25 kg CO2e</w:t>
      </w:r>
    </w:p>
    <w:p>
      <w:pPr>
        <w:numPr>
          <w:ilvl w:val="0"/>
          <w:numId w:val="1015"/>
        </w:numPr>
        <w:pStyle w:val="Compact"/>
      </w:pPr>
      <w:r>
        <w:t xml:space="preserve">Upstream Transport: 0.2688 kg CO2e</w:t>
      </w:r>
    </w:p>
    <w:p>
      <w:pPr>
        <w:numPr>
          <w:ilvl w:val="0"/>
          <w:numId w:val="1015"/>
        </w:numPr>
        <w:pStyle w:val="Compact"/>
      </w:pPr>
      <w:r>
        <w:t xml:space="preserve">Downstream Transport: 0.105 kg CO2e</w:t>
      </w:r>
    </w:p>
    <w:p>
      <w:pPr>
        <w:numPr>
          <w:ilvl w:val="0"/>
          <w:numId w:val="1015"/>
        </w:numPr>
        <w:pStyle w:val="Compact"/>
      </w:pPr>
      <w:r>
        <w:t xml:space="preserve">Use of Sold Products: 15.00 kg CO2e</w:t>
      </w:r>
    </w:p>
    <w:p>
      <w:pPr>
        <w:numPr>
          <w:ilvl w:val="0"/>
          <w:numId w:val="1015"/>
        </w:numPr>
        <w:pStyle w:val="Compact"/>
      </w:pPr>
      <w:r>
        <w:t xml:space="preserve">End-of-Life: 0.3148 kg CO2e</w:t>
      </w:r>
    </w:p>
    <w:p>
      <w:pPr>
        <w:numPr>
          <w:ilvl w:val="0"/>
          <w:numId w:val="1015"/>
        </w:numPr>
        <w:pStyle w:val="Compact"/>
      </w:pPr>
      <w:r>
        <w:t xml:space="preserve">Total: 12.25 + 0.2688 + 0.105 + 15.00 + 0.3148 =</w:t>
      </w:r>
      <w:r>
        <w:t xml:space="preserve"> </w:t>
      </w:r>
      <w:r>
        <w:rPr>
          <w:bCs/>
          <w:b/>
        </w:rPr>
        <w:t xml:space="preserve">27.9386 kg CO2e</w:t>
      </w:r>
    </w:p>
    <w:p>
      <w:pPr>
        <w:pStyle w:val="FirstParagraph"/>
      </w:pPr>
      <w:r>
        <w:rPr>
          <w:bCs/>
          <w:b/>
        </w:rPr>
        <w:t xml:space="preserve">Total Illustrative Scope 3 Emissions: 27.94 kg CO2e (rounded)</w:t>
      </w:r>
    </w:p>
    <w:bookmarkEnd w:id="39"/>
    <w:bookmarkEnd w:id="40"/>
    <w:bookmarkStart w:id="41" w:name="Xc02d2f77ef7f4d0f1a311e3f4c4dad2569b2d83"/>
    <w:p>
      <w:pPr>
        <w:pStyle w:val="Heading4"/>
      </w:pPr>
      <w:r>
        <w:t xml:space="preserve">Summary of Illustrative Product Carbon Footprint (PCF) for exkpzenhdl</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2.10</w:t>
            </w:r>
          </w:p>
        </w:tc>
        <w:tc>
          <w:tcPr/>
          <w:p>
            <w:pPr>
              <w:pStyle w:val="Compact"/>
              <w:jc w:val="left"/>
            </w:pPr>
            <w:r>
              <w:t xml:space="preserve">6.99%</w:t>
            </w:r>
          </w:p>
        </w:tc>
      </w:tr>
      <w:tr>
        <w:tc>
          <w:tcPr>
            <w:vMerge w:val="restart"/>
          </w:tcPr>
          <w:p>
            <w:pPr>
              <w:pStyle w:val="Compact"/>
              <w:jc w:val="left"/>
            </w:pPr>
            <w:r>
              <w:t xml:space="preserve">Scope 3</w:t>
            </w:r>
          </w:p>
        </w:tc>
        <w:tc>
          <w:tcPr/>
          <w:p>
            <w:pPr>
              <w:pStyle w:val="Compact"/>
              <w:jc w:val="left"/>
            </w:pPr>
            <w:r>
              <w:t xml:space="preserve">1. Purchased Goods and Services (Materials)</w:t>
            </w:r>
          </w:p>
        </w:tc>
        <w:tc>
          <w:tcPr/>
          <w:p>
            <w:pPr>
              <w:pStyle w:val="Compact"/>
              <w:jc w:val="left"/>
            </w:pPr>
            <w:r>
              <w:t xml:space="preserve">12.25</w:t>
            </w:r>
          </w:p>
        </w:tc>
        <w:tc>
          <w:tcPr/>
          <w:p>
            <w:pPr>
              <w:pStyle w:val="Compact"/>
              <w:jc w:val="left"/>
            </w:pPr>
            <w:r>
              <w:t xml:space="preserve">40.75%</w:t>
            </w:r>
          </w:p>
        </w:tc>
      </w:tr>
      <w:tr>
        <w:tc>
          <w:tcPr>
            <w:gridSpan w:val="1"/>
            <w:vMerge w:val="continue"/>
          </w:tcPr>
          <w:p>
            <w:pPr/>
          </w:p>
        </w:tc>
        <w:tc>
          <w:tcPr/>
          <w:p>
            <w:pPr>
              <w:pStyle w:val="Compact"/>
              <w:jc w:val="left"/>
            </w:pPr>
            <w:r>
              <w:t xml:space="preserve">4. Upstream Transportation and Distribution</w:t>
            </w:r>
          </w:p>
        </w:tc>
        <w:tc>
          <w:tcPr/>
          <w:p>
            <w:pPr>
              <w:pStyle w:val="Compact"/>
              <w:jc w:val="left"/>
            </w:pPr>
            <w:r>
              <w:t xml:space="preserve">0.27</w:t>
            </w:r>
          </w:p>
        </w:tc>
        <w:tc>
          <w:tcPr/>
          <w:p>
            <w:pPr>
              <w:pStyle w:val="Compact"/>
              <w:jc w:val="left"/>
            </w:pPr>
            <w:r>
              <w:t xml:space="preserve">0.90%</w:t>
            </w:r>
          </w:p>
        </w:tc>
      </w:tr>
      <w:tr>
        <w:tc>
          <w:tcPr>
            <w:gridSpan w:val="1"/>
            <w:vMerge w:val="continue"/>
          </w:tcPr>
          <w:p>
            <w:pPr/>
          </w:p>
        </w:tc>
        <w:tc>
          <w:tcPr/>
          <w:p>
            <w:pPr>
              <w:pStyle w:val="Compact"/>
              <w:jc w:val="left"/>
            </w:pPr>
            <w:r>
              <w:t xml:space="preserve">9. Downstream Transportation and Distribution</w:t>
            </w:r>
          </w:p>
        </w:tc>
        <w:tc>
          <w:tcPr/>
          <w:p>
            <w:pPr>
              <w:pStyle w:val="Compact"/>
              <w:jc w:val="left"/>
            </w:pPr>
            <w:r>
              <w:t xml:space="preserve">0.11</w:t>
            </w:r>
          </w:p>
        </w:tc>
        <w:tc>
          <w:tcPr/>
          <w:p>
            <w:pPr>
              <w:pStyle w:val="Compact"/>
              <w:jc w:val="left"/>
            </w:pPr>
            <w:r>
              <w:t xml:space="preserve">0.37%</w:t>
            </w:r>
          </w:p>
        </w:tc>
      </w:tr>
      <w:tr>
        <w:tc>
          <w:tcPr>
            <w:gridSpan w:val="1"/>
            <w:vMerge w:val="continue"/>
          </w:tcPr>
          <w:p>
            <w:pPr/>
          </w:p>
        </w:tc>
        <w:tc>
          <w:tcPr/>
          <w:p>
            <w:pPr>
              <w:pStyle w:val="Compact"/>
              <w:jc w:val="left"/>
            </w:pPr>
            <w:r>
              <w:t xml:space="preserve">11. Use of Sold Products</w:t>
            </w:r>
          </w:p>
        </w:tc>
        <w:tc>
          <w:tcPr/>
          <w:p>
            <w:pPr>
              <w:pStyle w:val="Compact"/>
              <w:jc w:val="left"/>
            </w:pPr>
            <w:r>
              <w:t xml:space="preserve">15.00</w:t>
            </w:r>
          </w:p>
        </w:tc>
        <w:tc>
          <w:tcPr/>
          <w:p>
            <w:pPr>
              <w:pStyle w:val="Compact"/>
              <w:jc w:val="left"/>
            </w:pPr>
            <w:r>
              <w:t xml:space="preserve">49.90%</w:t>
            </w:r>
          </w:p>
        </w:tc>
      </w:tr>
      <w:tr>
        <w:tc>
          <w:tcPr>
            <w:gridSpan w:val="1"/>
            <w:vMerge w:val="continue"/>
          </w:tcPr>
          <w:p>
            <w:pPr/>
          </w:p>
        </w:tc>
        <w:tc>
          <w:tcPr/>
          <w:p>
            <w:pPr>
              <w:pStyle w:val="Compact"/>
              <w:jc w:val="left"/>
            </w:pPr>
            <w:r>
              <w:t xml:space="preserve">12. End-of-Life Treatment of Sold Products</w:t>
            </w:r>
          </w:p>
        </w:tc>
        <w:tc>
          <w:tcPr/>
          <w:p>
            <w:pPr>
              <w:pStyle w:val="Compact"/>
              <w:jc w:val="left"/>
            </w:pPr>
            <w:r>
              <w:t xml:space="preserve">0.31</w:t>
            </w:r>
          </w:p>
        </w:tc>
        <w:tc>
          <w:tcPr/>
          <w:p>
            <w:pPr>
              <w:pStyle w:val="Compact"/>
              <w:jc w:val="left"/>
            </w:pPr>
            <w:r>
              <w:t xml:space="preserve">1.03%</w:t>
            </w:r>
          </w:p>
        </w:tc>
      </w:tr>
      <w:tr>
        <w:tc>
          <w:tcPr>
            <w:gridSpan w:val="2"/>
          </w:tcPr>
          <w:p>
            <w:pPr>
              <w:pStyle w:val="Compact"/>
              <w:jc w:val="left"/>
            </w:pPr>
            <w:r>
              <w:rPr>
                <w:bCs/>
                <w:b/>
              </w:rPr>
              <w:t xml:space="preserve">Total Product Carbon Footprint</w:t>
            </w:r>
          </w:p>
        </w:tc>
        <w:tc>
          <w:tcPr/>
          <w:p>
            <w:pPr>
              <w:pStyle w:val="Compact"/>
              <w:jc w:val="left"/>
            </w:pPr>
            <w:r>
              <w:rPr>
                <w:bCs/>
                <w:b/>
              </w:rPr>
              <w:t xml:space="preserve">30.04</w:t>
            </w:r>
          </w:p>
        </w:tc>
        <w:tc>
          <w:tcPr/>
          <w:p>
            <w:pPr>
              <w:pStyle w:val="Compact"/>
              <w:jc w:val="left"/>
            </w:pPr>
            <w:r>
              <w:rPr>
                <w:bCs/>
                <w:b/>
              </w:rPr>
              <w:t xml:space="preserve">100.00%</w:t>
            </w:r>
          </w:p>
        </w:tc>
      </w:tr>
    </w:tbl>
    <w:p>
      <w:pPr>
        <w:pStyle w:val="BodyText"/>
      </w:pPr>
      <w:r>
        <w:rPr>
          <w:iCs/>
          <w:i/>
        </w:rPr>
        <w:t xml:space="preserve">Note: All calculations above are illustrative, based on the placeholder parameters and assumed emission factors for demonstration purposes. Actual PCF calculations would require precise primary data and verified emission factors.</w:t>
      </w:r>
    </w:p>
    <w:bookmarkEnd w:id="41"/>
    <w:bookmarkEnd w:id="42"/>
    <w:bookmarkEnd w:id="43"/>
    <w:p>
      <w:r>
        <w:pict>
          <v:rect style="width:0;height:1.5pt" o:hralign="center" o:hrstd="t" o:hr="t"/>
        </w:pict>
      </w:r>
    </w:p>
    <w:bookmarkStart w:id="47" w:name="review-report"/>
    <w:p>
      <w:pPr>
        <w:pStyle w:val="Heading2"/>
      </w:pPr>
      <w:r>
        <w:t xml:space="preserve">5. Review &amp; Report</w:t>
      </w:r>
    </w:p>
    <w:bookmarkStart w:id="44" w:name="hotspots-identification"/>
    <w:p>
      <w:pPr>
        <w:pStyle w:val="Heading3"/>
      </w:pPr>
      <w:r>
        <w:t xml:space="preserve">Hotspots Identification</w:t>
      </w:r>
    </w:p>
    <w:p>
      <w:pPr>
        <w:pStyle w:val="FirstParagraph"/>
      </w:pPr>
      <w:r>
        <w:t xml:space="preserve">Based on the illustrative calculations, the primary emission hotspots for exkpzenhdl are:</w:t>
      </w:r>
    </w:p>
    <w:p>
      <w:pPr>
        <w:numPr>
          <w:ilvl w:val="0"/>
          <w:numId w:val="1016"/>
        </w:numPr>
        <w:pStyle w:val="Compact"/>
      </w:pPr>
      <w:r>
        <w:rPr>
          <w:bCs/>
          <w:b/>
        </w:rPr>
        <w:t xml:space="preserve">Use of Sold Products (Scope 3, Category 11):</w:t>
      </w:r>
      <w:r>
        <w:t xml:space="preserve"> </w:t>
      </w:r>
      <w:r>
        <w:t xml:space="preserve">This category represents the largest share of the product\'s footprint, primarily driven by the energy consumption over its assumed 5-year lifespan.</w:t>
      </w:r>
    </w:p>
    <w:p>
      <w:pPr>
        <w:numPr>
          <w:ilvl w:val="0"/>
          <w:numId w:val="1016"/>
        </w:numPr>
        <w:pStyle w:val="Compact"/>
      </w:pPr>
      <w:r>
        <w:rPr>
          <w:bCs/>
          <w:b/>
        </w:rPr>
        <w:t xml:space="preserve">Purchased Goods and Services (Scope 3, Category 1):</w:t>
      </w:r>
      <w:r>
        <w:t xml:space="preserve"> </w:t>
      </w:r>
      <w:r>
        <w:t xml:space="preserve">Material acquisition and processing contribute significantly, highlighting the importance of sustainable sourcing and material efficiency.</w:t>
      </w:r>
    </w:p>
    <w:p>
      <w:pPr>
        <w:numPr>
          <w:ilvl w:val="0"/>
          <w:numId w:val="1016"/>
        </w:numPr>
        <w:pStyle w:val="Compact"/>
      </w:pPr>
      <w:r>
        <w:rPr>
          <w:bCs/>
          <w:b/>
        </w:rPr>
        <w:t xml:space="preserve">Purchased Electricity (Scope 2):</w:t>
      </w:r>
      <w:r>
        <w:t xml:space="preserve"> </w:t>
      </w:r>
      <w:r>
        <w:t xml:space="preserve">Manufacturing energy, even with illustrative renewable energy usage, remains a notable contributor.</w:t>
      </w:r>
    </w:p>
    <w:bookmarkEnd w:id="44"/>
    <w:bookmarkStart w:id="45" w:name="reliability-and-limitations"/>
    <w:p>
      <w:pPr>
        <w:pStyle w:val="Heading3"/>
      </w:pPr>
      <w:r>
        <w:t xml:space="preserve">Reliability and Limitations</w:t>
      </w:r>
    </w:p>
    <w:p>
      <w:pPr>
        <w:pStyle w:val="FirstParagraph"/>
      </w:pPr>
      <w:r>
        <w:t xml:space="preserve">The reliability of this PCF analysis is directly dependent on the quality and specificity of the input data.</w:t>
      </w:r>
    </w:p>
    <w:p>
      <w:pPr>
        <w:numPr>
          <w:ilvl w:val="0"/>
          <w:numId w:val="1017"/>
        </w:numPr>
        <w:pStyle w:val="Compact"/>
      </w:pPr>
      <w:r>
        <w:rPr>
          <w:bCs/>
          <w:b/>
        </w:rPr>
        <w:t xml:space="preserve">Placeholder Data:</w:t>
      </w:r>
      <w:r>
        <w:t xml:space="preserve"> </w:t>
      </w:r>
      <w:r>
        <w:t xml:space="preserve">A significant limitation in this report is the use of illustrative data for key parameters such as the Detailed Bill of Materials, Transport Mode/Distance, Renewable Energy Usage, Energy Intensity, Product Lifespan, Energy Consumption in Use, Recyclability Percentage, and Circular/Take-back Programs. These were provided as placeholder strings in the prompt. For a real-world assessment, primary data collection for these parameters would be crucial.</w:t>
      </w:r>
    </w:p>
    <w:p>
      <w:pPr>
        <w:numPr>
          <w:ilvl w:val="0"/>
          <w:numId w:val="1017"/>
        </w:numPr>
        <w:pStyle w:val="Compact"/>
      </w:pPr>
      <w:r>
        <w:rPr>
          <w:bCs/>
          <w:b/>
        </w:rPr>
        <w:t xml:space="preserve">Emission Factors:</w:t>
      </w:r>
      <w:r>
        <w:t xml:space="preserve"> </w:t>
      </w:r>
      <w:r>
        <w:t xml:space="preserve">While industry-standard emission factors (e.g., from Ecoinvent/DEFRA) are cited, the specific values used in the illustrative calculations are generalized and may not reflect the exact regional or technological specifics of fhytommseq\'s supply chain and operations.</w:t>
      </w:r>
    </w:p>
    <w:p>
      <w:pPr>
        <w:numPr>
          <w:ilvl w:val="0"/>
          <w:numId w:val="1017"/>
        </w:numPr>
        <w:pStyle w:val="Compact"/>
      </w:pPr>
      <w:r>
        <w:rPr>
          <w:bCs/>
          <w:b/>
        </w:rPr>
        <w:t xml:space="preserve">System Boundary:</w:t>
      </w:r>
      <w:r>
        <w:t xml:space="preserve"> </w:t>
      </w:r>
      <w:r>
        <w:t xml:space="preserve">The "factory_gate" boundary, while defined, necessitates careful consideration of how upstream and downstream impacts are included, especially in the context of Scope 3.</w:t>
      </w:r>
    </w:p>
    <w:bookmarkEnd w:id="45"/>
    <w:bookmarkStart w:id="46" w:name="recommendations-for-fhytommseq"/>
    <w:p>
      <w:pPr>
        <w:pStyle w:val="Heading3"/>
      </w:pPr>
      <w:r>
        <w:t xml:space="preserve">Recommendations for fhytommseq</w:t>
      </w:r>
    </w:p>
    <w:p>
      <w:pPr>
        <w:numPr>
          <w:ilvl w:val="0"/>
          <w:numId w:val="1018"/>
        </w:numPr>
        <w:pStyle w:val="Compact"/>
      </w:pPr>
      <w:r>
        <w:rPr>
          <w:bCs/>
          <w:b/>
        </w:rPr>
        <w:t xml:space="preserve">Optimize Use Phase:</w:t>
      </w:r>
      <w:r>
        <w:t xml:space="preserve"> </w:t>
      </w:r>
      <w:r>
        <w:t xml:space="preserve">Invest in energy-efficient design for exkpzenhdl to reduce energy consumption during its lifespan. Explore smart features or alternative power sources for consumers.</w:t>
      </w:r>
    </w:p>
    <w:p>
      <w:pPr>
        <w:numPr>
          <w:ilvl w:val="0"/>
          <w:numId w:val="1018"/>
        </w:numPr>
        <w:pStyle w:val="Compact"/>
      </w:pPr>
      <w:r>
        <w:rPr>
          <w:bCs/>
          <w:b/>
        </w:rPr>
        <w:t xml:space="preserve">Sustainable Sourcing:</w:t>
      </w:r>
      <w:r>
        <w:t xml:space="preserve"> </w:t>
      </w:r>
      <w:r>
        <w:t xml:space="preserve">Prioritize suppliers that offer low-carbon materials, recycled content, or materials produced with renewable energy. Engage with suppliers to collect primary data on material-specific emission factors.</w:t>
      </w:r>
    </w:p>
    <w:p>
      <w:pPr>
        <w:numPr>
          <w:ilvl w:val="0"/>
          <w:numId w:val="1018"/>
        </w:numPr>
        <w:pStyle w:val="Compact"/>
      </w:pPr>
      <w:r>
        <w:rPr>
          <w:bCs/>
          <w:b/>
        </w:rPr>
        <w:t xml:space="preserve">Renewable Energy Transition:</w:t>
      </w:r>
      <w:r>
        <w:t xml:space="preserve"> </w:t>
      </w:r>
      <w:r>
        <w:t xml:space="preserve">Continue to increase the share of renewable energy in manufacturing operations in China. Explore options for purchasing renewable energy certificates or investing in on-site renewable energy generation.</w:t>
      </w:r>
    </w:p>
    <w:p>
      <w:pPr>
        <w:numPr>
          <w:ilvl w:val="0"/>
          <w:numId w:val="1018"/>
        </w:numPr>
        <w:pStyle w:val="Compact"/>
      </w:pPr>
      <w:r>
        <w:rPr>
          <w:bCs/>
          <w:b/>
        </w:rPr>
        <w:t xml:space="preserve">Enhance Circularity:</w:t>
      </w:r>
      <w:r>
        <w:t xml:space="preserve"> </w:t>
      </w:r>
      <w:r>
        <w:t xml:space="preserve">Strengthen take-back programs and explore innovative recycling technologies to maximize the recyclability and reuse of product components. Aim for closed-loop material cycles where feasible.</w:t>
      </w:r>
    </w:p>
    <w:p>
      <w:pPr>
        <w:numPr>
          <w:ilvl w:val="0"/>
          <w:numId w:val="1018"/>
        </w:numPr>
        <w:pStyle w:val="Compact"/>
      </w:pPr>
      <w:r>
        <w:rPr>
          <w:bCs/>
          <w:b/>
        </w:rPr>
        <w:t xml:space="preserve">Data Improvement:</w:t>
      </w:r>
      <w:r>
        <w:t xml:space="preserve"> </w:t>
      </w:r>
      <w:r>
        <w:t xml:space="preserve">Implement robust systems for collecting primary data across the value chain, particularly for detailed Bill of Materials, actual transport distances and modes, and energy consumption at all stages. This will significantly improve the accuracy and actionability of future PCF analyses and ensure compliance with evolving GHG Protocol requirements.</w:t>
      </w:r>
    </w:p>
    <w:p>
      <w:pPr>
        <w:numPr>
          <w:ilvl w:val="0"/>
          <w:numId w:val="1018"/>
        </w:numPr>
        <w:pStyle w:val="Compact"/>
      </w:pPr>
      <w:r>
        <w:rPr>
          <w:bCs/>
          <w:b/>
        </w:rPr>
        <w:t xml:space="preserve">GHG Protocol 2026 Updates:</w:t>
      </w:r>
      <w:r>
        <w:t xml:space="preserve"> </w:t>
      </w:r>
      <w:r>
        <w:t xml:space="preserve">Prepare for the effective date of the LSR Standard (January 1, 2027) by assessing potential land-related impacts in the supply chain. Ensure data collection processes are in place to meet the 95% Scope 3 coverage requirement and disaggregation by data type as proposed in the March 2026 Phase 1 update.</w:t>
      </w:r>
    </w:p>
    <w:bookmarkEnd w:id="46"/>
    <w:bookmarkEnd w:id="47"/>
    <w:p>
      <w:pPr>
        <w:pStyle w:val="FirstParagraph"/>
      </w:pPr>
      <w:r>
        <w:t xml:space="preserve">Confidential - Internal Use Only | Page 1 of 1 (Illustrative)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exkpzenhdl</dc:title>
  <dc:creator/>
  <dc:description>High-detail Product Carbon Footprint (PCF) analysis report for exkpzenhdl, conducted by Senior Sustainability Consultant quivhgojyu, adhering to GHG Protocol and 2026 updates.</dc:description>
  <dc:language>en</dc:language>
  <cp:keywords/>
  <dcterms:created xsi:type="dcterms:W3CDTF">2026-05-30T18:33:48Z</dcterms:created>
  <dcterms:modified xsi:type="dcterms:W3CDTF">2026-05-30T18:33:48Z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