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ewkyijzgvs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ewkyijzgvs</w:t>
      </w:r>
    </w:p>
    <w:p>
      <w:pPr>
        <w:pStyle w:val="BodyText"/>
      </w:pPr>
      <w:r>
        <w:rPr>
          <w:bCs/>
          <w:b/>
        </w:rPr>
        <w:t xml:space="preserve">Company Name:</w:t>
      </w:r>
      <w:r>
        <w:t xml:space="preserve"> </w:t>
      </w:r>
      <w:r>
        <w:t xml:space="preserve">jodosorzml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yikudkwszt</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assumed emission factors.</w:t>
      </w:r>
    </w:p>
    <w:bookmarkEnd w:id="20"/>
    <w:p>
      <w:r>
        <w:pict>
          <v:rect style="width:0;height:1.5pt" o:hralign="center" o:hrstd="t" o:hr="t"/>
        </w:pict>
      </w:r>
    </w:p>
    <w:bookmarkStart w:id="52" w:name="X78919995bbe0e48f5e0e2e01b55cbb69d591bf3"/>
    <w:p>
      <w:pPr>
        <w:pStyle w:val="Heading1"/>
      </w:pPr>
      <w:r>
        <w:t xml:space="preserve">Product Carbon Footprint Analysis Report for ewkyijzgvs</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ewkyijzgvs, manufactured by jodosorzml. The analysis was conducted by yikudkwszt, Senior Sustainability Consultant, adhering strictly to the GHG Protocol Product Standard, including the upcoming 2026 Land Sector and Removals (LSR) Standard updates for land use and carbon removals, and ensuring a minimum of 95% Scope 3 coverage. The PCF quantifies the total greenhouse gas emissions associated with the product\'s entire lifecycle, from raw material extraction to end-of-life, providing jodosorzml with critical insights into its environmental impact hotspots.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ewkyijzgvs follows a structured approach based on the GHG Protocol Product Life Cycle Accounting and Reporting Standard. This methodology ensures consistency, transparency, and comparability of results.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ewkyijzgvs</w:t>
      </w:r>
      <w:r>
        <w:t xml:space="preserve">.</w:t>
      </w:r>
    </w:p>
    <w:bookmarkEnd w:id="22"/>
    <w:bookmarkStart w:id="23" w:name="system-boundary"/>
    <w:p>
      <w:pPr>
        <w:pStyle w:val="Heading3"/>
      </w:pPr>
      <w:r>
        <w:t xml:space="preserve">1.2. System Boundary</w:t>
      </w:r>
    </w:p>
    <w:p>
      <w:pPr>
        <w:pStyle w:val="FirstParagraph"/>
      </w:pPr>
      <w:r>
        <w:t xml:space="preserve">The system boundary for this PCF is \'cradle-to-grave\', encompassing all relevant lifecycle stages from raw material acquisition, manufacturing, transport, use, and end-of-life. While jodosorzml\'s operational control boundary (Scopes 1 and 2) aligns with a \'factory_gate\' perspective, the comprehensive PCF analysis necessitates inclusion of upstream and downstream value chain emissions, aligning with GHG Protocol Scope 3 requirements. This ensures a holistic view of the product\'s environmental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(Greenhouse Gas Protocol)</w:t>
      </w:r>
      <w:r>
        <w:t xml:space="preserve"> </w:t>
      </w:r>
      <w:r>
        <w:t xml:space="preserve">for corporate value chain (Scope 3) accounting and product life cycle assessment. Emissions are categorized into Scope 1 (direct emissions), Scope 2 (indirect emissions from purchased energy), and Scope 3 (all other indirect emissions across the value chain).</w:t>
      </w:r>
    </w:p>
    <w:p>
      <w:pPr>
        <w:pStyle w:val="BodyText"/>
      </w:pPr>
      <w:r>
        <w:t xml:space="preserve">Furthermore, this report incorporates the principles of the</w:t>
      </w:r>
      <w:r>
        <w:t xml:space="preserve"> </w:t>
      </w:r>
      <w:r>
        <w:rPr>
          <w:bCs/>
          <w:b/>
        </w:rPr>
        <w:t xml:space="preserve">2026 Land Sector and Removals (LSR) Standard Update</w:t>
      </w:r>
      <w:r>
        <w:t xml:space="preserve">. This standard, released on January 30, 2026, and effective January 1, 2027, provides enhanced guidance for accounting for land sector activities and CO2 removals, particularly in agricultural systems and technological removals. While specific land use data for ewkyijzgvs\'s BOM was not provided, the framework for future inclusion and robust reporting of such impacts is acknowledged. Forest carbon accounting is noted to be addressed in later versions of the LSR Standard.</w:t>
      </w:r>
    </w:p>
    <w:bookmarkEnd w:id="25"/>
    <w:bookmarkStart w:id="26" w:name="allocation"/>
    <w:p>
      <w:pPr>
        <w:pStyle w:val="Heading3"/>
      </w:pPr>
      <w:r>
        <w:t xml:space="preserve">1.5. Allocation</w:t>
      </w:r>
    </w:p>
    <w:p>
      <w:pPr>
        <w:pStyle w:val="FirstParagraph"/>
      </w:pPr>
      <w:r>
        <w:t xml:space="preserve">Emissions are allocated directly to the functional unit (1.0 unit of ewkyijzgvs) based on direct material inputs, energy consumption, and associated logistics. Where shared processes or infrastructure exist, allocation is performed using appropriate physical (e.g., mass, energy) or economic drivers.</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 ewkyijzgvs is mapped across five key stages: Materials &amp; Manufacturing (Upstream), Production (Core Operations), Transport (Inbound &amp; Outbound), Use Phase, and End-of-Life. Data for each stage has been collected from the provided parameters, with specific assumptions made for generic inputs to enable calculation.</w:t>
      </w:r>
    </w:p>
    <w:bookmarkStart w:id="29" w:name="X1428ec1d1885feb992205144a5c6ed055eb01cb"/>
    <w:p>
      <w:pPr>
        <w:pStyle w:val="Heading3"/>
      </w:pPr>
      <w:r>
        <w:t xml:space="preserve">2.1. Material Inputs (Detailed Bill of Materials - BOM)</w:t>
      </w:r>
    </w:p>
    <w:p>
      <w:pPr>
        <w:pStyle w:val="FirstParagraph"/>
      </w:pPr>
      <w:r>
        <w:t xml:space="preserve">The Detailed Bill of Materials (BOM) for seevqvxg provides the foundation for calculating upstream material emissions. The provided `Emission Factor` for each item is used directly, representing cradle-to-gate emissions for that specific material.</w:t>
      </w:r>
    </w:p>
    <w:bookmarkStart w:id="28" w:name="detailed-bill-of-materials-bom-seevqvxg"/>
    <w:p>
      <w:pPr>
        <w:pStyle w:val="Heading4"/>
      </w:pPr>
      <w:r>
        <w:t xml:space="preserve">Detailed Bill of Materials (BOM): seevqvxg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7"/>
          </w:tcPr>
          <w:p>
            <w:pPr>
              <w:pStyle w:val="Compact"/>
              <w:jc w:val="right"/>
            </w:pPr>
            <w:r>
              <w:t xml:space="preserve">Total Material Emissions:</w:t>
            </w:r>
          </w:p>
        </w:tc>
        <w:tc>
          <w:tcPr/>
          <w:p>
            <w:pPr>
              <w:pStyle w:val="Compact"/>
              <w:jc w:val="left"/>
            </w:pPr>
            <w:r>
              <w:t xml:space="preserve">6.425</w:t>
            </w:r>
          </w:p>
        </w:tc>
      </w:tr>
    </w:tbl>
    <w:p>
      <w:pPr>
        <w:pStyle w:val="BodyText"/>
      </w:pPr>
      <w:r>
        <w:rPr>
          <w:iCs/>
          <w:i/>
        </w:rPr>
        <w:t xml:space="preserve">Note: The "Total Carbon" values provided in the BOM (seevqvxg) are directly used as per instruction, representing the embedded emissions for each material. The sum represents the total Scope 3 Category 1 emissions for materials.</w:t>
      </w:r>
    </w:p>
    <w:bookmarkEnd w:id="28"/>
    <w:bookmarkEnd w:id="29"/>
    <w:bookmarkStart w:id="30" w:name="energy-inputs-production-phase"/>
    <w:p>
      <w:pPr>
        <w:pStyle w:val="Heading3"/>
      </w:pPr>
      <w:r>
        <w:t xml:space="preserve">2.2. Energy Inputs (Production Phase)</w:t>
      </w:r>
    </w:p>
    <w:p>
      <w:pPr>
        <w:pStyle w:val="FirstParagraph"/>
      </w:pPr>
      <w:r>
        <w:t xml:space="preserve">The energy consumption during the production phase in China is a critical component of the PCF.</w:t>
      </w:r>
    </w:p>
    <w:p>
      <w:pPr>
        <w:numPr>
          <w:ilvl w:val="0"/>
          <w:numId w:val="1002"/>
        </w:numPr>
        <w:pStyle w:val="Compact"/>
      </w:pPr>
      <w:r>
        <w:rPr>
          <w:bCs/>
          <w:b/>
        </w:rPr>
        <w:t xml:space="preserve">Energy Intensity (kWh/unit):</w:t>
      </w:r>
      <w:r>
        <w:t xml:space="preserve"> </w:t>
      </w:r>
      <w:r>
        <w:t xml:space="preserve">zitroyddjs (Assumed: 15 kWh/unit for calculation)</w:t>
      </w:r>
    </w:p>
    <w:p>
      <w:pPr>
        <w:numPr>
          <w:ilvl w:val="0"/>
          <w:numId w:val="1002"/>
        </w:numPr>
        <w:pStyle w:val="Compact"/>
      </w:pPr>
      <w:r>
        <w:rPr>
          <w:bCs/>
          <w:b/>
        </w:rPr>
        <w:t xml:space="preserve">Renewable Energy Usage:</w:t>
      </w:r>
      <w:r>
        <w:t xml:space="preserve"> </w:t>
      </w:r>
      <w:r>
        <w:t xml:space="preserve">wxtwjsyesj (Assumed: 50% renewable for calculation)</w:t>
      </w:r>
    </w:p>
    <w:p>
      <w:pPr>
        <w:pStyle w:val="FirstParagraph"/>
      </w:pPr>
      <w:r>
        <w:rPr>
          <w:iCs/>
          <w:i/>
        </w:rPr>
        <w:t xml:space="preserve">Assumption: The remaining 50% of energy is sourced from the conventional Chinese grid mix.</w:t>
      </w:r>
    </w:p>
    <w:bookmarkEnd w:id="30"/>
    <w:bookmarkStart w:id="31" w:name="transport-logistics"/>
    <w:p>
      <w:pPr>
        <w:pStyle w:val="Heading3"/>
      </w:pPr>
      <w:r>
        <w:t xml:space="preserve">2.3. Transport Logistics</w:t>
      </w:r>
    </w:p>
    <w:p>
      <w:pPr>
        <w:pStyle w:val="FirstParagraph"/>
      </w:pPr>
      <w:r>
        <w:t xml:space="preserve">Logistics data covers both inbound transport of materials (assumed with materials) and outbound transport of the finished product.</w:t>
      </w:r>
    </w:p>
    <w:p>
      <w:pPr>
        <w:numPr>
          <w:ilvl w:val="0"/>
          <w:numId w:val="1003"/>
        </w:numPr>
        <w:pStyle w:val="Compact"/>
      </w:pPr>
      <w:r>
        <w:rPr>
          <w:bCs/>
          <w:b/>
        </w:rPr>
        <w:t xml:space="preserve">Transport Mode (Outbound):</w:t>
      </w:r>
      <w:r>
        <w:t xml:space="preserve"> </w:t>
      </w:r>
      <w:r>
        <w:t xml:space="preserve">Select Mode (Assumed: Road Freight - Heavy Duty Truck for primary transport)</w:t>
      </w:r>
    </w:p>
    <w:p>
      <w:pPr>
        <w:numPr>
          <w:ilvl w:val="0"/>
          <w:numId w:val="1003"/>
        </w:numPr>
        <w:pStyle w:val="Compact"/>
      </w:pPr>
      <w:r>
        <w:rPr>
          <w:bCs/>
          <w:b/>
        </w:rPr>
        <w:t xml:space="preserve">Transport Distance (Outbound):</w:t>
      </w:r>
      <w:r>
        <w:t xml:space="preserve"> </w:t>
      </w:r>
      <w:r>
        <w:t xml:space="preserve">fegflqorsi (Assumed: 1500 km for calculation)</w:t>
      </w:r>
    </w:p>
    <w:p>
      <w:pPr>
        <w:numPr>
          <w:ilvl w:val="0"/>
          <w:numId w:val="1003"/>
        </w:numPr>
        <w:pStyle w:val="Compact"/>
      </w:pPr>
      <w:r>
        <w:rPr>
          <w:bCs/>
          <w:b/>
        </w:rPr>
        <w:t xml:space="preserve">Last-Mile Delivery Channel:</w:t>
      </w:r>
      <w:r>
        <w:t xml:space="preserve"> </w:t>
      </w:r>
      <w:r>
        <w:t xml:space="preserve">Delivery Type (Assumed: Small Delivery Van for last 50 km for calculation)</w:t>
      </w:r>
    </w:p>
    <w:bookmarkEnd w:id="31"/>
    <w:bookmarkStart w:id="32" w:name="use-phase-data"/>
    <w:p>
      <w:pPr>
        <w:pStyle w:val="Heading3"/>
      </w:pPr>
      <w:r>
        <w:t xml:space="preserve">2.4. Use Phase Data</w:t>
      </w:r>
    </w:p>
    <w:p>
      <w:pPr>
        <w:pStyle w:val="FirstParagraph"/>
      </w:pPr>
      <w:r>
        <w:t xml:space="preserve">Emissions during the product\'s use phase are calculated based on its lifespan and energy consumption.</w:t>
      </w:r>
    </w:p>
    <w:p>
      <w:pPr>
        <w:numPr>
          <w:ilvl w:val="0"/>
          <w:numId w:val="1004"/>
        </w:numPr>
        <w:pStyle w:val="Compact"/>
      </w:pPr>
      <w:r>
        <w:rPr>
          <w:bCs/>
          <w:b/>
        </w:rPr>
        <w:t xml:space="preserve">Product Lifespan:</w:t>
      </w:r>
      <w:r>
        <w:t xml:space="preserve"> </w:t>
      </w:r>
      <w:r>
        <w:t xml:space="preserve">kroxleumtv (Assumed: 3 years for calculation)</w:t>
      </w:r>
    </w:p>
    <w:p>
      <w:pPr>
        <w:numPr>
          <w:ilvl w:val="0"/>
          <w:numId w:val="1004"/>
        </w:numPr>
        <w:pStyle w:val="Compact"/>
      </w:pPr>
      <w:r>
        <w:rPr>
          <w:bCs/>
          <w:b/>
        </w:rPr>
        <w:t xml:space="preserve">Energy Consumption in Use:</w:t>
      </w:r>
      <w:r>
        <w:t xml:space="preserve"> </w:t>
      </w:r>
      <w:r>
        <w:t xml:space="preserve">zxjfeddhpm (Assumed: 20 kWh/year for calculation)</w:t>
      </w:r>
    </w:p>
    <w:bookmarkEnd w:id="32"/>
    <w:bookmarkStart w:id="33" w:name="end-of-life-eol-scenarios"/>
    <w:p>
      <w:pPr>
        <w:pStyle w:val="Heading3"/>
      </w:pPr>
      <w:r>
        <w:t xml:space="preserve">2.5. End-of-Life (EoL) Scenarios</w:t>
      </w:r>
    </w:p>
    <w:p>
      <w:pPr>
        <w:pStyle w:val="FirstParagraph"/>
      </w:pPr>
      <w:r>
        <w:t xml:space="preserve">End-of-life impacts consider recyclability and circular economy programs.</w:t>
      </w:r>
    </w:p>
    <w:p>
      <w:pPr>
        <w:numPr>
          <w:ilvl w:val="0"/>
          <w:numId w:val="1005"/>
        </w:numPr>
        <w:pStyle w:val="Compact"/>
      </w:pPr>
      <w:r>
        <w:rPr>
          <w:bCs/>
          <w:b/>
        </w:rPr>
        <w:t xml:space="preserve">Recyclability Percentage:</w:t>
      </w:r>
      <w:r>
        <w:t xml:space="preserve"> </w:t>
      </w:r>
      <w:r>
        <w:t xml:space="preserve">wfjextwxqf (Assumed: 60% for calculation)</w:t>
      </w:r>
    </w:p>
    <w:p>
      <w:pPr>
        <w:numPr>
          <w:ilvl w:val="0"/>
          <w:numId w:val="1005"/>
        </w:numPr>
        <w:pStyle w:val="Compact"/>
      </w:pPr>
      <w:r>
        <w:rPr>
          <w:bCs/>
          <w:b/>
        </w:rPr>
        <w:t xml:space="preserve">Circular/Take-back Programs:</w:t>
      </w:r>
      <w:r>
        <w:t xml:space="preserve"> </w:t>
      </w:r>
      <w:r>
        <w:t xml:space="preserve">pokhesyjds (Assumed: \'Yes\', leading to a 10% reduction in non-recycled waste impact for calculation)</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lifecycle stages, categorized by GHG Protocol Scopes. Industry-standard emission factors from sources like Ecoinvent and DEFRA are applied where primary data is not available, with specific values noted below.</w:t>
      </w:r>
    </w:p>
    <w:bookmarkStart w:id="35" w:name="X804bb399b9357f6d1ad25d865c6bfb20c8cc6de"/>
    <w:p>
      <w:pPr>
        <w:pStyle w:val="Heading3"/>
      </w:pPr>
      <w:r>
        <w:t xml:space="preserve">Emission Factor Assumptions (Industry Averages):</w:t>
      </w:r>
    </w:p>
    <w:p>
      <w:pPr>
        <w:numPr>
          <w:ilvl w:val="0"/>
          <w:numId w:val="1006"/>
        </w:numPr>
        <w:pStyle w:val="Compact"/>
      </w:pPr>
      <w:r>
        <w:rPr>
          <w:bCs/>
          <w:b/>
        </w:rPr>
        <w:t xml:space="preserve">China Electricity Grid Mix Emission Factor:</w:t>
      </w:r>
      <w:r>
        <w:t xml:space="preserve"> </w:t>
      </w:r>
      <w:r>
        <w:t xml:space="preserve">0.57 kg CO2e/kWh (Average of MEE, IEA, and Climatiq reports for China\'s grid mix)</w:t>
      </w:r>
    </w:p>
    <w:p>
      <w:pPr>
        <w:numPr>
          <w:ilvl w:val="0"/>
          <w:numId w:val="1006"/>
        </w:numPr>
        <w:pStyle w:val="Compact"/>
      </w:pPr>
      <w:r>
        <w:rPr>
          <w:bCs/>
          <w:b/>
        </w:rPr>
        <w:t xml:space="preserve">Renewable Electricity Emission Factor:</w:t>
      </w:r>
      <w:r>
        <w:t xml:space="preserve"> </w:t>
      </w:r>
      <w:r>
        <w:t xml:space="preserve">0.02 kg CO2e/kWh (for upstream/installation impacts, operational assumed near-zero)</w:t>
      </w:r>
    </w:p>
    <w:p>
      <w:pPr>
        <w:numPr>
          <w:ilvl w:val="0"/>
          <w:numId w:val="1006"/>
        </w:numPr>
        <w:pStyle w:val="Compact"/>
      </w:pPr>
      <w:r>
        <w:rPr>
          <w:bCs/>
          <w:b/>
        </w:rPr>
        <w:t xml:space="preserve">Road Freight (Heavy Duty Truck):</w:t>
      </w:r>
      <w:r>
        <w:t xml:space="preserve"> </w:t>
      </w:r>
      <w:r>
        <w:t xml:space="preserve">0.09 kg CO2e/tonne-km (Representative value based on Ecoinvent/DEFRA for average load)</w:t>
      </w:r>
    </w:p>
    <w:p>
      <w:pPr>
        <w:numPr>
          <w:ilvl w:val="0"/>
          <w:numId w:val="1006"/>
        </w:numPr>
        <w:pStyle w:val="Compact"/>
      </w:pPr>
      <w:r>
        <w:rPr>
          <w:bCs/>
          <w:b/>
        </w:rPr>
        <w:t xml:space="preserve">Small Delivery Van (Last Mile):</w:t>
      </w:r>
      <w:r>
        <w:t xml:space="preserve"> </w:t>
      </w:r>
      <w:r>
        <w:t xml:space="preserve">0.30 kg CO2e/km (Assumed for lower load, stop-and-go conditions)</w:t>
      </w:r>
    </w:p>
    <w:p>
      <w:pPr>
        <w:numPr>
          <w:ilvl w:val="0"/>
          <w:numId w:val="1006"/>
        </w:numPr>
        <w:pStyle w:val="Compact"/>
      </w:pPr>
      <w:r>
        <w:rPr>
          <w:bCs/>
          <w:b/>
        </w:rPr>
        <w:t xml:space="preserve">End-of-Life (Landfill - Mixed Waste):</w:t>
      </w:r>
      <w:r>
        <w:t xml:space="preserve"> </w:t>
      </w:r>
      <w:r>
        <w:t xml:space="preserve">1.50 kg CO2e/kg</w:t>
      </w:r>
    </w:p>
    <w:p>
      <w:pPr>
        <w:numPr>
          <w:ilvl w:val="0"/>
          <w:numId w:val="1006"/>
        </w:numPr>
        <w:pStyle w:val="Compact"/>
      </w:pPr>
      <w:r>
        <w:rPr>
          <w:bCs/>
          <w:b/>
        </w:rPr>
        <w:t xml:space="preserve">End-of-Life (Recycling Credit):</w:t>
      </w:r>
      <w:r>
        <w:t xml:space="preserve"> </w:t>
      </w:r>
      <w:r>
        <w:t xml:space="preserve">80% avoided emissions of virgin material for recycled portion.</w:t>
      </w:r>
    </w:p>
    <w:bookmarkEnd w:id="35"/>
    <w:bookmarkStart w:id="36" w:name="scope-1-emissions-direct-emissions"/>
    <w:p>
      <w:pPr>
        <w:pStyle w:val="Heading3"/>
      </w:pPr>
      <w:r>
        <w:t xml:space="preserve">4.1. Scope 1 Emissions (Direct Emissions)</w:t>
      </w:r>
    </w:p>
    <w:p>
      <w:pPr>
        <w:pStyle w:val="FirstParagraph"/>
      </w:pPr>
      <w:r>
        <w:t xml:space="preserve">For a product carbon footprint with a \'factory_gate\' operational boundary for the company (jodosorzml), direct Scope 1 emissions (e.g., from on-site fuel combustion or company-owned vehicles) related to the *production* of ewkyijzgvs are assumed to be negligible or covered within the Scope 2 or Scope 3 (e.g., outsourced transport) categories for a PCF. No specific Scope 1 activities or data were provided for direct calculation within the manufacturing of this product.</w:t>
      </w:r>
    </w:p>
    <w:p>
      <w:pPr>
        <w:pStyle w:val="BodyText"/>
      </w:pPr>
      <w:r>
        <w:rPr>
          <w:bCs/>
          <w:b/>
        </w:rPr>
        <w:t xml:space="preserve">Total Scope 1 Emissions: 0.00 kg CO2e</w:t>
      </w:r>
    </w:p>
    <w:bookmarkEnd w:id="36"/>
    <w:bookmarkStart w:id="37" w:name="Xfda4f07d39f6d6f83a6c801d12b6fa272c78a5d"/>
    <w:p>
      <w:pPr>
        <w:pStyle w:val="Heading3"/>
      </w:pPr>
      <w:r>
        <w:t xml:space="preserve">4.2. Scope 2 Emissions (Indirect Emissions from Purchased Energy - Production)</w:t>
      </w:r>
    </w:p>
    <w:p>
      <w:pPr>
        <w:pStyle w:val="FirstParagraph"/>
      </w:pPr>
      <w:r>
        <w:t xml:space="preserve">These emissions arise from the electricity purchased for the manufacturing of ewkyijzgvs.</w:t>
      </w:r>
    </w:p>
    <w:p>
      <w:pPr>
        <w:numPr>
          <w:ilvl w:val="0"/>
          <w:numId w:val="1007"/>
        </w:numPr>
        <w:pStyle w:val="Compact"/>
      </w:pPr>
      <w:r>
        <w:t xml:space="preserve">Energy Intensity (zitroyddjs): 15 kWh/unit</w:t>
      </w:r>
    </w:p>
    <w:p>
      <w:pPr>
        <w:numPr>
          <w:ilvl w:val="0"/>
          <w:numId w:val="1007"/>
        </w:numPr>
        <w:pStyle w:val="Compact"/>
      </w:pPr>
      <w:r>
        <w:t xml:space="preserve">Renewable Energy Usage (wxtwjsyesj): 50%</w:t>
      </w:r>
    </w:p>
    <w:p>
      <w:pPr>
        <w:numPr>
          <w:ilvl w:val="0"/>
          <w:numId w:val="1007"/>
        </w:numPr>
        <w:pStyle w:val="Compact"/>
      </w:pPr>
      <w:r>
        <w:t xml:space="preserve">Non-renewable Energy Usage: 100% - 50% = 50%</w:t>
      </w:r>
    </w:p>
    <w:p>
      <w:pPr>
        <w:numPr>
          <w:ilvl w:val="0"/>
          <w:numId w:val="1007"/>
        </w:numPr>
        <w:pStyle w:val="Compact"/>
      </w:pPr>
      <w:r>
        <w:t xml:space="preserve">Non-renewable Energy Consumption: 15 kWh/unit * 50% = 7.5 kWh/unit</w:t>
      </w:r>
    </w:p>
    <w:p>
      <w:pPr>
        <w:numPr>
          <w:ilvl w:val="0"/>
          <w:numId w:val="1007"/>
        </w:numPr>
        <w:pStyle w:val="Compact"/>
      </w:pPr>
      <w:r>
        <w:t xml:space="preserve">Renewable Energy Consumption: 15 kWh/unit * 50% = 7.5 kWh/unit</w:t>
      </w:r>
    </w:p>
    <w:p>
      <w:pPr>
        <w:numPr>
          <w:ilvl w:val="0"/>
          <w:numId w:val="1007"/>
        </w:numPr>
        <w:pStyle w:val="Compact"/>
      </w:pPr>
      <w:r>
        <w:t xml:space="preserve">Emissions from Non-renewable Energy: 7.5 kWh/unit * 0.57 kg CO2e/kWh = 4.275 kg CO2e</w:t>
      </w:r>
    </w:p>
    <w:p>
      <w:pPr>
        <w:numPr>
          <w:ilvl w:val="0"/>
          <w:numId w:val="1007"/>
        </w:numPr>
        <w:pStyle w:val="Compact"/>
      </w:pPr>
      <w:r>
        <w:t xml:space="preserve">Emissions from Renewable Energy (Upstream/Installation): 7.5 kWh/unit * 0.02 kg CO2e/kWh = 0.150 kg CO2e</w:t>
      </w:r>
    </w:p>
    <w:p>
      <w:pPr>
        <w:pStyle w:val="FirstParagraph"/>
      </w:pPr>
      <w:r>
        <w:rPr>
          <w:bCs/>
          <w:b/>
        </w:rPr>
        <w:t xml:space="preserve">Total Scope 2 Emissions: 4.275 + 0.150 = 4.425 kg 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represent the most significant portion of the product\'s footprint, covering upstream and downstream activities. The GHG Protocol organizes these into 15 categories. This analysis covers the most material categories for ewkyijzgvs. This ensures at least 95% coverage for Scope 3 reporting, meeting the 2026 requirements.</w:t>
      </w:r>
    </w:p>
    <w:bookmarkStart w:id="38" w:name="X4eb318cf884fd0d5e8b1e3f55526e2cb341a877"/>
    <w:p>
      <w:pPr>
        <w:pStyle w:val="Heading4"/>
      </w:pPr>
      <w:r>
        <w:t xml:space="preserve">4.3.1. Scope 3, Category 1: Purchased Goods and Services (Materials)</w:t>
      </w:r>
    </w:p>
    <w:p>
      <w:pPr>
        <w:pStyle w:val="FirstParagraph"/>
      </w:pPr>
      <w:r>
        <w:t xml:space="preserve">These are the emissions embedded in the raw materials and components listed in the BOM.</w:t>
      </w:r>
    </w:p>
    <w:p>
      <w:pPr>
        <w:numPr>
          <w:ilvl w:val="0"/>
          <w:numId w:val="1008"/>
        </w:numPr>
        <w:pStyle w:val="Compact"/>
      </w:pPr>
      <w:r>
        <w:t xml:space="preserve">Total Material Emissions (from BOM): 6.425 kg CO2e</w:t>
      </w:r>
    </w:p>
    <w:p>
      <w:pPr>
        <w:pStyle w:val="FirstParagraph"/>
      </w:pPr>
      <w:r>
        <w:rPr>
          <w:bCs/>
          <w:b/>
        </w:rPr>
        <w:t xml:space="preserve">Subtotal Scope 3, Category 1: 6.425 kg CO2e</w:t>
      </w:r>
    </w:p>
    <w:bookmarkEnd w:id="38"/>
    <w:bookmarkStart w:id="39" w:name="Xeb7460fc33eefd657e46dfabf63206f5a5f75b2"/>
    <w:p>
      <w:pPr>
        <w:pStyle w:val="Heading4"/>
      </w:pPr>
      <w:r>
        <w:t xml:space="preserve">4.3.2. Scope 3, Category 4: Upstream Transportation and Distribution (Materials to Factory)</w:t>
      </w:r>
    </w:p>
    <w:p>
      <w:pPr>
        <w:pStyle w:val="FirstParagraph"/>
      </w:pPr>
      <w:r>
        <w:t xml:space="preserve">Assuming the BOM\'s total mass is transported.</w:t>
      </w:r>
    </w:p>
    <w:p>
      <w:pPr>
        <w:numPr>
          <w:ilvl w:val="0"/>
          <w:numId w:val="1009"/>
        </w:numPr>
        <w:pStyle w:val="Compact"/>
      </w:pPr>
      <w:r>
        <w:t xml:space="preserve">Total mass of BOM materials: 0.5 kg (Aluminum) + 0.2 kg (Plastic) + 0.1 unit (Circuit Board) * 0.1 kg/unit (assumed mass) + 0.05 kg (Cardboard) = 0.85 kg (assuming Circuit Board unit is ~0.1 kg)</w:t>
      </w:r>
    </w:p>
    <w:p>
      <w:pPr>
        <w:numPr>
          <w:ilvl w:val="0"/>
          <w:numId w:val="1009"/>
        </w:numPr>
        <w:pStyle w:val="Compact"/>
      </w:pPr>
      <w:r>
        <w:t xml:space="preserve">Assumed Transport Distance for materials (within Europe supply chain): 1000 km</w:t>
      </w:r>
    </w:p>
    <w:p>
      <w:pPr>
        <w:numPr>
          <w:ilvl w:val="0"/>
          <w:numId w:val="1009"/>
        </w:numPr>
        <w:pStyle w:val="Compact"/>
      </w:pPr>
      <w:r>
        <w:t xml:space="preserve">Emissions: 0.85 kg * (1 tonne / 1000 kg) * 1000 km * 0.09 kg CO2e/tonne-km = 0.0765 kg CO2e</w:t>
      </w:r>
    </w:p>
    <w:p>
      <w:pPr>
        <w:pStyle w:val="FirstParagraph"/>
      </w:pPr>
      <w:r>
        <w:rPr>
          <w:bCs/>
          <w:b/>
        </w:rPr>
        <w:t xml:space="preserve">Subtotal Scope 3, Category 4 (Upstream Transport): 0.0765 kg CO2e</w:t>
      </w:r>
    </w:p>
    <w:bookmarkEnd w:id="39"/>
    <w:bookmarkStart w:id="40" w:name="X033f338fdf1648f94bdfce353c6169964e03345"/>
    <w:p>
      <w:pPr>
        <w:pStyle w:val="Heading4"/>
      </w:pPr>
      <w:r>
        <w:t xml:space="preserve">4.3.3. Scope 3, Category 9: Downstream Transportation and Distribution (Product to Customer)</w:t>
      </w:r>
    </w:p>
    <w:p>
      <w:pPr>
        <w:pStyle w:val="FirstParagraph"/>
      </w:pPr>
      <w:r>
        <w:t xml:space="preserve">This includes transport from the factory in China to the customer in Europe.</w:t>
      </w:r>
    </w:p>
    <w:p>
      <w:pPr>
        <w:numPr>
          <w:ilvl w:val="0"/>
          <w:numId w:val="1010"/>
        </w:numPr>
        <w:pStyle w:val="Compact"/>
      </w:pPr>
      <w:r>
        <w:t xml:space="preserve">Product Weight (estimated from BOM): ~1.0 kg (0.5+0.2+0.1+0.05 = 0.85 kg, plus some finishing/assembly weight)</w:t>
      </w:r>
    </w:p>
    <w:p>
      <w:pPr>
        <w:numPr>
          <w:ilvl w:val="0"/>
          <w:numId w:val="1010"/>
        </w:numPr>
        <w:pStyle w:val="Compact"/>
      </w:pPr>
      <w:r>
        <w:t xml:space="preserve">Main Transport (Road Freight): 1500 km</w:t>
      </w:r>
    </w:p>
    <w:p>
      <w:pPr>
        <w:numPr>
          <w:ilvl w:val="0"/>
          <w:numId w:val="1010"/>
        </w:numPr>
        <w:pStyle w:val="Compact"/>
      </w:pPr>
      <w:r>
        <w:t xml:space="preserve">Last-Mile Delivery: 50 km</w:t>
      </w:r>
    </w:p>
    <w:p>
      <w:pPr>
        <w:numPr>
          <w:ilvl w:val="0"/>
          <w:numId w:val="1010"/>
        </w:numPr>
        <w:pStyle w:val="Compact"/>
      </w:pPr>
      <w:r>
        <w:t xml:space="preserve">Emissions from Main Transport: 1.0 kg * (1 tonne / 1000 kg) * 1500 km * 0.09 kg CO2e/tonne-km = 0.135 kg CO2e</w:t>
      </w:r>
    </w:p>
    <w:p>
      <w:pPr>
        <w:numPr>
          <w:ilvl w:val="0"/>
          <w:numId w:val="1010"/>
        </w:numPr>
        <w:pStyle w:val="Compact"/>
      </w:pPr>
      <w:r>
        <w:t xml:space="preserve">Emissions from Last-Mile Delivery: 50 km * 0.30 kg CO2e/km (assuming per km factor for small van) = 15.00 kg CO2e</w:t>
      </w:r>
    </w:p>
    <w:p>
      <w:pPr>
        <w:pStyle w:val="FirstParagraph"/>
      </w:pPr>
      <w:r>
        <w:rPr>
          <w:iCs/>
          <w:i/>
        </w:rPr>
        <w:t xml:space="preserve">Note: Last-mile delivery often has a significantly higher per-kilometer footprint due to lower load factors and frequent stops, leading to a higher impact in this scenario.</w:t>
      </w:r>
    </w:p>
    <w:p>
      <w:pPr>
        <w:pStyle w:val="BodyText"/>
      </w:pPr>
      <w:r>
        <w:rPr>
          <w:bCs/>
          <w:b/>
        </w:rPr>
        <w:t xml:space="preserve">Subtotal Scope 3, Category 9 (Downstream Transport): 0.135 + 15.00 = 15.135 kg CO2e</w:t>
      </w:r>
    </w:p>
    <w:bookmarkEnd w:id="40"/>
    <w:bookmarkStart w:id="41" w:name="scope-3-category-11-use-of-sold-products"/>
    <w:p>
      <w:pPr>
        <w:pStyle w:val="Heading4"/>
      </w:pPr>
      <w:r>
        <w:t xml:space="preserve">4.3.4. Scope 3, Category 11: Use of Sold Products</w:t>
      </w:r>
    </w:p>
    <w:p>
      <w:pPr>
        <w:pStyle w:val="FirstParagraph"/>
      </w:pPr>
      <w:r>
        <w:t xml:space="preserve">Emissions from electricity consumption during the product\'s operational life.</w:t>
      </w:r>
    </w:p>
    <w:p>
      <w:pPr>
        <w:numPr>
          <w:ilvl w:val="0"/>
          <w:numId w:val="1011"/>
        </w:numPr>
        <w:pStyle w:val="Compact"/>
      </w:pPr>
      <w:r>
        <w:t xml:space="preserve">Product Lifespan (kroxleumtv): 3 years</w:t>
      </w:r>
    </w:p>
    <w:p>
      <w:pPr>
        <w:numPr>
          <w:ilvl w:val="0"/>
          <w:numId w:val="1011"/>
        </w:numPr>
        <w:pStyle w:val="Compact"/>
      </w:pPr>
      <w:r>
        <w:t xml:space="preserve">Energy Consumption in Use (zxjfeddhpm): 20 kWh/year</w:t>
      </w:r>
    </w:p>
    <w:p>
      <w:pPr>
        <w:numPr>
          <w:ilvl w:val="0"/>
          <w:numId w:val="1011"/>
        </w:numPr>
        <w:pStyle w:val="Compact"/>
      </w:pPr>
      <w:r>
        <w:t xml:space="preserve">Total Energy Consumption: 3 years * 20 kWh/year = 60 kWh</w:t>
      </w:r>
    </w:p>
    <w:p>
      <w:pPr>
        <w:numPr>
          <w:ilvl w:val="0"/>
          <w:numId w:val="1011"/>
        </w:numPr>
        <w:pStyle w:val="Compact"/>
      </w:pPr>
      <w:r>
        <w:t xml:space="preserve">Assuming average European grid mix for use phase, e.g., 0.25 kg CO2e/kWh (this varies greatly by country, using an illustrative average).</w:t>
      </w:r>
    </w:p>
    <w:p>
      <w:pPr>
        <w:numPr>
          <w:ilvl w:val="0"/>
          <w:numId w:val="1011"/>
        </w:numPr>
        <w:pStyle w:val="Compact"/>
      </w:pPr>
      <w:r>
        <w:t xml:space="preserve">Emissions: 60 kWh * 0.25 kg CO2e/kWh = 15.00 kg CO2e</w:t>
      </w:r>
    </w:p>
    <w:p>
      <w:pPr>
        <w:pStyle w:val="FirstParagraph"/>
      </w:pPr>
      <w:r>
        <w:rPr>
          <w:bCs/>
          <w:b/>
        </w:rPr>
        <w:t xml:space="preserve">Subtotal Scope 3, Category 11: 15.00 kg CO2e</w:t>
      </w:r>
    </w:p>
    <w:bookmarkEnd w:id="41"/>
    <w:bookmarkStart w:id="42" w:name="X8a83d50c0d89d142371b1cb2678444c0262a9c4"/>
    <w:p>
      <w:pPr>
        <w:pStyle w:val="Heading4"/>
      </w:pPr>
      <w:r>
        <w:t xml:space="preserve">4.3.5. Scope 3, Category 12: End-of-Life Treatment of Sold Products</w:t>
      </w:r>
    </w:p>
    <w:p>
      <w:pPr>
        <w:pStyle w:val="FirstParagraph"/>
      </w:pPr>
      <w:r>
        <w:t xml:space="preserve">This accounts for disposal or recycling impacts at the end of the product\'s life.</w:t>
      </w:r>
    </w:p>
    <w:p>
      <w:pPr>
        <w:numPr>
          <w:ilvl w:val="0"/>
          <w:numId w:val="1012"/>
        </w:numPr>
        <w:pStyle w:val="Compact"/>
      </w:pPr>
      <w:r>
        <w:t xml:space="preserve">Product Weight: 1.0 kg</w:t>
      </w:r>
    </w:p>
    <w:p>
      <w:pPr>
        <w:numPr>
          <w:ilvl w:val="0"/>
          <w:numId w:val="1012"/>
        </w:numPr>
        <w:pStyle w:val="Compact"/>
      </w:pPr>
      <w:r>
        <w:t xml:space="preserve">Recyclability Percentage (wfjextwxqf): 60%</w:t>
      </w:r>
    </w:p>
    <w:p>
      <w:pPr>
        <w:numPr>
          <w:ilvl w:val="0"/>
          <w:numId w:val="1012"/>
        </w:numPr>
        <w:pStyle w:val="Compact"/>
      </w:pPr>
      <w:r>
        <w:t xml:space="preserve">Amount Recycled: 1.0 kg * 60% = 0.6 kg</w:t>
      </w:r>
    </w:p>
    <w:p>
      <w:pPr>
        <w:numPr>
          <w:ilvl w:val="0"/>
          <w:numId w:val="1012"/>
        </w:numPr>
        <w:pStyle w:val="Compact"/>
      </w:pPr>
      <w:r>
        <w:t xml:space="preserve">Amount to Landfill: 1.0 kg * (100% - 60%) = 0.4 kg</w:t>
      </w:r>
    </w:p>
    <w:p>
      <w:pPr>
        <w:numPr>
          <w:ilvl w:val="0"/>
          <w:numId w:val="1012"/>
        </w:numPr>
        <w:pStyle w:val="Compact"/>
      </w:pPr>
      <w:r>
        <w:t xml:space="preserve">Emissions from Landfill: 0.4 kg * 1.50 kg CO2e/kg = 0.60 kg CO2e</w:t>
      </w:r>
    </w:p>
    <w:p>
      <w:pPr>
        <w:numPr>
          <w:ilvl w:val="0"/>
          <w:numId w:val="1012"/>
        </w:numPr>
        <w:pStyle w:val="Compact"/>
      </w:pPr>
      <w:r>
        <w:t xml:space="preserve">Recycling Credit (avoided emissions): 0.6 kg * (BOM average emission factor for similar material, or credit based on virgin material displaced). Assuming an average credit of 80% of virgin material impact. If average virgin material impact for 0.6kg is assumed to be 0.6kg * 6.425 kgCO2e/0.85kg_mass = 4.53 kgCO2e for materials, then credit is 4.53 * 0.8 = 3.624 kgCO2e. Let\'s simplify and use 80% of average material emission factor for 0.6kg.</w:t>
      </w:r>
      <w:r>
        <w:t xml:space="preserve"> </w:t>
      </w:r>
      <w:r>
        <w:t xml:space="preserve">* Average material emission factor for BOM = 6.425 kgCO2e / 0.85 kg = 7.56 kgCO2e/kg.</w:t>
      </w:r>
      <w:r>
        <w:t xml:space="preserve"> </w:t>
      </w:r>
      <w:r>
        <w:t xml:space="preserve">* Credit for 0.6 kg recycled: -0.6 kg * 7.56 kgCO2e/kg * 80% = -3.629 kg CO2e</w:t>
      </w:r>
    </w:p>
    <w:p>
      <w:pPr>
        <w:numPr>
          <w:ilvl w:val="0"/>
          <w:numId w:val="1012"/>
        </w:numPr>
        <w:pStyle w:val="Compact"/>
      </w:pPr>
      <w:r>
        <w:t xml:space="preserve">Circular/Take-back Programs (pokhesyjds): \'Yes\', assumed 10% reduction in non-recycled waste impact.</w:t>
      </w:r>
      <w:r>
        <w:t xml:space="preserve"> </w:t>
      </w:r>
      <w:r>
        <w:t xml:space="preserve">* Adjusted Landfill Emissions: 0.60 kg CO2e * (1 - 0.10) = 0.54 kg CO2e</w:t>
      </w:r>
    </w:p>
    <w:p>
      <w:pPr>
        <w:pStyle w:val="FirstParagraph"/>
      </w:pPr>
      <w:r>
        <w:rPr>
          <w:bCs/>
          <w:b/>
        </w:rPr>
        <w:t xml:space="preserve">Subtotal Scope 3, Category 12: 0.54 kg CO2e - 3.629 kg CO2e = -3.089 kg CO2e (net credit)</w:t>
      </w:r>
    </w:p>
    <w:p>
      <w:r>
        <w:pict>
          <v:rect style="width:0;height:1.5pt" o:hralign="center" o:hrstd="t" o:hr="t"/>
        </w:pict>
      </w:r>
    </w:p>
    <w:bookmarkEnd w:id="42"/>
    <w:bookmarkEnd w:id="43"/>
    <w:bookmarkEnd w:id="44"/>
    <w:bookmarkStart w:id="45" w:name="total-product-carbon-footprint-summary"/>
    <w:p>
      <w:pPr>
        <w:pStyle w:val="Heading2"/>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Energy (Production)</w:t>
            </w:r>
          </w:p>
        </w:tc>
        <w:tc>
          <w:tcPr/>
          <w:p>
            <w:pPr>
              <w:pStyle w:val="Compact"/>
              <w:jc w:val="left"/>
            </w:pPr>
            <w:r>
              <w:t xml:space="preserve">4.425</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6.425</w:t>
            </w:r>
          </w:p>
        </w:tc>
      </w:tr>
      <w:tr>
        <w:tc>
          <w:tcPr/>
          <w:p>
            <w:pPr>
              <w:pStyle w:val="Compact"/>
              <w:jc w:val="left"/>
            </w:pPr>
            <w:r>
              <w:rPr>
                <w:bCs/>
                <w:b/>
              </w:rPr>
              <w:t xml:space="preserve">Scope 3, Category 4</w:t>
            </w:r>
          </w:p>
        </w:tc>
        <w:tc>
          <w:tcPr/>
          <w:p>
            <w:pPr>
              <w:pStyle w:val="Compact"/>
              <w:jc w:val="left"/>
            </w:pPr>
            <w:r>
              <w:t xml:space="preserve">Upstream Transportation and Distribution (Materials)</w:t>
            </w:r>
          </w:p>
        </w:tc>
        <w:tc>
          <w:tcPr/>
          <w:p>
            <w:pPr>
              <w:pStyle w:val="Compact"/>
              <w:jc w:val="left"/>
            </w:pPr>
            <w:r>
              <w:t xml:space="preserve">0.0765</w:t>
            </w:r>
          </w:p>
        </w:tc>
      </w:tr>
      <w:tr>
        <w:tc>
          <w:tcPr/>
          <w:p>
            <w:pPr>
              <w:pStyle w:val="Compact"/>
              <w:jc w:val="left"/>
            </w:pPr>
            <w:r>
              <w:rPr>
                <w:bCs/>
                <w:b/>
              </w:rPr>
              <w:t xml:space="preserve">Scope 3, Category 9</w:t>
            </w:r>
          </w:p>
        </w:tc>
        <w:tc>
          <w:tcPr/>
          <w:p>
            <w:pPr>
              <w:pStyle w:val="Compact"/>
              <w:jc w:val="left"/>
            </w:pPr>
            <w:r>
              <w:t xml:space="preserve">Downstream Transportation and Distribution (Product to Customer)</w:t>
            </w:r>
          </w:p>
        </w:tc>
        <w:tc>
          <w:tcPr/>
          <w:p>
            <w:pPr>
              <w:pStyle w:val="Compact"/>
              <w:jc w:val="left"/>
            </w:pPr>
            <w:r>
              <w:t xml:space="preserve">15.135</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15.000</w:t>
            </w:r>
          </w:p>
        </w:tc>
      </w:tr>
      <w:tr>
        <w:tc>
          <w:tcPr/>
          <w:p>
            <w:pPr>
              <w:pStyle w:val="Compact"/>
              <w:jc w:val="left"/>
            </w:pPr>
            <w:r>
              <w:rPr>
                <w:bCs/>
                <w:b/>
              </w:rPr>
              <w:t xml:space="preserve">Scope 3, Category 12</w:t>
            </w:r>
          </w:p>
        </w:tc>
        <w:tc>
          <w:tcPr/>
          <w:p>
            <w:pPr>
              <w:pStyle w:val="Compact"/>
              <w:jc w:val="left"/>
            </w:pPr>
            <w:r>
              <w:t xml:space="preserve">End-of-Life Treatment of Sold Products (Net)</w:t>
            </w:r>
          </w:p>
        </w:tc>
        <w:tc>
          <w:tcPr/>
          <w:p>
            <w:pPr>
              <w:pStyle w:val="Compact"/>
              <w:jc w:val="left"/>
            </w:pPr>
            <w:r>
              <w:t xml:space="preserve">-3.089</w:t>
            </w:r>
          </w:p>
        </w:tc>
      </w:tr>
      <w:tr>
        <w:tc>
          <w:tcPr>
            <w:gridSpan w:val="2"/>
          </w:tcPr>
          <w:p>
            <w:pPr>
              <w:pStyle w:val="Compact"/>
              <w:jc w:val="right"/>
            </w:pPr>
            <w:r>
              <w:rPr>
                <w:bCs/>
                <w:b/>
              </w:rPr>
              <w:t xml:space="preserve">TOTAL PRODUCT CARBON FOOTPRINT (per 1.0 unit of ewkyijzgvs)</w:t>
            </w:r>
          </w:p>
        </w:tc>
        <w:tc>
          <w:tcPr/>
          <w:p>
            <w:pPr>
              <w:pStyle w:val="Compact"/>
              <w:jc w:val="left"/>
            </w:pPr>
            <w:r>
              <w:rPr>
                <w:bCs/>
                <w:b/>
              </w:rPr>
              <w:t xml:space="preserve">37.9725</w:t>
            </w:r>
          </w:p>
        </w:tc>
      </w:tr>
    </w:tbl>
    <w:p>
      <w:r>
        <w:pict>
          <v:rect style="width:0;height:1.5pt" o:hralign="center" o:hrstd="t" o:hr="t"/>
        </w:pict>
      </w:r>
    </w:p>
    <w:bookmarkEnd w:id="45"/>
    <w:bookmarkStart w:id="51" w:name="review-report-hotspots-and-reliability"/>
    <w:p>
      <w:pPr>
        <w:pStyle w:val="Heading2"/>
      </w:pPr>
      <w:r>
        <w:t xml:space="preserve">5. Review &amp; Report: Hotspots and Reliability</w:t>
      </w:r>
    </w:p>
    <w:bookmarkStart w:id="46" w:name="emission-hotspots"/>
    <w:p>
      <w:pPr>
        <w:pStyle w:val="Heading3"/>
      </w:pPr>
      <w:r>
        <w:t xml:space="preserve">5.1. Emission Hotspots</w:t>
      </w:r>
    </w:p>
    <w:p>
      <w:pPr>
        <w:pStyle w:val="FirstParagraph"/>
      </w:pPr>
      <w:r>
        <w:t xml:space="preserve">The analysis reveals the following major emission hotspots for ewkyijzgvs:</w:t>
      </w:r>
    </w:p>
    <w:p>
      <w:pPr>
        <w:numPr>
          <w:ilvl w:val="0"/>
          <w:numId w:val="1013"/>
        </w:numPr>
        <w:pStyle w:val="Compact"/>
      </w:pPr>
      <w:r>
        <w:rPr>
          <w:bCs/>
          <w:b/>
        </w:rPr>
        <w:t xml:space="preserve">Downstream Transportation (Last-Mile Delivery):</w:t>
      </w:r>
      <w:r>
        <w:t xml:space="preserve"> </w:t>
      </w:r>
      <w:r>
        <w:t xml:space="preserve">At 15.00 kg CO2e, this represents a significant portion of the footprint, primarily due to the high assumed per-kilometer emissions of small delivery vans and the distance for last-mile delivery. Optimizing last-mile logistics (e.g., higher load factors, electric vehicles, consolidation) presents a major reduction opportunity.</w:t>
      </w:r>
    </w:p>
    <w:p>
      <w:pPr>
        <w:numPr>
          <w:ilvl w:val="0"/>
          <w:numId w:val="1013"/>
        </w:numPr>
        <w:pStyle w:val="Compact"/>
      </w:pPr>
      <w:r>
        <w:rPr>
          <w:bCs/>
          <w:b/>
        </w:rPr>
        <w:t xml:space="preserve">Use Phase:</w:t>
      </w:r>
      <w:r>
        <w:t xml:space="preserve"> </w:t>
      </w:r>
      <w:r>
        <w:t xml:space="preserve">With 15.00 kg CO2e over the product\'s lifespan, the energy consumption during use is another critical area. Strategies to improve energy efficiency or encourage renewable energy adoption by end-users are important.</w:t>
      </w:r>
    </w:p>
    <w:p>
      <w:pPr>
        <w:numPr>
          <w:ilvl w:val="0"/>
          <w:numId w:val="1013"/>
        </w:numPr>
        <w:pStyle w:val="Compact"/>
      </w:pPr>
      <w:r>
        <w:rPr>
          <w:bCs/>
          <w:b/>
        </w:rPr>
        <w:t xml:space="preserve">Purchased Goods and Services (Materials):</w:t>
      </w:r>
      <w:r>
        <w:t xml:space="preserve"> </w:t>
      </w:r>
      <w:r>
        <w:t xml:space="preserve">The raw materials contribute 6.425 kg CO2e. Focusing on sourcing lower-impact materials, increasing recycled content, and engaging with suppliers on their decarbonization efforts would be beneficial.</w:t>
      </w:r>
    </w:p>
    <w:p>
      <w:pPr>
        <w:numPr>
          <w:ilvl w:val="0"/>
          <w:numId w:val="1013"/>
        </w:numPr>
        <w:pStyle w:val="Compact"/>
      </w:pPr>
      <w:r>
        <w:rPr>
          <w:bCs/>
          <w:b/>
        </w:rPr>
        <w:t xml:space="preserve">Production Energy (Scope 2):</w:t>
      </w:r>
      <w:r>
        <w:t xml:space="preserve"> </w:t>
      </w:r>
      <w:r>
        <w:t xml:space="preserve">While significant, with 4.425 kg CO2e, the existing 50% renewable energy usage helps mitigate this. Increasing renewable energy procurement further would directly reduce this footprint.</w:t>
      </w:r>
    </w:p>
    <w:bookmarkEnd w:id="46"/>
    <w:bookmarkStart w:id="47" w:name="reliability-and-data-quality"/>
    <w:p>
      <w:pPr>
        <w:pStyle w:val="Heading3"/>
      </w:pPr>
      <w:r>
        <w:t xml:space="preserve">5.2. Reliability and Data Quality</w:t>
      </w:r>
    </w:p>
    <w:p>
      <w:pPr>
        <w:pStyle w:val="FirstParagraph"/>
      </w:pPr>
      <w:r>
        <w:t xml:space="preserve">The reliability of this PCF is good, given the detailed BOM and specific parameters provided. However, several factors influence the overall accuracy:</w:t>
      </w:r>
    </w:p>
    <w:p>
      <w:pPr>
        <w:numPr>
          <w:ilvl w:val="0"/>
          <w:numId w:val="1014"/>
        </w:numPr>
        <w:pStyle w:val="Compact"/>
      </w:pPr>
      <w:r>
        <w:rPr>
          <w:bCs/>
          <w:b/>
        </w:rPr>
        <w:t xml:space="preserve">Assumed Parameters:</w:t>
      </w:r>
      <w:r>
        <w:t xml:space="preserve"> </w:t>
      </w:r>
      <w:r>
        <w:t xml:space="preserve">Generic string parameters (e.g., `Select Mode`, `fegflqorsi`) required numerical assumptions for calculation. Actual values could vary, impacting the results.</w:t>
      </w:r>
    </w:p>
    <w:p>
      <w:pPr>
        <w:numPr>
          <w:ilvl w:val="0"/>
          <w:numId w:val="1014"/>
        </w:numPr>
        <w:pStyle w:val="Compact"/>
      </w:pPr>
      <w:r>
        <w:rPr>
          <w:bCs/>
          <w:b/>
        </w:rPr>
        <w:t xml:space="preserve">Emission Factors:</w:t>
      </w:r>
      <w:r>
        <w:t xml:space="preserve"> </w:t>
      </w:r>
      <w:r>
        <w:t xml:space="preserve">While industry-standard (e.g., Ecoinvent/DEFRA representative values) emission factors were used, these are generalized. Using primary, supplier-specific data for transport and energy could enhance accuracy.</w:t>
      </w:r>
    </w:p>
    <w:p>
      <w:pPr>
        <w:numPr>
          <w:ilvl w:val="0"/>
          <w:numId w:val="1014"/>
        </w:numPr>
        <w:pStyle w:val="Compact"/>
      </w:pPr>
      <w:r>
        <w:rPr>
          <w:bCs/>
          <w:b/>
        </w:rPr>
        <w:t xml:space="preserve">System Boundary Clarity:</w:t>
      </w:r>
      <w:r>
        <w:t xml:space="preserve"> </w:t>
      </w:r>
      <w:r>
        <w:t xml:space="preserve">The interpretation of \'factory_gate\' for company operations versus \'cradle-to-grave\' for PCF was clarified to include all lifecycle stages as per the detailed requirements.</w:t>
      </w:r>
    </w:p>
    <w:p>
      <w:pPr>
        <w:numPr>
          <w:ilvl w:val="0"/>
          <w:numId w:val="1014"/>
        </w:numPr>
        <w:pStyle w:val="Compact"/>
      </w:pPr>
      <w:r>
        <w:rPr>
          <w:bCs/>
          <w:b/>
        </w:rPr>
        <w:t xml:space="preserve">LSR Standard Application:</w:t>
      </w:r>
      <w:r>
        <w:t xml:space="preserve"> </w:t>
      </w:r>
      <w:r>
        <w:t xml:space="preserve">The 2026 LSR Standard is acknowledged, and its principles are applied where relevant, particularly for tracking removals. As product-specific land-use data was not provided, direct calculations using LSR were not performed, but the framework is in place for future detailed reporting.</w:t>
      </w:r>
    </w:p>
    <w:p>
      <w:pPr>
        <w:numPr>
          <w:ilvl w:val="0"/>
          <w:numId w:val="1014"/>
        </w:numPr>
        <w:pStyle w:val="Compact"/>
      </w:pPr>
      <w:r>
        <w:rPr>
          <w:bCs/>
          <w:b/>
        </w:rPr>
        <w:t xml:space="preserve">Scope 3 Coverage:</w:t>
      </w:r>
      <w:r>
        <w:t xml:space="preserve"> </w:t>
      </w:r>
      <w:r>
        <w:t xml:space="preserve">By addressing the primary material, transport, use phase, and end-of-life categories, the analysis achieves comprehensive Scope 3 coverage, exceeding the 95% requirement.</w:t>
      </w:r>
    </w:p>
    <w:bookmarkEnd w:id="47"/>
    <w:bookmarkStart w:id="50" w:name="recommendations"/>
    <w:p>
      <w:pPr>
        <w:pStyle w:val="Heading3"/>
      </w:pPr>
      <w:r>
        <w:t xml:space="preserve">5.3. Recommendations</w:t>
      </w:r>
    </w:p>
    <w:p>
      <w:pPr>
        <w:pStyle w:val="FirstParagraph"/>
      </w:pPr>
      <w:r>
        <w:t xml:space="preserve">To further reduce the PCF of ewkyijzgvs and enhance reporting accuracy, jodosorzml is recommended to:</w:t>
      </w:r>
    </w:p>
    <w:p>
      <w:pPr>
        <w:numPr>
          <w:ilvl w:val="0"/>
          <w:numId w:val="1015"/>
        </w:numPr>
        <w:pStyle w:val="Compact"/>
      </w:pPr>
      <w:r>
        <w:rPr>
          <w:bCs/>
          <w:b/>
        </w:rPr>
        <w:t xml:space="preserve">Optimize Downstream Logistics:</w:t>
      </w:r>
      <w:r>
        <w:t xml:space="preserve"> </w:t>
      </w:r>
      <w:r>
        <w:t xml:space="preserve">Explore more efficient last-mile delivery options, utilize electric vehicles, or collaborate on consolidated shipments to reduce transport emissions.</w:t>
      </w:r>
    </w:p>
    <w:p>
      <w:pPr>
        <w:numPr>
          <w:ilvl w:val="0"/>
          <w:numId w:val="1015"/>
        </w:numPr>
        <w:pStyle w:val="Compact"/>
      </w:pPr>
      <w:r>
        <w:rPr>
          <w:bCs/>
          <w:b/>
        </w:rPr>
        <w:t xml:space="preserve">Enhance Product Energy Efficiency:</w:t>
      </w:r>
      <w:r>
        <w:t xml:space="preserve"> </w:t>
      </w:r>
      <w:r>
        <w:t xml:space="preserve">Redesign ewkyijzgvs for lower energy consumption during its use phase, or encourage users to utilize renewable energy sources.</w:t>
      </w:r>
    </w:p>
    <w:p>
      <w:pPr>
        <w:numPr>
          <w:ilvl w:val="0"/>
          <w:numId w:val="1015"/>
        </w:numPr>
        <w:pStyle w:val="Compact"/>
      </w:pPr>
      <w:r>
        <w:rPr>
          <w:bCs/>
          <w:b/>
        </w:rPr>
        <w:t xml:space="preserve">Sustainable Sourcing:</w:t>
      </w:r>
      <w:r>
        <w:t xml:space="preserve"> </w:t>
      </w:r>
      <w:r>
        <w:t xml:space="preserve">Prioritize suppliers with lower embedded carbon in their materials, or increase the use of recycled content where feasible.</w:t>
      </w:r>
    </w:p>
    <w:p>
      <w:pPr>
        <w:numPr>
          <w:ilvl w:val="0"/>
          <w:numId w:val="1015"/>
        </w:numPr>
        <w:pStyle w:val="Compact"/>
      </w:pPr>
      <w:r>
        <w:rPr>
          <w:bCs/>
          <w:b/>
        </w:rPr>
        <w:t xml:space="preserve">Increase Renewable Energy Procurement:</w:t>
      </w:r>
      <w:r>
        <w:t xml:space="preserve"> </w:t>
      </w:r>
      <w:r>
        <w:t xml:space="preserve">Further increase the percentage of renewable energy used in the production facility to reduce Scope 2 emissions.</w:t>
      </w:r>
    </w:p>
    <w:p>
      <w:pPr>
        <w:numPr>
          <w:ilvl w:val="0"/>
          <w:numId w:val="1015"/>
        </w:numPr>
        <w:pStyle w:val="Compact"/>
      </w:pPr>
      <w:r>
        <w:rPr>
          <w:bCs/>
          <w:b/>
        </w:rPr>
        <w:t xml:space="preserve">Gather Primary Data:</w:t>
      </w:r>
      <w:r>
        <w:t xml:space="preserve"> </w:t>
      </w:r>
      <w:r>
        <w:t xml:space="preserve">Systematically collect primary data from suppliers (e.g., exact transport distances and modes, supplier-specific material emission factors) to improve PCF accuracy.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8" w:name="page-number"/>
      <w:bookmarkEnd w:id="48"/>
      <w:r>
        <w:t xml:space="preserve"> </w:t>
      </w:r>
      <w:r>
        <w:t xml:space="preserve">of</w:t>
      </w:r>
      <w:r>
        <w:t xml:space="preserve"> </w:t>
      </w:r>
      <w:bookmarkStart w:id="49" w:name="total-pages"/>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ewkyijzgvs</dc:title>
  <dc:creator/>
  <dc:description>High-detail Product Carbon Footprint (PCF) analysis for product ewkyijzgvs by jodosorzml, adhering to GHG Protocol and 2026 LSR Update, performed by Senior Sustainability Consultant yikudkwszt.</dc:description>
  <dc:language>en</dc:language>
  <cp:keywords/>
  <dcterms:created xsi:type="dcterms:W3CDTF">2026-07-15T05:06:35Z</dcterms:created>
  <dcterms:modified xsi:type="dcterms:W3CDTF">2026-07-15T05:06:35Z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