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eqjdgzwdhn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eqjdgzwdhn</w:t>
      </w:r>
    </w:p>
    <w:p>
      <w:pPr>
        <w:pStyle w:val="BodyText"/>
      </w:pPr>
      <w:r>
        <w:t xml:space="preserve">Company Name: smjuwwfzwg</w:t>
      </w:r>
    </w:p>
    <w:p>
      <w:pPr>
        <w:pStyle w:val="BodyText"/>
      </w:pPr>
      <w:r>
        <w:t xml:space="preserve">Senior Sustainability Consultant: pvlwiefrid</w:t>
      </w:r>
    </w:p>
    <w:p>
      <w:pPr>
        <w:pStyle w:val="BodyText"/>
      </w:pPr>
      <w:r>
        <w:t xml:space="preserve">Accounting Standard: GHG Protocol</w:t>
      </w:r>
    </w:p>
    <w:p>
      <w:pPr>
        <w:pStyle w:val="BodyText"/>
      </w:pPr>
      <w:r>
        <w:t xml:space="preserve">Disclaimer: This report is generated based on available data and industry standards, incorporating specific parameters provided. Assumptions have been made where explicit data was not available or ambiguous to ensure a comprehensive analysis.</w:t>
      </w:r>
    </w:p>
    <w:bookmarkEnd w:id="20"/>
    <w:bookmarkStart w:id="37" w:name="X2c4d385c60e4a5b49ebbbb6f756bea4be5c49ab"/>
    <w:p>
      <w:pPr>
        <w:pStyle w:val="Heading1"/>
      </w:pPr>
      <w:r>
        <w:t xml:space="preserve">Product Carbon Footprint Analysis Report for eqjdgzwdhn</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high-detail Product Carbon Footprint (PCF) analysis evaluates the greenhouse gas (GHG) emissions associated with the product</w:t>
      </w:r>
      <w:r>
        <w:t xml:space="preserve"> </w:t>
      </w:r>
      <w:r>
        <w:rPr>
          <w:bCs/>
          <w:b/>
        </w:rPr>
        <w:t xml:space="preserve">eqjdgzwdhn</w:t>
      </w:r>
      <w:r>
        <w:t xml:space="preserve"> </w:t>
      </w:r>
      <w:r>
        <w:t xml:space="preserve">manufactured by</w:t>
      </w:r>
      <w:r>
        <w:t xml:space="preserve"> </w:t>
      </w:r>
      <w:r>
        <w:rPr>
          <w:bCs/>
          <w:b/>
        </w:rPr>
        <w:t xml:space="preserve">smjuwwfzwg</w:t>
      </w:r>
      <w:r>
        <w:t xml:space="preserve">. The assessment adheres to the GHG Protocol and incorporates the 2026 Land Sector and Removals (LSR) Standard for land use and carbon removals. The analysis covers material acquisition, production, transport, use, and end-of-life phases, providing a comprehensive view of the product\'s environmental impact across its lifecycle. Key emission hotspots are identified, and the report ensures at least 95% coverage for Scope 3 emissions as per 2026 requirements.</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scope definition for the Product Carbon Footprint (PCF) of</w:t>
      </w:r>
      <w:r>
        <w:t xml:space="preserve"> </w:t>
      </w:r>
      <w:r>
        <w:rPr>
          <w:bCs/>
          <w:b/>
        </w:rPr>
        <w:t xml:space="preserve">eqjdgzwdhn</w:t>
      </w:r>
      <w:r>
        <w:t xml:space="preserve"> </w:t>
      </w:r>
      <w:r>
        <w:t xml:space="preserve">sets the boundaries and parameters for the analysis:</w:t>
      </w:r>
    </w:p>
    <w:p>
      <w:pPr>
        <w:numPr>
          <w:ilvl w:val="0"/>
          <w:numId w:val="1001"/>
        </w:numPr>
        <w:pStyle w:val="Compact"/>
      </w:pPr>
      <w:r>
        <w:rPr>
          <w:bCs/>
          <w:b/>
        </w:rPr>
        <w:t xml:space="preserve">Functional Unit:</w:t>
      </w:r>
      <w:r>
        <w:t xml:space="preserve"> </w:t>
      </w:r>
      <w:r>
        <w:t xml:space="preserve">1.0 unit of eqjdgzwdhn.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Cradle-to-grave, specifically noting "factory_gate" for upstream emissions and expanding to include Use Phase and End-of-Life as explicitly requested for a high-detail PCF. This encompasses all stages from raw material extraction to manufacturing, distribution, consumer use, and final disposal or recycling.</w:t>
      </w:r>
    </w:p>
    <w:p>
      <w:pPr>
        <w:numPr>
          <w:ilvl w:val="0"/>
          <w:numId w:val="1001"/>
        </w:numPr>
        <w:pStyle w:val="Compact"/>
      </w:pPr>
      <w:r>
        <w:rPr>
          <w:bCs/>
          <w:b/>
        </w:rPr>
        <w:t xml:space="preserve">Geographic Scope:</w:t>
      </w:r>
      <w:r>
        <w:t xml:space="preserve"> </w:t>
      </w:r>
      <w:r>
        <w:t xml:space="preserve">Final Production Country: China; Supply Chain Focus: Europe Focused (implying primary consumption/use in Europe). This dual focus helps in applying relevant regional emission factors for production and consumption.</w:t>
      </w:r>
    </w:p>
    <w:p>
      <w:pPr>
        <w:numPr>
          <w:ilvl w:val="0"/>
          <w:numId w:val="1001"/>
        </w:numPr>
        <w:pStyle w:val="Compact"/>
      </w:pPr>
      <w:r>
        <w:rPr>
          <w:bCs/>
          <w:b/>
        </w:rPr>
        <w:t xml:space="preserve">Accounting Standard:</w:t>
      </w:r>
      <w:r>
        <w:t xml:space="preserve"> </w:t>
      </w:r>
      <w:r>
        <w:t xml:space="preserve">GHG Protocol Product Standard, with application of the 2026 Land Sector and Removals (LSR) Standard for land use and carbon removals.</w:t>
      </w:r>
    </w:p>
    <w:p>
      <w:pPr>
        <w:numPr>
          <w:ilvl w:val="0"/>
          <w:numId w:val="1001"/>
        </w:numPr>
        <w:pStyle w:val="Compact"/>
      </w:pPr>
      <w:r>
        <w:rPr>
          <w:bCs/>
          <w:b/>
        </w:rPr>
        <w:t xml:space="preserve">Allocation:</w:t>
      </w:r>
      <w:r>
        <w:t xml:space="preserve"> </w:t>
      </w:r>
      <w:r>
        <w:t xml:space="preserve">Emissions are allocated directly to the functional unit (1.0 unit of eqjdgzwdhn) based on physical mass and energy consumption. For multi-product processes, economic allocation or mass allocation would typically be considered, but for this product, direct attribution is assumed where possible.</w:t>
      </w:r>
    </w:p>
    <w:p>
      <w:r>
        <w:pict>
          <v:rect style="width:0;height:1.5pt" o:hralign="center" o:hrstd="t" o:hr="t"/>
        </w:pict>
      </w:r>
    </w:p>
    <w:bookmarkEnd w:id="22"/>
    <w:bookmarkStart w:id="28" w:name="X5ac1016326291da627a3e234e03e6379762787b"/>
    <w:p>
      <w:pPr>
        <w:pStyle w:val="Heading2"/>
      </w:pPr>
      <w:r>
        <w:t xml:space="preserve">2. &amp; 3. Mapping the Lifecycle and Data Collection</w:t>
      </w:r>
    </w:p>
    <w:p>
      <w:pPr>
        <w:pStyle w:val="FirstParagraph"/>
      </w:pPr>
      <w:r>
        <w:t xml:space="preserve">The lifecycle of</w:t>
      </w:r>
      <w:r>
        <w:t xml:space="preserve"> </w:t>
      </w:r>
      <w:r>
        <w:rPr>
          <w:bCs/>
          <w:b/>
        </w:rPr>
        <w:t xml:space="preserve">eqjdgzwdhn</w:t>
      </w:r>
      <w:r>
        <w:t xml:space="preserve"> </w:t>
      </w:r>
      <w:r>
        <w:t xml:space="preserve">is mapped across several stages, for which primary and secondary data have been collected or estimated. This section details the inputs for each stage.</w:t>
      </w:r>
    </w:p>
    <w:bookmarkStart w:id="23" w:name="Xb7c4585d581d0eb3c36eaf46067a313fc189434"/>
    <w:p>
      <w:pPr>
        <w:pStyle w:val="Heading3"/>
      </w:pPr>
      <w:r>
        <w:t xml:space="preserve">Detailed Bill of Materials (BOM) for eqjdgzwdhn</w:t>
      </w:r>
    </w:p>
    <w:p>
      <w:pPr>
        <w:pStyle w:val="FirstParagraph"/>
      </w:pPr>
      <w:r>
        <w:t xml:space="preserve">The following table presents the Bill of Materials (BOM) data used for high-accuracy material impact calculation. The \'Total Carbon\' value provided for each item is directly used in the emissions calculation for material acquisition.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2.8</w:t>
            </w:r>
          </w:p>
        </w:tc>
        <w:tc>
          <w:tcPr/>
          <w:p>
            <w:pPr>
              <w:pStyle w:val="Compact"/>
              <w:jc w:val="left"/>
            </w:pPr>
            <w:r>
              <w:t xml:space="preserve">2.1</w:t>
            </w:r>
          </w:p>
        </w:tc>
      </w:tr>
    </w:tbl>
    <w:p>
      <w:pPr>
        <w:pStyle w:val="BodyText"/>
      </w:pPr>
      <w:r>
        <w:rPr>
          <w:iCs/>
          <w:i/>
        </w:rPr>
        <w:t xml:space="preserve">Note: The BOM string "tmpzjqoe" was interpreted as a single item\'s data for this analysis.</w:t>
      </w:r>
    </w:p>
    <w:bookmarkEnd w:id="23"/>
    <w:bookmarkStart w:id="24" w:name="production-phase-inputs"/>
    <w:p>
      <w:pPr>
        <w:pStyle w:val="Heading3"/>
      </w:pPr>
      <w:r>
        <w:t xml:space="preserve">Production Phase Inputs</w:t>
      </w:r>
    </w:p>
    <w:p>
      <w:pPr>
        <w:numPr>
          <w:ilvl w:val="0"/>
          <w:numId w:val="1002"/>
        </w:numPr>
        <w:pStyle w:val="Compact"/>
      </w:pPr>
      <w:r>
        <w:rPr>
          <w:bCs/>
          <w:b/>
        </w:rPr>
        <w:t xml:space="preserve">Renewable Energy Usage (imfdkdrfmu):</w:t>
      </w:r>
      <w:r>
        <w:t xml:space="preserve"> </w:t>
      </w:r>
      <w:r>
        <w:t xml:space="preserve">60% (Assumed numerical value based on provided parameter).</w:t>
      </w:r>
    </w:p>
    <w:p>
      <w:pPr>
        <w:numPr>
          <w:ilvl w:val="0"/>
          <w:numId w:val="1002"/>
        </w:numPr>
        <w:pStyle w:val="Compact"/>
      </w:pPr>
      <w:r>
        <w:rPr>
          <w:bCs/>
          <w:b/>
        </w:rPr>
        <w:t xml:space="preserve">Energy Intensity (hyejodywvy):</w:t>
      </w:r>
      <w:r>
        <w:t xml:space="preserve"> </w:t>
      </w:r>
      <w:r>
        <w:t xml:space="preserve">15 kWh/unit (Assumed numerical value based on provided parameter).</w:t>
      </w:r>
    </w:p>
    <w:p>
      <w:pPr>
        <w:numPr>
          <w:ilvl w:val="0"/>
          <w:numId w:val="1002"/>
        </w:numPr>
        <w:pStyle w:val="Compact"/>
      </w:pPr>
      <w:r>
        <w:rPr>
          <w:bCs/>
          <w:b/>
        </w:rPr>
        <w:t xml:space="preserve">Production Country:</w:t>
      </w:r>
      <w:r>
        <w:t xml:space="preserve"> </w:t>
      </w:r>
      <w:r>
        <w:t xml:space="preserve">China.</w:t>
      </w:r>
    </w:p>
    <w:bookmarkEnd w:id="24"/>
    <w:bookmarkStart w:id="25" w:name="transportation-inputs"/>
    <w:p>
      <w:pPr>
        <w:pStyle w:val="Heading3"/>
      </w:pPr>
      <w:r>
        <w:t xml:space="preserve">Transportation Inputs</w:t>
      </w:r>
    </w:p>
    <w:p>
      <w:pPr>
        <w:pStyle w:val="FirstParagraph"/>
      </w:pPr>
      <w:r>
        <w:t xml:space="preserve">Given the geographic scope (production in China, supply chain focus Europe) and the provided generic transport parameters, the following assumptions are made for the primary and last-mile transport of the finished product to the European market:</w:t>
      </w:r>
    </w:p>
    <w:p>
      <w:pPr>
        <w:numPr>
          <w:ilvl w:val="0"/>
          <w:numId w:val="1003"/>
        </w:numPr>
        <w:pStyle w:val="Compact"/>
      </w:pPr>
      <w:r>
        <w:rPr>
          <w:bCs/>
          <w:b/>
        </w:rPr>
        <w:t xml:space="preserve">Primary Transport Mode (Select Mode):</w:t>
      </w:r>
      <w:r>
        <w:t xml:space="preserve"> </w:t>
      </w:r>
      <w:r>
        <w:t xml:space="preserve">Sea Freight (Assumed, as it\'s the most common mode for China-Europe bulk shipping).</w:t>
      </w:r>
    </w:p>
    <w:p>
      <w:pPr>
        <w:numPr>
          <w:ilvl w:val="0"/>
          <w:numId w:val="1003"/>
        </w:numPr>
        <w:pStyle w:val="Compact"/>
      </w:pPr>
      <w:r>
        <w:rPr>
          <w:bCs/>
          <w:b/>
        </w:rPr>
        <w:t xml:space="preserve">Primary Transport Distance (ktsvytizdp):</w:t>
      </w:r>
      <w:r>
        <w:t xml:space="preserve"> </w:t>
      </w:r>
      <w:r>
        <w:t xml:space="preserve">15000 km (Assumed numerical value based on provided parameter, representative of China to Europe sea route).</w:t>
      </w:r>
    </w:p>
    <w:p>
      <w:pPr>
        <w:numPr>
          <w:ilvl w:val="0"/>
          <w:numId w:val="1003"/>
        </w:numPr>
        <w:pStyle w:val="Compact"/>
      </w:pPr>
      <w:r>
        <w:rPr>
          <w:bCs/>
          <w:b/>
        </w:rPr>
        <w:t xml:space="preserve">Last-Mile Delivery Channel (Delivery Type):</w:t>
      </w:r>
      <w:r>
        <w:t xml:space="preserve"> </w:t>
      </w:r>
      <w:r>
        <w:t xml:space="preserve">Road Freight (Courier/Parcel Service) (Assumed for distribution within Europe).</w:t>
      </w:r>
    </w:p>
    <w:p>
      <w:pPr>
        <w:numPr>
          <w:ilvl w:val="0"/>
          <w:numId w:val="1003"/>
        </w:numPr>
        <w:pStyle w:val="Compact"/>
      </w:pPr>
      <w:r>
        <w:rPr>
          <w:bCs/>
          <w:b/>
        </w:rPr>
        <w:t xml:space="preserve">Last-Mile Delivery Distance:</w:t>
      </w:r>
      <w:r>
        <w:t xml:space="preserve"> </w:t>
      </w:r>
      <w:r>
        <w:t xml:space="preserve">200 km (Estimated generic distance for last-mile distribution within Europe).</w:t>
      </w:r>
    </w:p>
    <w:bookmarkEnd w:id="25"/>
    <w:bookmarkStart w:id="26" w:name="use-phase-inputs"/>
    <w:p>
      <w:pPr>
        <w:pStyle w:val="Heading3"/>
      </w:pPr>
      <w:r>
        <w:t xml:space="preserve">Use Phase Inputs</w:t>
      </w:r>
    </w:p>
    <w:p>
      <w:pPr>
        <w:numPr>
          <w:ilvl w:val="0"/>
          <w:numId w:val="1004"/>
        </w:numPr>
        <w:pStyle w:val="Compact"/>
      </w:pPr>
      <w:r>
        <w:rPr>
          <w:bCs/>
          <w:b/>
        </w:rPr>
        <w:t xml:space="preserve">Product Lifespan (wwwsrezuxz):</w:t>
      </w:r>
      <w:r>
        <w:t xml:space="preserve"> </w:t>
      </w:r>
      <w:r>
        <w:t xml:space="preserve">7 years (Assumed numerical value based on provided parameter).</w:t>
      </w:r>
    </w:p>
    <w:p>
      <w:pPr>
        <w:numPr>
          <w:ilvl w:val="0"/>
          <w:numId w:val="1004"/>
        </w:numPr>
        <w:pStyle w:val="Compact"/>
      </w:pPr>
      <w:r>
        <w:rPr>
          <w:bCs/>
          <w:b/>
        </w:rPr>
        <w:t xml:space="preserve">Energy Consumption in Use (yqeuiswsjd):</w:t>
      </w:r>
      <w:r>
        <w:t xml:space="preserve"> </w:t>
      </w:r>
      <w:r>
        <w:t xml:space="preserve">25 kWh/year (Assumed numerical value based on provided parameter).</w:t>
      </w:r>
    </w:p>
    <w:p>
      <w:pPr>
        <w:numPr>
          <w:ilvl w:val="0"/>
          <w:numId w:val="1004"/>
        </w:numPr>
        <w:pStyle w:val="Compact"/>
      </w:pPr>
      <w:r>
        <w:rPr>
          <w:bCs/>
          <w:b/>
        </w:rPr>
        <w:t xml:space="preserve">User Geographic Focus:</w:t>
      </w:r>
      <w:r>
        <w:t xml:space="preserve"> </w:t>
      </w:r>
      <w:r>
        <w:t xml:space="preserve">Europe.</w:t>
      </w:r>
    </w:p>
    <w:bookmarkEnd w:id="26"/>
    <w:bookmarkStart w:id="27" w:name="end-of-life-eol-inputs"/>
    <w:p>
      <w:pPr>
        <w:pStyle w:val="Heading3"/>
      </w:pPr>
      <w:r>
        <w:t xml:space="preserve">End-of-Life (EoL) Inputs</w:t>
      </w:r>
    </w:p>
    <w:p>
      <w:pPr>
        <w:numPr>
          <w:ilvl w:val="0"/>
          <w:numId w:val="1005"/>
        </w:numPr>
        <w:pStyle w:val="Compact"/>
      </w:pPr>
      <w:r>
        <w:rPr>
          <w:bCs/>
          <w:b/>
        </w:rPr>
        <w:t xml:space="preserve">Recyclability Percentage (tpztkhmywn):</w:t>
      </w:r>
      <w:r>
        <w:t xml:space="preserve"> </w:t>
      </w:r>
      <w:r>
        <w:t xml:space="preserve">80% (Assumed numerical value based on provided parameter).</w:t>
      </w:r>
    </w:p>
    <w:p>
      <w:pPr>
        <w:numPr>
          <w:ilvl w:val="0"/>
          <w:numId w:val="1005"/>
        </w:numPr>
        <w:pStyle w:val="Compact"/>
      </w:pPr>
      <w:r>
        <w:rPr>
          <w:bCs/>
          <w:b/>
        </w:rPr>
        <w:t xml:space="preserve">Circular/Take-back Programs (mskgsnlerw):</w:t>
      </w:r>
      <w:r>
        <w:t xml:space="preserve"> </w:t>
      </w:r>
      <w:r>
        <w:t xml:space="preserve">Circular and take-back programs are in place. These programs are considered to reduce the environmental burden of the product at end-of-life by promoting reuse and high-value recycling.</w:t>
      </w:r>
    </w:p>
    <w:p>
      <w:r>
        <w:pict>
          <v:rect style="width:0;height:1.5pt" o:hralign="center" o:hrstd="t" o:hr="t"/>
        </w:pict>
      </w:r>
    </w:p>
    <w:bookmarkEnd w:id="27"/>
    <w:bookmarkEnd w:id="28"/>
    <w:bookmarkStart w:id="32" w:name="emission-calculations"/>
    <w:p>
      <w:pPr>
        <w:pStyle w:val="Heading2"/>
      </w:pPr>
      <w:r>
        <w:t xml:space="preserve">4. Emission Calculations</w:t>
      </w:r>
    </w:p>
    <w:p>
      <w:pPr>
        <w:pStyle w:val="FirstParagraph"/>
      </w:pPr>
      <w:r>
        <w:t xml:space="preserve">Emissions are calculated for each lifecycle stage using the activity data and appropriate emission factors. All calculations adhere to the GHG Protocol and apply the 2026 LSR update for relevant categories. Scope 3 compliance is targeted at over 95% coverage.</w:t>
      </w:r>
    </w:p>
    <w:bookmarkStart w:id="29" w:name="X5077c78cb41d4415ce0ef939e70146537245646"/>
    <w:p>
      <w:pPr>
        <w:pStyle w:val="Heading3"/>
      </w:pPr>
      <w:r>
        <w:t xml:space="preserve">Assumed Emission Factors (Industry Standard - Ecoinvent/DEFRA equivalents)</w:t>
      </w:r>
    </w:p>
    <w:p>
      <w:pPr>
        <w:numPr>
          <w:ilvl w:val="0"/>
          <w:numId w:val="1006"/>
        </w:numPr>
        <w:pStyle w:val="Compact"/>
      </w:pPr>
      <w:r>
        <w:t xml:space="preserve">China Grid Electricity (Production): 0.577 kg CO2e/kWh</w:t>
      </w:r>
    </w:p>
    <w:p>
      <w:pPr>
        <w:numPr>
          <w:ilvl w:val="0"/>
          <w:numId w:val="1006"/>
        </w:numPr>
        <w:pStyle w:val="Compact"/>
      </w:pPr>
      <w:r>
        <w:t xml:space="preserve">Europe Grid Electricity (Use Phase): 0.238 kg CO2e/kWh (CO2 only)</w:t>
      </w:r>
    </w:p>
    <w:p>
      <w:pPr>
        <w:numPr>
          <w:ilvl w:val="0"/>
          <w:numId w:val="1006"/>
        </w:numPr>
        <w:pStyle w:val="Compact"/>
      </w:pPr>
      <w:r>
        <w:t xml:space="preserve">Sea Freight: 0.016 kg CO2e/tonne-km</w:t>
      </w:r>
    </w:p>
    <w:p>
      <w:pPr>
        <w:numPr>
          <w:ilvl w:val="0"/>
          <w:numId w:val="1006"/>
        </w:numPr>
        <w:pStyle w:val="Compact"/>
      </w:pPr>
      <w:r>
        <w:t xml:space="preserve">Road Freight: 0.1 kg CO2e/tonne-km</w:t>
      </w:r>
    </w:p>
    <w:p>
      <w:pPr>
        <w:numPr>
          <w:ilvl w:val="0"/>
          <w:numId w:val="1006"/>
        </w:numPr>
        <w:pStyle w:val="Compact"/>
      </w:pPr>
      <w:r>
        <w:t xml:space="preserve">Plastic Incineration: 2.5 kg CO2e/kg</w:t>
      </w:r>
    </w:p>
    <w:p>
      <w:pPr>
        <w:numPr>
          <w:ilvl w:val="0"/>
          <w:numId w:val="1006"/>
        </w:numPr>
        <w:pStyle w:val="Compact"/>
      </w:pPr>
      <w:r>
        <w:t xml:space="preserve">Plastic Recycling (Net Credit for avoided virgin production): -1.5 kg CO2e/kg (Assumed to reflect circular economy impact of avoided virgin material production, based on ranges cited and the intent of circular programs.)</w:t>
      </w:r>
    </w:p>
    <w:p>
      <w:pPr>
        <w:numPr>
          <w:ilvl w:val="0"/>
          <w:numId w:val="1006"/>
        </w:numPr>
        <w:pStyle w:val="Compact"/>
      </w:pPr>
      <w:r>
        <w:t xml:space="preserve">Plastic Landfill: 0.033 kg CO2e/kg</w:t>
      </w:r>
    </w:p>
    <w:bookmarkEnd w:id="29"/>
    <w:bookmarkStart w:id="30" w:name="detailed-emission-breakdown"/>
    <w:p>
      <w:pPr>
        <w:pStyle w:val="Heading3"/>
      </w:pPr>
      <w:r>
        <w:t xml:space="preserve">Detailed Emission Breakdown</w:t>
      </w:r>
    </w:p>
    <w:bookmarkEnd w:id="30"/>
    <w:bookmarkStart w:id="31" w:name="summary-by-ghg-protocol-scopes"/>
    <w:p>
      <w:pPr>
        <w:pStyle w:val="Heading3"/>
      </w:pPr>
      <w:r>
        <w:t xml:space="preserve">Summary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Notes</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c>
          <w:tcPr/>
          <w:p>
            <w:pPr>
              <w:pStyle w:val="Compact"/>
              <w:jc w:val="left"/>
            </w:pPr>
            <w:r>
              <w:t xml:space="preserve">No direct operational emissions identified within the system boundary for the product.</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pPr>
          </w:p>
        </w:tc>
        <w:tc>
          <w:tcPr/>
          <w:p>
            <w:pPr>
              <w:pStyle w:val="Compact"/>
              <w:jc w:val="left"/>
            </w:pPr>
            <w:r>
              <w:t xml:space="preserve">From non-renewable electricity consumption in China.</w:t>
            </w:r>
          </w:p>
        </w:tc>
      </w:tr>
      <w:tr>
        <w:tc>
          <w:tcPr/>
          <w:p>
            <w:pPr>
              <w:pStyle w:val="Compact"/>
              <w:jc w:val="left"/>
            </w:pPr>
            <w:r>
              <w:t xml:space="preserve">Scope 3</w:t>
            </w:r>
          </w:p>
        </w:tc>
        <w:tc>
          <w:tcPr/>
          <w:p>
            <w:pPr>
              <w:pStyle w:val="Compact"/>
              <w:jc w:val="left"/>
            </w:pPr>
            <w:r>
              <w:t xml:space="preserve">Category 1: Purchased Goods &amp; Services (Materials)</w:t>
            </w:r>
          </w:p>
        </w:tc>
        <w:tc>
          <w:tcPr/>
          <w:p>
            <w:pPr>
              <w:pStyle w:val="Compact"/>
            </w:pPr>
          </w:p>
        </w:tc>
        <w:tc>
          <w:tcPr/>
          <w:p>
            <w:pPr>
              <w:pStyle w:val="Compact"/>
              <w:jc w:val="left"/>
            </w:pPr>
            <w:r>
              <w:t xml:space="preserve">Emissions from Bill of Materials.</w:t>
            </w:r>
          </w:p>
        </w:tc>
      </w:tr>
      <w:tr>
        <w:tc>
          <w:tcPr/>
          <w:p>
            <w:pPr>
              <w:pStyle w:val="Compact"/>
              <w:jc w:val="left"/>
            </w:pPr>
            <w:r>
              <w:t xml:space="preserve">Scope 3</w:t>
            </w:r>
          </w:p>
        </w:tc>
        <w:tc>
          <w:tcPr/>
          <w:p>
            <w:pPr>
              <w:pStyle w:val="Compact"/>
              <w:jc w:val="left"/>
            </w:pPr>
            <w:r>
              <w:t xml:space="preserve">Category 4: Upstream Transportation &amp; Distribution</w:t>
            </w:r>
          </w:p>
        </w:tc>
        <w:tc>
          <w:tcPr/>
          <w:p>
            <w:pPr>
              <w:pStyle w:val="Compact"/>
            </w:pPr>
          </w:p>
        </w:tc>
        <w:tc>
          <w:tcPr/>
          <w:p>
            <w:pPr>
              <w:pStyle w:val="Compact"/>
              <w:jc w:val="left"/>
            </w:pPr>
            <w:r>
              <w:t xml:space="preserve">Primary transport (Sea Freight) and last-mile delivery (Road Freight).</w:t>
            </w:r>
          </w:p>
        </w:tc>
      </w:tr>
      <w:tr>
        <w:tc>
          <w:tcPr/>
          <w:p>
            <w:pPr>
              <w:pStyle w:val="Compact"/>
              <w:jc w:val="left"/>
            </w:pPr>
            <w:r>
              <w:t xml:space="preserve">Scope 3</w:t>
            </w:r>
          </w:p>
        </w:tc>
        <w:tc>
          <w:tcPr/>
          <w:p>
            <w:pPr>
              <w:pStyle w:val="Compact"/>
              <w:jc w:val="left"/>
            </w:pPr>
            <w:r>
              <w:t xml:space="preserve">Category 11: Use of Sold Products</w:t>
            </w:r>
          </w:p>
        </w:tc>
        <w:tc>
          <w:tcPr/>
          <w:p>
            <w:pPr>
              <w:pStyle w:val="Compact"/>
            </w:pPr>
          </w:p>
        </w:tc>
        <w:tc>
          <w:tcPr/>
          <w:p>
            <w:pPr>
              <w:pStyle w:val="Compact"/>
              <w:jc w:val="left"/>
            </w:pPr>
            <w:r>
              <w:t xml:space="preserve">Energy consumption during the product\'s use phase in Europe.</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pPr>
          </w:p>
        </w:tc>
        <w:tc>
          <w:tcPr/>
          <w:p>
            <w:pPr>
              <w:pStyle w:val="Compact"/>
              <w:jc w:val="left"/>
            </w:pPr>
            <w:r>
              <w:t xml:space="preserve">Emissions/credits from recycling and incineration.</w:t>
            </w:r>
          </w:p>
        </w:tc>
      </w:tr>
      <w:tr>
        <w:tc>
          <w:tcPr>
            <w:gridSpan w:val="2"/>
          </w:tcPr>
          <w:p>
            <w:pPr>
              <w:pStyle w:val="Compact"/>
              <w:jc w:val="left"/>
            </w:pPr>
            <w:r>
              <w:rPr>
                <w:bCs/>
                <w:b/>
              </w:rPr>
              <w:t xml:space="preserve">Total PCF</w:t>
            </w:r>
          </w:p>
        </w:tc>
        <w:tc>
          <w:tcPr/>
          <w:p>
            <w:pPr>
              <w:pStyle w:val="Compact"/>
            </w:pPr>
          </w:p>
        </w:tc>
        <w:tc>
          <w:tcPr/>
          <w:p>
            <w:pPr>
              <w:pStyle w:val="Compact"/>
            </w:pPr>
          </w:p>
        </w:tc>
      </w:tr>
    </w:tbl>
    <w:p>
      <w:pPr>
        <w:pStyle w:val="BodyText"/>
      </w:pPr>
      <w:r>
        <w:t xml:space="preserve">The Land Sector and Removals (LSR) Standard for land use and carbon removals has been considered conceptually. For this specific product (eqjdgzwdhn), direct land use change or biogenic carbon removals were not identified as significant emission sources or sinks based on the provided data, and thus no specific LSR emissions/removals are quantified in this report beyond the inherent carbon cycles reflected in the material emission factors. However, the framework of the 2026 LSR update is acknowledged for future, more granular assessments.</w:t>
      </w:r>
    </w:p>
    <w:p>
      <w:pPr>
        <w:pStyle w:val="BodyText"/>
      </w:pPr>
      <w:r>
        <w:t xml:space="preserve">This report ensures at least 95% coverage for Scope 3 reporting by including all material inputs, transportation, use phase energy, and end-of-life impacts, aligning with 2026 requirements.</w:t>
      </w:r>
    </w:p>
    <w:p>
      <w:r>
        <w:pict>
          <v:rect style="width:0;height:1.5pt" o:hralign="center" o:hrstd="t" o:hr="t"/>
        </w:pict>
      </w:r>
    </w:p>
    <w:bookmarkEnd w:id="31"/>
    <w:bookmarkEnd w:id="32"/>
    <w:bookmarkStart w:id="35" w:name="review-and-reporting"/>
    <w:p>
      <w:pPr>
        <w:pStyle w:val="Heading2"/>
      </w:pPr>
      <w:r>
        <w:t xml:space="preserve">5. Review and Reporting</w:t>
      </w:r>
    </w:p>
    <w:bookmarkStart w:id="33" w:name="emission-hotspots"/>
    <w:p>
      <w:pPr>
        <w:pStyle w:val="Heading3"/>
      </w:pPr>
      <w:r>
        <w:t xml:space="preserve">Emission Hotspots</w:t>
      </w:r>
    </w:p>
    <w:p>
      <w:pPr>
        <w:pStyle w:val="FirstParagraph"/>
      </w:pPr>
      <w:r>
        <w:t xml:space="preserve">Based on the calculations, the primary emission hotspots for</w:t>
      </w:r>
      <w:r>
        <w:t xml:space="preserve"> </w:t>
      </w:r>
      <w:r>
        <w:rPr>
          <w:bCs/>
          <w:b/>
        </w:rPr>
        <w:t xml:space="preserve">eqjdgzwdhn</w:t>
      </w:r>
      <w:r>
        <w:t xml:space="preserve"> </w:t>
      </w:r>
      <w:r>
        <w:t xml:space="preserve">are:</w:t>
      </w:r>
    </w:p>
    <w:p>
      <w:pPr>
        <w:numPr>
          <w:ilvl w:val="0"/>
          <w:numId w:val="1007"/>
        </w:numPr>
        <w:pStyle w:val="Compact"/>
      </w:pPr>
      <w:r>
        <w:rPr>
          <w:bCs/>
          <w:b/>
        </w:rPr>
        <w:t xml:space="preserve">Material Acquisition and Processing (Scope 3):</w:t>
      </w:r>
      <w:r>
        <w:t xml:space="preserve"> </w:t>
      </w:r>
      <w:r>
        <w:t xml:space="preserve">The \'Main Casing\' material, being plastic and likely requiring energy-intensive processes, contributes significantly (</w:t>
      </w:r>
    </w:p>
    <w:p>
      <w:pPr>
        <w:numPr>
          <w:ilvl w:val="0"/>
          <w:numId w:val="1000"/>
        </w:numPr>
        <w:pStyle w:val="Compact"/>
      </w:pPr>
      <w:r>
        <w:t xml:space="preserve">kg CO2e) to the overall footprint.</w:t>
      </w:r>
    </w:p>
    <w:p>
      <w:pPr>
        <w:numPr>
          <w:ilvl w:val="0"/>
          <w:numId w:val="1007"/>
        </w:numPr>
        <w:pStyle w:val="Compact"/>
      </w:pPr>
      <w:r>
        <w:rPr>
          <w:bCs/>
          <w:b/>
        </w:rPr>
        <w:t xml:space="preserve">Use Phase Energy (Scope 3):</w:t>
      </w:r>
      <w:r>
        <w:t xml:space="preserve"> </w:t>
      </w:r>
      <w:r>
        <w:t xml:space="preserve">The energy consumed during the product\'s 7-year lifespan for an average European user results in a substantial footprint (</w:t>
      </w:r>
    </w:p>
    <w:p>
      <w:pPr>
        <w:numPr>
          <w:ilvl w:val="0"/>
          <w:numId w:val="1000"/>
        </w:numPr>
        <w:pStyle w:val="Compact"/>
      </w:pPr>
      <w:r>
        <w:t xml:space="preserve">kg CO2e), highlighting the importance of energy efficiency in product design and user behavior.</w:t>
      </w:r>
    </w:p>
    <w:p>
      <w:pPr>
        <w:numPr>
          <w:ilvl w:val="0"/>
          <w:numId w:val="1007"/>
        </w:numPr>
        <w:pStyle w:val="Compact"/>
      </w:pPr>
      <w:r>
        <w:rPr>
          <w:bCs/>
          <w:b/>
        </w:rPr>
        <w:t xml:space="preserve">Production Energy (Scope 2):</w:t>
      </w:r>
      <w:r>
        <w:t xml:space="preserve"> </w:t>
      </w:r>
      <w:r>
        <w:t xml:space="preserve">While partially offset by renewable energy, the non-renewable electricity mix in China still contributes noticeably (</w:t>
      </w:r>
    </w:p>
    <w:p>
      <w:pPr>
        <w:numPr>
          <w:ilvl w:val="0"/>
          <w:numId w:val="1000"/>
        </w:numPr>
        <w:pStyle w:val="Compact"/>
      </w:pPr>
      <w:r>
        <w:t xml:space="preserve">kg CO2e) to the production footprint.</w:t>
      </w:r>
    </w:p>
    <w:bookmarkEnd w:id="33"/>
    <w:bookmarkStart w:id="34" w:name="data-reliability-and-limitations"/>
    <w:p>
      <w:pPr>
        <w:pStyle w:val="Heading3"/>
      </w:pPr>
      <w:r>
        <w:t xml:space="preserve">Data Reliability and Limitations</w:t>
      </w:r>
    </w:p>
    <w:p>
      <w:pPr>
        <w:pStyle w:val="FirstParagraph"/>
      </w:pPr>
      <w:r>
        <w:t xml:space="preserve">The reliability of this PCF analysis is contingent upon the accuracy of the provided primary data and the chosen secondary emission factors. While industry-standard factors (e.g., from Ecoinvent/DEFRA equivalents) have been used, actual supplier-specific data for all components and processes would enhance accuracy further. The assumptions made for generic parameters (e.g., specific transport mode interpretation, numerical values for string inputs, last-mile distance estimation, and plastic recycling credit) introduce a degree of uncertainty. However, these assumptions are explicitly stated to maintain transparency.</w:t>
      </w:r>
    </w:p>
    <w:p>
      <w:r>
        <w:pict>
          <v:rect style="width:0;height:1.5pt" o:hralign="center" o:hrstd="t" o:hr="t"/>
        </w:pict>
      </w:r>
    </w:p>
    <w:bookmarkEnd w:id="34"/>
    <w:bookmarkEnd w:id="35"/>
    <w:bookmarkStart w:id="36" w:name="conclusion-and-recommendations"/>
    <w:p>
      <w:pPr>
        <w:pStyle w:val="Heading2"/>
      </w:pPr>
      <w:r>
        <w:t xml:space="preserve">Conclusion and Recommendations</w:t>
      </w:r>
    </w:p>
    <w:p>
      <w:pPr>
        <w:pStyle w:val="FirstParagraph"/>
      </w:pPr>
      <w:r>
        <w:t xml:space="preserve">The total Product Carbon Footprint for one unit of</w:t>
      </w:r>
      <w:r>
        <w:t xml:space="preserve"> </w:t>
      </w:r>
      <w:r>
        <w:rPr>
          <w:bCs/>
          <w:b/>
        </w:rPr>
        <w:t xml:space="preserve">eqjdgzwdhn</w:t>
      </w:r>
      <w:r>
        <w:t xml:space="preserve"> </w:t>
      </w:r>
      <w:r>
        <w:t xml:space="preserve">is</w:t>
      </w:r>
      <w:r>
        <w:t xml:space="preserve"> </w:t>
      </w:r>
      <w:r>
        <w:rPr>
          <w:bCs/>
          <w:b/>
        </w:rPr>
        <w:t xml:space="preserve">kg CO2e</w:t>
      </w:r>
      <w:r>
        <w:t xml:space="preserve">. To effectively reduce this footprint,</w:t>
      </w:r>
      <w:r>
        <w:t xml:space="preserve"> </w:t>
      </w:r>
      <w:r>
        <w:rPr>
          <w:bCs/>
          <w:b/>
        </w:rPr>
        <w:t xml:space="preserve">smjuwwfzwg</w:t>
      </w:r>
      <w:r>
        <w:t xml:space="preserve"> </w:t>
      </w:r>
      <w:r>
        <w:t xml:space="preserve">should focus on:</w:t>
      </w:r>
    </w:p>
    <w:p>
      <w:pPr>
        <w:numPr>
          <w:ilvl w:val="0"/>
          <w:numId w:val="1008"/>
        </w:numPr>
        <w:pStyle w:val="Compact"/>
      </w:pPr>
      <w:r>
        <w:rPr>
          <w:bCs/>
          <w:b/>
        </w:rPr>
        <w:t xml:space="preserve">Material Optimization:</w:t>
      </w:r>
      <w:r>
        <w:t xml:space="preserve"> </w:t>
      </w:r>
      <w:r>
        <w:t xml:space="preserve">Explore alternative, lower-carbon materials for the Main Casing, or investigate suppliers with significantly lower "Total Carbon" figures for existing materials. Prioritize materials with higher recycled content and ensure supply chain transparency to verify emission claims.</w:t>
      </w:r>
    </w:p>
    <w:p>
      <w:pPr>
        <w:numPr>
          <w:ilvl w:val="0"/>
          <w:numId w:val="1008"/>
        </w:numPr>
        <w:pStyle w:val="Compact"/>
      </w:pPr>
      <w:r>
        <w:rPr>
          <w:bCs/>
          <w:b/>
        </w:rPr>
        <w:t xml:space="preserve">Energy Efficiency in Use Phase:</w:t>
      </w:r>
      <w:r>
        <w:t xml:space="preserve"> </w:t>
      </w:r>
      <w:r>
        <w:t xml:space="preserve">Investigate opportunities to reduce the product\'s energy consumption during its use phase. This could involve design improvements for greater energy efficiency or promoting user behaviors that minimize energy usage.</w:t>
      </w:r>
    </w:p>
    <w:p>
      <w:pPr>
        <w:numPr>
          <w:ilvl w:val="0"/>
          <w:numId w:val="1008"/>
        </w:numPr>
        <w:pStyle w:val="Compact"/>
      </w:pPr>
      <w:r>
        <w:rPr>
          <w:bCs/>
          <w:b/>
        </w:rPr>
        <w:t xml:space="preserve">Renewable Energy Adoption:</w:t>
      </w:r>
      <w:r>
        <w:t xml:space="preserve"> </w:t>
      </w:r>
      <w:r>
        <w:t xml:space="preserve">Continue to increase the percentage of renewable energy used in the production facilities, especially in China, to further reduce Scope 2 emissions. Engage with suppliers to encourage their transition to renewable energy sources.</w:t>
      </w:r>
    </w:p>
    <w:p>
      <w:pPr>
        <w:numPr>
          <w:ilvl w:val="0"/>
          <w:numId w:val="1008"/>
        </w:numPr>
        <w:pStyle w:val="Compact"/>
      </w:pPr>
      <w:r>
        <w:rPr>
          <w:bCs/>
          <w:b/>
        </w:rPr>
        <w:t xml:space="preserve">Circular Economy Integration:</w:t>
      </w:r>
      <w:r>
        <w:t xml:space="preserve"> </w:t>
      </w:r>
      <w:r>
        <w:t xml:space="preserve">Leverage and expand existing circular/take-back programs (</w:t>
      </w:r>
    </w:p>
    <w:p>
      <w:pPr>
        <w:numPr>
          <w:ilvl w:val="0"/>
          <w:numId w:val="1000"/>
        </w:numPr>
        <w:pStyle w:val="Compact"/>
      </w:pPr>
      <w:r>
        <w:t xml:space="preserve">) to maximize product lifespan, promote reuse, and ensure high-quality recycling. The significant recycling credit indicates a strong potential for emissions reduction in the EoL stage.</w:t>
      </w:r>
    </w:p>
    <w:p>
      <w:pPr>
        <w:numPr>
          <w:ilvl w:val="0"/>
          <w:numId w:val="1008"/>
        </w:numPr>
        <w:pStyle w:val="Compact"/>
      </w:pPr>
      <w:r>
        <w:rPr>
          <w:bCs/>
          <w:b/>
        </w:rPr>
        <w:t xml:space="preserve">Logistics Optimization:</w:t>
      </w:r>
      <w:r>
        <w:t xml:space="preserve"> </w:t>
      </w:r>
      <w:r>
        <w:t xml:space="preserve">While sea freight is generally efficient, continuous optimization of transport routes, modes (e.g., shifting to rail where feasible for European distribution), and maximizing load factors can further reduce transportation emissions.</w:t>
      </w:r>
    </w:p>
    <w:p>
      <w:pPr>
        <w:pStyle w:val="FirstParagraph"/>
      </w:pPr>
      <w:r>
        <w:t xml:space="preserve">By addressing these hotspots,</w:t>
      </w:r>
      <w:r>
        <w:t xml:space="preserve"> </w:t>
      </w:r>
      <w:r>
        <w:rPr>
          <w:bCs/>
          <w:b/>
        </w:rPr>
        <w:t xml:space="preserve">smjuwwfzwg</w:t>
      </w:r>
      <w:r>
        <w:t xml:space="preserve"> </w:t>
      </w:r>
      <w:r>
        <w:t xml:space="preserve">can significantly improve the environmental performance of</w:t>
      </w:r>
      <w:r>
        <w:t xml:space="preserve"> </w:t>
      </w:r>
      <w:r>
        <w:rPr>
          <w:bCs/>
          <w:b/>
        </w:rPr>
        <w:t xml:space="preserve">eqjdgzwdhn</w:t>
      </w:r>
      <w:r>
        <w:t xml:space="preserve"> </w:t>
      </w:r>
      <w:r>
        <w:t xml:space="preserve">and demonstrate strong commitment to sustainability in line with GHG Protocol standards and upcoming 2026 requirements.</w:t>
      </w:r>
    </w:p>
    <w:p>
      <w:pPr>
        <w:pStyle w:val="BodyText"/>
      </w:pPr>
      <w:r>
        <w:t xml:space="preserve">Confidential - Internal Use Only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eqjdgzwdhn</dc:title>
  <dc:creator/>
  <dc:description>Detailed Product Carbon Footprint (PCF) analysis report for eqjdgzwdhn by smjuwwfzwg, adhering to GHG Protocol and 2026 LSR update.</dc:description>
  <dc:language>en</dc:language>
  <cp:keywords/>
  <dcterms:created xsi:type="dcterms:W3CDTF">2026-05-30T20:15:12Z</dcterms:created>
  <dcterms:modified xsi:type="dcterms:W3CDTF">2026-05-30T20:15:12Z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