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ensenxtemp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ensenxtemp</w:t>
      </w:r>
    </w:p>
    <w:p>
      <w:pPr>
        <w:pStyle w:val="BodyText"/>
      </w:pPr>
      <w:r>
        <w:rPr>
          <w:bCs/>
          <w:b/>
        </w:rPr>
        <w:t xml:space="preserve">Company Name:</w:t>
      </w:r>
      <w:r>
        <w:t xml:space="preserve"> </w:t>
      </w:r>
      <w:r>
        <w:t xml:space="preserve">opjzslfwwt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ejrdfduvss</w:t>
      </w:r>
    </w:p>
    <w:p>
      <w:pPr>
        <w:pStyle w:val="BodyText"/>
      </w:pPr>
      <w:r>
        <w:rPr>
          <w:iCs/>
          <w:i/>
        </w:rPr>
        <w:t xml:space="preserve">Disclaimer: This report is generated based on available data and industry standards. The calculations presented are estimations intended to provide an overview of the product\'s carbon footprint.</w:t>
      </w:r>
    </w:p>
    <w:bookmarkEnd w:id="20"/>
    <w:bookmarkStart w:id="45" w:name="X92228fe7a426ec9e328dd8bc128b8c055e3daec"/>
    <w:p>
      <w:pPr>
        <w:pStyle w:val="Heading1"/>
      </w:pPr>
      <w:r>
        <w:t xml:space="preserve">Product Carbon Footprint Analysis Report for ensenxtemp</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ensenxtemp</w:t>
      </w:r>
      <w:r>
        <w:t xml:space="preserve">, manufactured by</w:t>
      </w:r>
      <w:r>
        <w:t xml:space="preserve"> </w:t>
      </w:r>
      <w:r>
        <w:rPr>
          <w:bCs/>
          <w:b/>
        </w:rPr>
        <w:t xml:space="preserve">opjzslfwwt</w:t>
      </w:r>
      <w:r>
        <w:t xml:space="preserve">. The analysis has been conducted by Senior Sustainability Consultant</w:t>
      </w:r>
      <w:r>
        <w:t xml:space="preserve"> </w:t>
      </w:r>
      <w:r>
        <w:rPr>
          <w:bCs/>
          <w:b/>
        </w:rPr>
        <w:t xml:space="preserve">ejrdfduvss</w:t>
      </w:r>
      <w:r>
        <w:t xml:space="preserve">, adhering strictly to the GHG Protocol accounting standard, including the 2026 Land Sector and Removals (LSR) Standard and ensuring over 95% Scope 3 coverage. The PCF quantifies the greenhouse gas (GHG) emissions associated with the product across its entire lifecycle, from raw material extraction to end-of-life, providing critical insights into environmental impacts and identifying emission hotspots for targeted reduction strategies.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for ensenxtemp was calculated following the five-step methodology prescribed by the GHG Protocol Product Standard. This systematic approach ensures a comprehensive and reliable assessment of emissions.</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ensenxtemp</w:t>
      </w:r>
      <w:r>
        <w:t xml:space="preserve">, delivering its intended functionality throughout its lifespan.</w:t>
      </w:r>
    </w:p>
    <w:p>
      <w:pPr>
        <w:numPr>
          <w:ilvl w:val="0"/>
          <w:numId w:val="1001"/>
        </w:numPr>
        <w:pStyle w:val="Compact"/>
      </w:pPr>
      <w:r>
        <w:rPr>
          <w:bCs/>
          <w:b/>
        </w:rPr>
        <w:t xml:space="preserve">System Boundary:</w:t>
      </w:r>
      <w:r>
        <w:t xml:space="preserve"> </w:t>
      </w:r>
      <w:r>
        <w:t xml:space="preserve">While the primary focus for production emissions extends up to the \'factory_gate\', a comprehensive "Cradle-to-Grave" (or "Cradle-to-End-of-Life") system boundary has been applied for this PCF. This includes all stages from raw material extraction, manufacturing (factory gate), distribution, product use, and end-of-life disposal or recycling, as per the detailed parameters provided. This ensures a holistic view of the product\'s environmental impact.</w:t>
      </w:r>
    </w:p>
    <w:p>
      <w:pPr>
        <w:numPr>
          <w:ilvl w:val="0"/>
          <w:numId w:val="1001"/>
        </w:numPr>
        <w:pStyle w:val="Compact"/>
      </w:pPr>
      <w:r>
        <w:rPr>
          <w:bCs/>
          <w:b/>
        </w:rPr>
        <w:t xml:space="preserve">Geographic Scope:</w:t>
      </w:r>
      <w:r>
        <w:t xml:space="preserve"> </w:t>
      </w:r>
      <w:r>
        <w:t xml:space="preserve">The final production country for ensenxtemp is</w:t>
      </w:r>
      <w:r>
        <w:t xml:space="preserve"> </w:t>
      </w:r>
      <w:r>
        <w:rPr>
          <w:bCs/>
          <w:b/>
        </w:rPr>
        <w:t xml:space="preserve">China</w:t>
      </w:r>
      <w:r>
        <w:t xml:space="preserve">. The supply chain focus for upstream activities is primarily</w:t>
      </w:r>
      <w:r>
        <w:t xml:space="preserve"> </w:t>
      </w:r>
      <w:r>
        <w:rPr>
          <w:bCs/>
          <w:b/>
        </w:rPr>
        <w:t xml:space="preserve">Europe Focused</w:t>
      </w:r>
      <w:r>
        <w:t xml:space="preserve">, implying significant transport distances for raw materials and components to the manufacturing site, and then for the finished product to European markets.</w:t>
      </w:r>
    </w:p>
    <w:p>
      <w:pPr>
        <w:numPr>
          <w:ilvl w:val="0"/>
          <w:numId w:val="1001"/>
        </w:numPr>
        <w:pStyle w:val="Compact"/>
      </w:pPr>
      <w:r>
        <w:rPr>
          <w:bCs/>
          <w:b/>
        </w:rPr>
        <w:t xml:space="preserve">Allocation:</w:t>
      </w:r>
      <w:r>
        <w:t xml:space="preserve"> </w:t>
      </w:r>
      <w:r>
        <w:t xml:space="preserve">Where co-products or multiple functions exist, emissions are allocated based on mass, a widely accepted method for physical products.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has been applied to account for any land-use change emissions or carbon removals relevant to the product\'s lifecycle, particularly concerning bio-based materials or land-intensive processes, if applicable.</w:t>
      </w:r>
    </w:p>
    <w:p>
      <w:pPr>
        <w:numPr>
          <w:ilvl w:val="0"/>
          <w:numId w:val="1001"/>
        </w:numPr>
        <w:pStyle w:val="Compact"/>
      </w:pPr>
      <w:r>
        <w:rPr>
          <w:bCs/>
          <w:b/>
        </w:rPr>
        <w:t xml:space="preserve">Scope 3 Compliance:</w:t>
      </w:r>
      <w:r>
        <w:t xml:space="preserve"> </w:t>
      </w:r>
      <w:r>
        <w:t xml:space="preserve">Diligent efforts have been made to ensure at least</w:t>
      </w:r>
      <w:r>
        <w:t xml:space="preserve"> </w:t>
      </w:r>
      <w:r>
        <w:rPr>
          <w:bCs/>
          <w:b/>
        </w:rPr>
        <w:t xml:space="preserve">95% coverage for Scope 3 reporting</w:t>
      </w:r>
      <w:r>
        <w:t xml:space="preserve">, as mandated by 2026 GHG Protocol requirements, capturing a vast majority of upstream and downstream value chain emissions.</w:t>
      </w:r>
    </w:p>
    <w:p>
      <w:r>
        <w:pict>
          <v:rect style="width:0;height:1.5pt" o:hralign="center" o:hrstd="t" o:hr="t"/>
        </w:pict>
      </w:r>
    </w:p>
    <w:bookmarkEnd w:id="22"/>
    <w:bookmarkEnd w:id="23"/>
    <w:bookmarkStart w:id="29" w:name="lifecycle-mapping-lci-data-collection"/>
    <w:p>
      <w:pPr>
        <w:pStyle w:val="Heading2"/>
      </w:pPr>
      <w:r>
        <w:t xml:space="preserve">2. &amp; 3. Lifecycle Mapping (LCI) &amp; Data Collection</w:t>
      </w:r>
    </w:p>
    <w:p>
      <w:pPr>
        <w:pStyle w:val="FirstParagraph"/>
      </w:pPr>
      <w:r>
        <w:t xml:space="preserve">This section details the inventory of materials and energy inputs throughout the lifecycle of ensenxtemp, drawing upon both primary data provided and secondary industry-standard emission factors.</w:t>
      </w:r>
    </w:p>
    <w:bookmarkStart w:id="24" w:name="detailed-bill-of-materials-bom-analysis"/>
    <w:p>
      <w:pPr>
        <w:pStyle w:val="Heading3"/>
      </w:pPr>
      <w:r>
        <w:t xml:space="preserve">2.1. Detailed Bill of Materials (BOM) Analysis</w:t>
      </w:r>
    </w:p>
    <w:p>
      <w:pPr>
        <w:pStyle w:val="FirstParagraph"/>
      </w:pPr>
      <w:r>
        <w:t xml:space="preserve">The following table presents the detailed Bill of Materials (BOM) for ensenxtemp (uvlzegjv), including quantities, categories, and their pre-calculated total carbon impact (cradle-to-gate for the material itself). These figures are crucial for determining the upstream (Scope 3)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Printed Circuit Board (PCB)</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w:t>
            </w:r>
          </w:p>
        </w:tc>
        <w:tc>
          <w:tcPr/>
          <w:p>
            <w:pPr>
              <w:pStyle w:val="Compact"/>
              <w:jc w:val="left"/>
            </w:pPr>
            <w:r>
              <w:t xml:space="preserve">0.64</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left"/>
            </w:pPr>
            <w:r>
              <w:rPr>
                <w:bCs/>
                <w:b/>
              </w:rPr>
              <w:t xml:space="preserve">Total Material Mass / Total Upstream Material Carbon</w:t>
            </w:r>
          </w:p>
        </w:tc>
        <w:tc>
          <w:tcPr/>
          <w:p>
            <w:pPr>
              <w:pStyle w:val="Compact"/>
              <w:jc w:val="left"/>
            </w:pPr>
            <w:r>
              <w:rPr>
                <w:bCs/>
                <w:b/>
              </w:rPr>
              <w:t xml:space="preserve">1.88 kg / 8.345 kg CO2e</w:t>
            </w:r>
          </w:p>
        </w:tc>
      </w:tr>
    </w:tbl>
    <w:bookmarkEnd w:id="24"/>
    <w:bookmarkStart w:id="25" w:name="energy-inputs-for-production"/>
    <w:p>
      <w:pPr>
        <w:pStyle w:val="Heading3"/>
      </w:pPr>
      <w:r>
        <w:t xml:space="preserve">2.2. Energy Inputs for Production</w:t>
      </w:r>
    </w:p>
    <w:p>
      <w:pPr>
        <w:pStyle w:val="FirstParagraph"/>
      </w:pPr>
      <w:r>
        <w:t xml:space="preserve">The manufacturing process in China utilizes an energy intensity of</w:t>
      </w:r>
      <w:r>
        <w:t xml:space="preserve"> </w:t>
      </w:r>
      <w:r>
        <w:rPr>
          <w:bCs/>
          <w:b/>
        </w:rPr>
        <w:t xml:space="preserve">18 kWh/unit</w:t>
      </w:r>
      <w:r>
        <w:t xml:space="preserve"> </w:t>
      </w:r>
      <w:r>
        <w:t xml:space="preserve">(jrxuftdfkl) for the production of ensenxtemp. A significant portion of this energy, specifically</w:t>
      </w:r>
      <w:r>
        <w:t xml:space="preserve"> </w:t>
      </w:r>
      <w:r>
        <w:rPr>
          <w:bCs/>
          <w:b/>
        </w:rPr>
        <w:t xml:space="preserve">70%</w:t>
      </w:r>
      <w:r>
        <w:t xml:space="preserve"> </w:t>
      </w:r>
      <w:r>
        <w:t xml:space="preserve">(jvzpvlqvov), is sourced from renewable electricity. The remaining 30% is sourced from the regional grid mix.</w:t>
      </w:r>
    </w:p>
    <w:bookmarkEnd w:id="25"/>
    <w:bookmarkStart w:id="26" w:name="logistics-data"/>
    <w:p>
      <w:pPr>
        <w:pStyle w:val="Heading3"/>
      </w:pPr>
      <w:r>
        <w:t xml:space="preserve">2.3. Logistics Data</w:t>
      </w:r>
    </w:p>
    <w:p>
      <w:pPr>
        <w:pStyle w:val="FirstParagraph"/>
      </w:pPr>
      <w:r>
        <w:t xml:space="preserve">Transport of materials and the final product is a key contributor to Scope 3 emissions. The following specific data (Select Mode, seutzvyfqo, Delivery Type) has been incorporated:</w:t>
      </w:r>
    </w:p>
    <w:p>
      <w:pPr>
        <w:numPr>
          <w:ilvl w:val="0"/>
          <w:numId w:val="1002"/>
        </w:numPr>
        <w:pStyle w:val="Compact"/>
      </w:pPr>
      <w:r>
        <w:rPr>
          <w:bCs/>
          <w:b/>
        </w:rPr>
        <w:t xml:space="preserve">Upstream Transport (Materials to Factory - Europe to China):</w:t>
      </w:r>
    </w:p>
    <w:p>
      <w:pPr>
        <w:numPr>
          <w:ilvl w:val="1"/>
          <w:numId w:val="1003"/>
        </w:numPr>
        <w:pStyle w:val="Compact"/>
      </w:pPr>
      <w:r>
        <w:rPr>
          <w:bCs/>
          <w:b/>
        </w:rPr>
        <w:t xml:space="preserve">Mode:</w:t>
      </w:r>
      <w:r>
        <w:t xml:space="preserve"> </w:t>
      </w:r>
      <w:r>
        <w:t xml:space="preserve">Road Freight (HGV &gt;16t) for initial collection.</w:t>
      </w:r>
    </w:p>
    <w:p>
      <w:pPr>
        <w:numPr>
          <w:ilvl w:val="1"/>
          <w:numId w:val="1003"/>
        </w:numPr>
        <w:pStyle w:val="Compact"/>
      </w:pPr>
      <w:r>
        <w:rPr>
          <w:bCs/>
          <w:b/>
        </w:rPr>
        <w:t xml:space="preserve">Distance:</w:t>
      </w:r>
      <w:r>
        <w:t xml:space="preserve"> </w:t>
      </w:r>
      <w:r>
        <w:t xml:space="preserve">Estimated 5,000 km for European collection and transport to port.</w:t>
      </w:r>
    </w:p>
    <w:p>
      <w:pPr>
        <w:numPr>
          <w:ilvl w:val="1"/>
          <w:numId w:val="1003"/>
        </w:numPr>
        <w:pStyle w:val="Compact"/>
      </w:pPr>
      <w:r>
        <w:rPr>
          <w:bCs/>
          <w:b/>
        </w:rPr>
        <w:t xml:space="preserve">Mode:</w:t>
      </w:r>
      <w:r>
        <w:t xml:space="preserve"> </w:t>
      </w:r>
      <w:r>
        <w:t xml:space="preserve">Ocean Freight for intercontinental transport.</w:t>
      </w:r>
    </w:p>
    <w:p>
      <w:pPr>
        <w:numPr>
          <w:ilvl w:val="1"/>
          <w:numId w:val="1003"/>
        </w:numPr>
        <w:pStyle w:val="Compact"/>
      </w:pPr>
      <w:r>
        <w:rPr>
          <w:bCs/>
          <w:b/>
        </w:rPr>
        <w:t xml:space="preserve">Distance:</w:t>
      </w:r>
      <w:r>
        <w:t xml:space="preserve"> </w:t>
      </w:r>
      <w:r>
        <w:t xml:space="preserve">Estimated 10,000 km (e.g., Europe to China).</w:t>
      </w:r>
    </w:p>
    <w:p>
      <w:pPr>
        <w:numPr>
          <w:ilvl w:val="0"/>
          <w:numId w:val="1002"/>
        </w:numPr>
        <w:pStyle w:val="Compact"/>
      </w:pPr>
      <w:r>
        <w:rPr>
          <w:bCs/>
          <w:b/>
        </w:rPr>
        <w:t xml:space="preserve">Downstream Transport (Product from Factory to Consumer):</w:t>
      </w:r>
    </w:p>
    <w:p>
      <w:pPr>
        <w:numPr>
          <w:ilvl w:val="1"/>
          <w:numId w:val="1004"/>
        </w:numPr>
        <w:pStyle w:val="Compact"/>
      </w:pPr>
      <w:r>
        <w:rPr>
          <w:bCs/>
          <w:b/>
        </w:rPr>
        <w:t xml:space="preserve">Main Distribution (China to Europe):</w:t>
      </w:r>
    </w:p>
    <w:p>
      <w:pPr>
        <w:numPr>
          <w:ilvl w:val="2"/>
          <w:numId w:val="1005"/>
        </w:numPr>
        <w:pStyle w:val="Compact"/>
      </w:pPr>
      <w:r>
        <w:rPr>
          <w:bCs/>
          <w:b/>
        </w:rPr>
        <w:t xml:space="preserve">Mode:</w:t>
      </w:r>
      <w:r>
        <w:t xml:space="preserve"> </w:t>
      </w:r>
      <w:r>
        <w:t xml:space="preserve">Ocean Freight.</w:t>
      </w:r>
    </w:p>
    <w:p>
      <w:pPr>
        <w:numPr>
          <w:ilvl w:val="2"/>
          <w:numId w:val="1005"/>
        </w:numPr>
        <w:pStyle w:val="Compact"/>
      </w:pPr>
      <w:r>
        <w:rPr>
          <w:bCs/>
          <w:b/>
        </w:rPr>
        <w:t xml:space="preserve">Distance:</w:t>
      </w:r>
      <w:r>
        <w:t xml:space="preserve"> </w:t>
      </w:r>
      <w:r>
        <w:t xml:space="preserve">Estimated 10,000 km.</w:t>
      </w:r>
    </w:p>
    <w:p>
      <w:pPr>
        <w:numPr>
          <w:ilvl w:val="1"/>
          <w:numId w:val="1004"/>
        </w:numPr>
        <w:pStyle w:val="Compact"/>
      </w:pPr>
      <w:r>
        <w:rPr>
          <w:bCs/>
          <w:b/>
        </w:rPr>
        <w:t xml:space="preserve">Last-Mile Delivery (Europe Distribution Hub to Customer):</w:t>
      </w:r>
    </w:p>
    <w:p>
      <w:pPr>
        <w:numPr>
          <w:ilvl w:val="2"/>
          <w:numId w:val="1006"/>
        </w:numPr>
        <w:pStyle w:val="Compact"/>
      </w:pPr>
      <w:r>
        <w:rPr>
          <w:bCs/>
          <w:b/>
        </w:rPr>
        <w:t xml:space="preserve">Mode:</w:t>
      </w:r>
      <w:r>
        <w:t xml:space="preserve"> </w:t>
      </w:r>
      <w:r>
        <w:t xml:space="preserve">Van Delivery.</w:t>
      </w:r>
    </w:p>
    <w:p>
      <w:pPr>
        <w:numPr>
          <w:ilvl w:val="2"/>
          <w:numId w:val="1006"/>
        </w:numPr>
        <w:pStyle w:val="Compact"/>
      </w:pPr>
      <w:r>
        <w:rPr>
          <w:bCs/>
          <w:b/>
        </w:rPr>
        <w:t xml:space="preserve">Distance:</w:t>
      </w:r>
      <w:r>
        <w:t xml:space="preserve"> </w:t>
      </w:r>
      <w:r>
        <w:t xml:space="preserve">Estimated 150 km.</w:t>
      </w:r>
    </w:p>
    <w:p>
      <w:pPr>
        <w:numPr>
          <w:ilvl w:val="2"/>
          <w:numId w:val="1006"/>
        </w:numPr>
        <w:pStyle w:val="Compact"/>
      </w:pPr>
      <w:r>
        <w:rPr>
          <w:bCs/>
          <w:b/>
        </w:rPr>
        <w:t xml:space="preserve">Channel:</w:t>
      </w:r>
      <w:r>
        <w:t xml:space="preserve"> </w:t>
      </w:r>
      <w:r>
        <w:t xml:space="preserve">Direct to Consumer via express courier (Delivery Type).</w:t>
      </w:r>
    </w:p>
    <w:bookmarkEnd w:id="26"/>
    <w:bookmarkStart w:id="27" w:name="product-use-phase-data"/>
    <w:p>
      <w:pPr>
        <w:pStyle w:val="Heading3"/>
      </w:pPr>
      <w:r>
        <w:t xml:space="preserve">2.4. Product Use Phase Data</w:t>
      </w:r>
    </w:p>
    <w:p>
      <w:pPr>
        <w:numPr>
          <w:ilvl w:val="0"/>
          <w:numId w:val="1007"/>
        </w:numPr>
        <w:pStyle w:val="Compact"/>
      </w:pPr>
      <w:r>
        <w:rPr>
          <w:bCs/>
          <w:b/>
        </w:rPr>
        <w:t xml:space="preserve">Product Lifespan:</w:t>
      </w:r>
      <w:r>
        <w:t xml:space="preserve"> </w:t>
      </w:r>
      <w:r>
        <w:t xml:space="preserve">4 years (vmwsvgwise).</w:t>
      </w:r>
    </w:p>
    <w:p>
      <w:pPr>
        <w:numPr>
          <w:ilvl w:val="0"/>
          <w:numId w:val="1007"/>
        </w:numPr>
        <w:pStyle w:val="Compact"/>
      </w:pPr>
      <w:r>
        <w:rPr>
          <w:bCs/>
          <w:b/>
        </w:rPr>
        <w:t xml:space="preserve">Energy Consumption in Use:</w:t>
      </w:r>
      <w:r>
        <w:t xml:space="preserve"> </w:t>
      </w:r>
      <w:r>
        <w:t xml:space="preserve">8 kWh/year (kjxvtvzzwp). This assumes average usage patterns and power consumption during the product\'s operational life.</w:t>
      </w:r>
    </w:p>
    <w:bookmarkEnd w:id="27"/>
    <w:bookmarkStart w:id="28" w:name="end-of-life-eol-scenarios"/>
    <w:p>
      <w:pPr>
        <w:pStyle w:val="Heading3"/>
      </w:pPr>
      <w:r>
        <w:t xml:space="preserve">2.5. End-of-Life (EoL) Scenarios</w:t>
      </w:r>
    </w:p>
    <w:p>
      <w:pPr>
        <w:numPr>
          <w:ilvl w:val="0"/>
          <w:numId w:val="1008"/>
        </w:numPr>
        <w:pStyle w:val="Compact"/>
      </w:pPr>
      <w:r>
        <w:rPr>
          <w:bCs/>
          <w:b/>
        </w:rPr>
        <w:t xml:space="preserve">Recyclability Percentage:</w:t>
      </w:r>
      <w:r>
        <w:t xml:space="preserve"> </w:t>
      </w:r>
      <w:r>
        <w:t xml:space="preserve">75% (ulnoehrizp) of the product\'s mass is considered recyclable at its end-of-life.</w:t>
      </w:r>
    </w:p>
    <w:p>
      <w:pPr>
        <w:numPr>
          <w:ilvl w:val="0"/>
          <w:numId w:val="1008"/>
        </w:numPr>
        <w:pStyle w:val="Compact"/>
      </w:pPr>
      <w:r>
        <w:rPr>
          <w:bCs/>
          <w:b/>
        </w:rPr>
        <w:t xml:space="preserve">Circular/Take-back Programs:</w:t>
      </w:r>
      <w:r>
        <w:t xml:space="preserve"> </w:t>
      </w:r>
      <w:r>
        <w:rPr>
          <w:bCs/>
          <w:b/>
        </w:rPr>
        <w:t xml:space="preserve">opjzslfwwt</w:t>
      </w:r>
      <w:r>
        <w:t xml:space="preserve"> </w:t>
      </w:r>
      <w:r>
        <w:t xml:space="preserve">operates an active take-back and refurbishment program for key components of ensenxtemp (rrmtlksdzn), aiming to extend product life and recover valuable materials. This contributes to circular economy impacts by reducing demand for virgin materials and decreasing waste.</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by multiplying activity data (e.g., kg of material, kWh of energy, tkm of transport) by relevant emission factors (CO2e per unit of activity). Industry-standard emission factors, primarily drawn from reputable databases such as Ecoinvent and DEFRA, have been utilized for this analysis. All emissions are expressed in kilograms of carbon dioxide equivalent (kg CO2e).</w:t>
      </w:r>
    </w:p>
    <w:bookmarkStart w:id="32" w:name="upstream-emissions-scope-3"/>
    <w:p>
      <w:pPr>
        <w:pStyle w:val="Heading3"/>
      </w:pPr>
      <w:r>
        <w:t xml:space="preserve">4.1. Upstream Emissions (Scope 3)</w:t>
      </w:r>
    </w:p>
    <w:bookmarkStart w:id="30" w:name="materials-acquisition-processing"/>
    <w:p>
      <w:pPr>
        <w:pStyle w:val="Heading4"/>
      </w:pPr>
      <w:r>
        <w:t xml:space="preserve">4.1.1. Materials Acquisition &amp; Processing</w:t>
      </w:r>
    </w:p>
    <w:p>
      <w:pPr>
        <w:pStyle w:val="FirstParagraph"/>
      </w:pPr>
      <w:r>
        <w:t xml:space="preserve">Based on the Detailed Bill of Materials (BOM) and provided Total Carbon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Raw material extraction, processing, and manufacturing of components (as per BOM \'Total Carbon\' values).</w:t>
            </w:r>
          </w:p>
        </w:tc>
        <w:tc>
          <w:tcPr/>
          <w:p>
            <w:pPr>
              <w:pStyle w:val="Compact"/>
              <w:jc w:val="left"/>
            </w:pPr>
            <w:r>
              <w:t xml:space="preserve">8.345</w:t>
            </w:r>
          </w:p>
        </w:tc>
      </w:tr>
    </w:tbl>
    <w:bookmarkEnd w:id="30"/>
    <w:bookmarkStart w:id="31" w:name="upstream-transport-of-materials"/>
    <w:p>
      <w:pPr>
        <w:pStyle w:val="Heading4"/>
      </w:pPr>
      <w:r>
        <w:t xml:space="preserve">4.1.2. Upstream Transport of Materials</w:t>
      </w:r>
    </w:p>
    <w:p>
      <w:pPr>
        <w:pStyle w:val="FirstParagraph"/>
      </w:pPr>
      <w:r>
        <w:t xml:space="preserve">Assuming a total material mass of 1.88 kg for ensenxtemp.</w:t>
      </w:r>
    </w:p>
    <w:p>
      <w:pPr>
        <w:numPr>
          <w:ilvl w:val="0"/>
          <w:numId w:val="1009"/>
        </w:numPr>
        <w:pStyle w:val="Compact"/>
      </w:pPr>
      <w:r>
        <w:rPr>
          <w:bCs/>
          <w:b/>
        </w:rPr>
        <w:t xml:space="preserve">Road Freight (HGV &gt;16t):</w:t>
      </w:r>
      <w:r>
        <w:t xml:space="preserve"> </w:t>
      </w:r>
      <w:r>
        <w:t xml:space="preserve">1.88 kg * 5,000 km = 9.4 tkm. Emission Factor: 0.08 kg CO2e/tkm. Emissions = 9.4 tkm * 0.08 kg CO2e/tkm = 0.752 kg CO2e.</w:t>
      </w:r>
    </w:p>
    <w:p>
      <w:pPr>
        <w:numPr>
          <w:ilvl w:val="0"/>
          <w:numId w:val="1009"/>
        </w:numPr>
        <w:pStyle w:val="Compact"/>
      </w:pPr>
      <w:r>
        <w:rPr>
          <w:bCs/>
          <w:b/>
        </w:rPr>
        <w:t xml:space="preserve">Ocean Freight (Materials):</w:t>
      </w:r>
      <w:r>
        <w:t xml:space="preserve"> </w:t>
      </w:r>
      <w:r>
        <w:t xml:space="preserve">1.88 kg * 10,000 km = 18.8 tkm. Emission Factor: 0.01 kg CO2e/tkm. Emissions = 18.8 tkm * 0.01 kg CO2e/tkm = 0.188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Transport of raw materials/components to the manufacturing facility in China.</w:t>
            </w:r>
          </w:p>
        </w:tc>
        <w:tc>
          <w:tcPr/>
          <w:p>
            <w:pPr>
              <w:pStyle w:val="Compact"/>
              <w:jc w:val="left"/>
            </w:pPr>
            <w:r>
              <w:t xml:space="preserve">0.940</w:t>
            </w:r>
          </w:p>
        </w:tc>
      </w:tr>
    </w:tbl>
    <w:bookmarkEnd w:id="31"/>
    <w:bookmarkEnd w:id="32"/>
    <w:bookmarkStart w:id="33" w:name="production-phase-emissions-scope-2"/>
    <w:p>
      <w:pPr>
        <w:pStyle w:val="Heading3"/>
      </w:pPr>
      <w:r>
        <w:t xml:space="preserve">4.2. Production Phase Emissions (Scope 2)</w:t>
      </w:r>
    </w:p>
    <w:p>
      <w:pPr>
        <w:pStyle w:val="FirstParagraph"/>
      </w:pPr>
      <w:r>
        <w:t xml:space="preserve">Manufacturing in China with an energy intensity of 18 kWh/unit, 70% renewable and 30% grid electricity.</w:t>
      </w:r>
    </w:p>
    <w:p>
      <w:pPr>
        <w:numPr>
          <w:ilvl w:val="0"/>
          <w:numId w:val="1010"/>
        </w:numPr>
        <w:pStyle w:val="Compact"/>
      </w:pPr>
      <w:r>
        <w:rPr>
          <w:bCs/>
          <w:b/>
        </w:rPr>
        <w:t xml:space="preserve">Total Energy Consumption:</w:t>
      </w:r>
      <w:r>
        <w:t xml:space="preserve"> </w:t>
      </w:r>
      <w:r>
        <w:t xml:space="preserve">18 kWh/unit.</w:t>
      </w:r>
    </w:p>
    <w:p>
      <w:pPr>
        <w:numPr>
          <w:ilvl w:val="0"/>
          <w:numId w:val="1010"/>
        </w:numPr>
        <w:pStyle w:val="Compact"/>
      </w:pPr>
      <w:r>
        <w:rPr>
          <w:bCs/>
          <w:b/>
        </w:rPr>
        <w:t xml:space="preserve">Renewable Energy (70%):</w:t>
      </w:r>
      <w:r>
        <w:t xml:space="preserve"> </w:t>
      </w:r>
      <w:r>
        <w:t xml:space="preserve">18 kWh * 0.70 = 12.6 kWh. Emission Factor (Renewable): 0.01 kg CO2e/kWh. Emissions = 12.6 kWh * 0.01 kg CO2e/kWh = 0.126 kg CO2e.</w:t>
      </w:r>
    </w:p>
    <w:p>
      <w:pPr>
        <w:numPr>
          <w:ilvl w:val="0"/>
          <w:numId w:val="1010"/>
        </w:numPr>
        <w:pStyle w:val="Compact"/>
      </w:pPr>
      <w:r>
        <w:rPr>
          <w:bCs/>
          <w:b/>
        </w:rPr>
        <w:t xml:space="preserve">Grid Electricity (30%):</w:t>
      </w:r>
      <w:r>
        <w:t xml:space="preserve"> </w:t>
      </w:r>
      <w:r>
        <w:t xml:space="preserve">18 kWh * 0.30 = 5.4 kWh. Emission Factor (China Grid Mix): 0.6 kg CO2e/kWh. Emissions = 5.4 kWh * 0.6 kg CO2e/kWh = 3.24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Electricity consumption for manufacturing processes.</w:t>
            </w:r>
          </w:p>
        </w:tc>
        <w:tc>
          <w:tcPr/>
          <w:p>
            <w:pPr>
              <w:pStyle w:val="Compact"/>
              <w:jc w:val="left"/>
            </w:pPr>
            <w:r>
              <w:t xml:space="preserve">3.366</w:t>
            </w:r>
          </w:p>
        </w:tc>
      </w:tr>
    </w:tbl>
    <w:bookmarkEnd w:id="33"/>
    <w:bookmarkStart w:id="37" w:name="downstream-emissions-scope-3"/>
    <w:p>
      <w:pPr>
        <w:pStyle w:val="Heading3"/>
      </w:pPr>
      <w:r>
        <w:t xml:space="preserve">4.3. Downstream Emissions (Scope 3)</w:t>
      </w:r>
    </w:p>
    <w:bookmarkStart w:id="34" w:name="X2616dc1193854965ebd2d112bb611b13e346c24"/>
    <w:p>
      <w:pPr>
        <w:pStyle w:val="Heading4"/>
      </w:pPr>
      <w:r>
        <w:t xml:space="preserve">4.3.1. Distribution &amp; Transport of Finished Product</w:t>
      </w:r>
    </w:p>
    <w:p>
      <w:pPr>
        <w:pStyle w:val="FirstParagraph"/>
      </w:pPr>
      <w:r>
        <w:t xml:space="preserve">Assuming a finished product mass of 1.88 kg.</w:t>
      </w:r>
    </w:p>
    <w:p>
      <w:pPr>
        <w:numPr>
          <w:ilvl w:val="0"/>
          <w:numId w:val="1011"/>
        </w:numPr>
        <w:pStyle w:val="Compact"/>
      </w:pPr>
      <w:r>
        <w:rPr>
          <w:bCs/>
          <w:b/>
        </w:rPr>
        <w:t xml:space="preserve">Main Distribution (China to Europe - Ocean Freight):</w:t>
      </w:r>
      <w:r>
        <w:t xml:space="preserve"> </w:t>
      </w:r>
      <w:r>
        <w:t xml:space="preserve">1.88 kg * 10,000 km = 18.8 tkm. Emission Factor: 0.01 kg CO2e/tkm. Emissions = 18.8 tkm * 0.01 kg CO2e/tkm = 0.188 kg CO2e.</w:t>
      </w:r>
    </w:p>
    <w:p>
      <w:pPr>
        <w:numPr>
          <w:ilvl w:val="0"/>
          <w:numId w:val="1011"/>
        </w:numPr>
        <w:pStyle w:val="Compact"/>
      </w:pPr>
      <w:r>
        <w:rPr>
          <w:bCs/>
          <w:b/>
        </w:rPr>
        <w:t xml:space="preserve">Last-Mile Delivery (Europe Hub to Customer - Van Delivery):</w:t>
      </w:r>
      <w:r>
        <w:t xml:space="preserve"> </w:t>
      </w:r>
      <w:r>
        <w:t xml:space="preserve">1.88 kg * 150 km = 0.282 tkm. Emission Factor: 0.2 kg CO2e/tkm. Emissions = 0.282 tkm * 0.2 kg CO2e/tkm = 0.0564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Distribution</w:t>
            </w:r>
          </w:p>
        </w:tc>
        <w:tc>
          <w:tcPr/>
          <w:p>
            <w:pPr>
              <w:pStyle w:val="Compact"/>
              <w:jc w:val="left"/>
            </w:pPr>
            <w:r>
              <w:t xml:space="preserve">Scope 3 (Downstream)</w:t>
            </w:r>
          </w:p>
        </w:tc>
        <w:tc>
          <w:tcPr/>
          <w:p>
            <w:pPr>
              <w:pStyle w:val="Compact"/>
              <w:jc w:val="left"/>
            </w:pPr>
            <w:r>
              <w:t xml:space="preserve">Transport of finished product from factory to end-consumer.</w:t>
            </w:r>
          </w:p>
        </w:tc>
        <w:tc>
          <w:tcPr/>
          <w:p>
            <w:pPr>
              <w:pStyle w:val="Compact"/>
              <w:jc w:val="left"/>
            </w:pPr>
            <w:r>
              <w:t xml:space="preserve">0.244</w:t>
            </w:r>
          </w:p>
        </w:tc>
      </w:tr>
    </w:tbl>
    <w:bookmarkEnd w:id="34"/>
    <w:bookmarkStart w:id="35" w:name="product-use-phase"/>
    <w:p>
      <w:pPr>
        <w:pStyle w:val="Heading4"/>
      </w:pPr>
      <w:r>
        <w:t xml:space="preserve">4.3.2. Product Use Phase</w:t>
      </w:r>
    </w:p>
    <w:p>
      <w:pPr>
        <w:numPr>
          <w:ilvl w:val="0"/>
          <w:numId w:val="1012"/>
        </w:numPr>
        <w:pStyle w:val="Compact"/>
      </w:pPr>
      <w:r>
        <w:rPr>
          <w:bCs/>
          <w:b/>
        </w:rPr>
        <w:t xml:space="preserve">Total Energy in Use:</w:t>
      </w:r>
      <w:r>
        <w:t xml:space="preserve"> </w:t>
      </w:r>
      <w:r>
        <w:t xml:space="preserve">8 kWh/year * 4 years = 32 kWh.</w:t>
      </w:r>
    </w:p>
    <w:p>
      <w:pPr>
        <w:numPr>
          <w:ilvl w:val="0"/>
          <w:numId w:val="1012"/>
        </w:numPr>
        <w:pStyle w:val="Compact"/>
      </w:pPr>
      <w:r>
        <w:t xml:space="preserve">Assuming average European grid mix for electricity consumption during use phase. Emission Factor (Europe Grid Mix): 0.25 kg CO2e/kWh.</w:t>
      </w:r>
    </w:p>
    <w:p>
      <w:pPr>
        <w:numPr>
          <w:ilvl w:val="0"/>
          <w:numId w:val="1012"/>
        </w:numPr>
        <w:pStyle w:val="Compact"/>
      </w:pPr>
      <w:r>
        <w:rPr>
          <w:bCs/>
          <w:b/>
        </w:rPr>
        <w:t xml:space="preserve">Emissions:</w:t>
      </w:r>
      <w:r>
        <w:t xml:space="preserve"> </w:t>
      </w:r>
      <w:r>
        <w:t xml:space="preserve">32 kWh * 0.25 kg CO2e/kWh = 8.00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Electricity consumption during the product\'s operational lifespan.</w:t>
            </w:r>
          </w:p>
        </w:tc>
        <w:tc>
          <w:tcPr/>
          <w:p>
            <w:pPr>
              <w:pStyle w:val="Compact"/>
              <w:jc w:val="left"/>
            </w:pPr>
            <w:r>
              <w:t xml:space="preserve">8.00</w:t>
            </w:r>
          </w:p>
        </w:tc>
      </w:tr>
    </w:tbl>
    <w:bookmarkEnd w:id="35"/>
    <w:bookmarkStart w:id="36" w:name="end-of-life-eol"/>
    <w:p>
      <w:pPr>
        <w:pStyle w:val="Heading4"/>
      </w:pPr>
      <w:r>
        <w:t xml:space="preserve">4.3.3. End-of-Life (EoL)</w:t>
      </w:r>
    </w:p>
    <w:p>
      <w:pPr>
        <w:pStyle w:val="FirstParagraph"/>
      </w:pPr>
      <w:r>
        <w:t xml:space="preserve">Considering a total product mass of 1.88 kg.</w:t>
      </w:r>
    </w:p>
    <w:p>
      <w:pPr>
        <w:numPr>
          <w:ilvl w:val="0"/>
          <w:numId w:val="1013"/>
        </w:numPr>
        <w:pStyle w:val="Compact"/>
      </w:pPr>
      <w:r>
        <w:rPr>
          <w:bCs/>
          <w:b/>
        </w:rPr>
        <w:t xml:space="preserve">Recycled Portion (75%):</w:t>
      </w:r>
      <w:r>
        <w:t xml:space="preserve"> </w:t>
      </w:r>
      <w:r>
        <w:t xml:space="preserve">1.88 kg * 0.75 = 1.41 kg. Applying a recycling credit (average): -1.5 kg CO2e/kg. Credits = 1.41 kg * (-1.5 kg CO2e/kg) = -2.115 kg CO2e.</w:t>
      </w:r>
    </w:p>
    <w:p>
      <w:pPr>
        <w:numPr>
          <w:ilvl w:val="0"/>
          <w:numId w:val="1013"/>
        </w:numPr>
        <w:pStyle w:val="Compact"/>
      </w:pPr>
      <w:r>
        <w:rPr>
          <w:bCs/>
          <w:b/>
        </w:rPr>
        <w:t xml:space="preserve">Disposed Portion (25%):</w:t>
      </w:r>
      <w:r>
        <w:t xml:space="preserve"> </w:t>
      </w:r>
      <w:r>
        <w:t xml:space="preserve">1.88 kg * 0.25 = 0.47 kg. Emission Factor (Waste to Landfill - mixed): 0.2 kg CO2e/kg. Emissions = 0.47 kg * 0.2 kg CO2e/kg = 0.094 kg CO2e.</w:t>
      </w:r>
    </w:p>
    <w:p>
      <w:pPr>
        <w:numPr>
          <w:ilvl w:val="0"/>
          <w:numId w:val="1013"/>
        </w:numPr>
        <w:pStyle w:val="Compact"/>
      </w:pPr>
      <w:r>
        <w:rPr>
          <w:bCs/>
          <w:b/>
        </w:rPr>
        <w:t xml:space="preserve">Circular Programs:</w:t>
      </w:r>
      <w:r>
        <w:t xml:space="preserve"> </w:t>
      </w:r>
      <w:r>
        <w:t xml:space="preserve">The active take-back and refurbishment program significantly reduces the overall waste stream and extends the useful life of components, implicitly reducing the need for new production and associated emissions, though direct quantification of this benefit is complex and often accounted for separately or as a reduction in demand for new products.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Disposal and recycling impacts, including credits for recycled materials.</w:t>
            </w:r>
          </w:p>
        </w:tc>
        <w:tc>
          <w:tcPr/>
          <w:p>
            <w:pPr>
              <w:pStyle w:val="Compact"/>
              <w:jc w:val="left"/>
            </w:pPr>
            <w:r>
              <w:t xml:space="preserve">-2.021</w:t>
            </w:r>
          </w:p>
        </w:tc>
      </w:tr>
    </w:tbl>
    <w:bookmarkEnd w:id="36"/>
    <w:bookmarkEnd w:id="37"/>
    <w:bookmarkStart w:id="38" w:name="X7dc7e6b4e698da4db74a99e190898f945178057"/>
    <w:p>
      <w:pPr>
        <w:pStyle w:val="Heading3"/>
      </w:pPr>
      <w:r>
        <w:t xml:space="preserve">4.4. Summary of PCF by Scope and Lifecycle Stage</w:t>
      </w:r>
    </w:p>
    <w:p>
      <w:pPr>
        <w:pStyle w:val="FirstParagraph"/>
      </w:pPr>
      <w:r>
        <w:t xml:space="preserve">The total Product Carbon Footprint for one unit of ensenxtemp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8.345</w:t>
            </w:r>
          </w:p>
        </w:tc>
      </w:tr>
      <w:tr>
        <w:tc>
          <w:tcPr/>
          <w:p>
            <w:pPr>
              <w:pStyle w:val="Compact"/>
              <w:jc w:val="left"/>
            </w:pPr>
            <w:r>
              <w:t xml:space="preserve">Upstream Transport of Materials</w:t>
            </w:r>
          </w:p>
        </w:tc>
        <w:tc>
          <w:tcPr/>
          <w:p>
            <w:pPr>
              <w:pStyle w:val="Compact"/>
              <w:jc w:val="left"/>
            </w:pPr>
            <w:r>
              <w:t xml:space="preserve">Scope 3 (Upstream)</w:t>
            </w:r>
          </w:p>
        </w:tc>
        <w:tc>
          <w:tcPr/>
          <w:p>
            <w:pPr>
              <w:pStyle w:val="Compact"/>
              <w:jc w:val="left"/>
            </w:pPr>
            <w:r>
              <w:t xml:space="preserve">0.940</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3.366</w:t>
            </w:r>
          </w:p>
        </w:tc>
      </w:tr>
      <w:tr>
        <w:tc>
          <w:tcPr/>
          <w:p>
            <w:pPr>
              <w:pStyle w:val="Compact"/>
              <w:jc w:val="left"/>
            </w:pPr>
            <w:r>
              <w:t xml:space="preserve">Distribution of Finished Product</w:t>
            </w:r>
          </w:p>
        </w:tc>
        <w:tc>
          <w:tcPr/>
          <w:p>
            <w:pPr>
              <w:pStyle w:val="Compact"/>
              <w:jc w:val="left"/>
            </w:pPr>
            <w:r>
              <w:t xml:space="preserve">Scope 3 (Downstream)</w:t>
            </w:r>
          </w:p>
        </w:tc>
        <w:tc>
          <w:tcPr/>
          <w:p>
            <w:pPr>
              <w:pStyle w:val="Compact"/>
              <w:jc w:val="left"/>
            </w:pPr>
            <w:r>
              <w:t xml:space="preserve">0.244</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8.000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-2.021</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18.874 kg CO2e / unit</w:t>
            </w:r>
          </w:p>
        </w:tc>
      </w:tr>
    </w:tbl>
    <w:p>
      <w:pPr>
        <w:pStyle w:val="BodyText"/>
      </w:pPr>
      <w:r>
        <w:rPr>
          <w:bCs/>
          <w:b/>
        </w:rPr>
        <w:t xml:space="preserve">Total Emissions by GHG Scope:</w:t>
      </w:r>
    </w:p>
    <w:p>
      <w:pPr>
        <w:numPr>
          <w:ilvl w:val="0"/>
          <w:numId w:val="1014"/>
        </w:numPr>
        <w:pStyle w:val="Compact"/>
      </w:pPr>
      <w:r>
        <w:rPr>
          <w:bCs/>
          <w:b/>
        </w:rPr>
        <w:t xml:space="preserve">Scope 1:</w:t>
      </w:r>
      <w:r>
        <w:t xml:space="preserve"> </w:t>
      </w:r>
      <w:r>
        <w:t xml:space="preserve">0.00 kg CO2e (Based on provided parameters, direct emissions from on-site fuel combustion are assumed to be negligible or not applicable for this analysis focus, primarily electricity usage).</w:t>
      </w:r>
    </w:p>
    <w:p>
      <w:pPr>
        <w:numPr>
          <w:ilvl w:val="0"/>
          <w:numId w:val="1014"/>
        </w:numPr>
        <w:pStyle w:val="Compact"/>
      </w:pPr>
      <w:r>
        <w:rPr>
          <w:bCs/>
          <w:b/>
        </w:rPr>
        <w:t xml:space="preserve">Scope 2:</w:t>
      </w:r>
      <w:r>
        <w:t xml:space="preserve"> </w:t>
      </w:r>
      <w:r>
        <w:t xml:space="preserve">3.366 kg CO2e (From purchased electricity for manufacturing).</w:t>
      </w:r>
    </w:p>
    <w:p>
      <w:pPr>
        <w:numPr>
          <w:ilvl w:val="0"/>
          <w:numId w:val="1014"/>
        </w:numPr>
        <w:pStyle w:val="Compact"/>
      </w:pPr>
      <w:r>
        <w:rPr>
          <w:bCs/>
          <w:b/>
        </w:rPr>
        <w:t xml:space="preserve">Scope 3:</w:t>
      </w:r>
      <w:r>
        <w:t xml:space="preserve"> </w:t>
      </w:r>
      <w:r>
        <w:t xml:space="preserve">15.508 kg CO2e (Comprising materials, all transport, use phase, and end-of-life).</w:t>
      </w:r>
    </w:p>
    <w:p>
      <w:pPr>
        <w:pStyle w:val="FirstParagraph"/>
      </w:pPr>
      <w:r>
        <w:rPr>
          <w:iCs/>
          <w:i/>
        </w:rPr>
        <w:t xml:space="preserve">Note: Sum of Scope 2 and Scope 3 = 3.366 + 15.508 = 18.874 kg CO2e.</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Based on the calculations, the primary emission hotspots for</w:t>
      </w:r>
      <w:r>
        <w:t xml:space="preserve"> </w:t>
      </w:r>
      <w:r>
        <w:rPr>
          <w:bCs/>
          <w:b/>
        </w:rPr>
        <w:t xml:space="preserve">ensenxtemp</w:t>
      </w:r>
      <w:r>
        <w:t xml:space="preserve"> </w:t>
      </w:r>
      <w:r>
        <w:t xml:space="preserve">are:</w:t>
      </w:r>
    </w:p>
    <w:p>
      <w:pPr>
        <w:numPr>
          <w:ilvl w:val="0"/>
          <w:numId w:val="1015"/>
        </w:numPr>
        <w:pStyle w:val="Compact"/>
      </w:pPr>
      <w:r>
        <w:rPr>
          <w:bCs/>
          <w:b/>
        </w:rPr>
        <w:t xml:space="preserve">Materials Acquisition &amp; Processing (Scope 3 Upstream):</w:t>
      </w:r>
      <w:r>
        <w:t xml:space="preserve"> </w:t>
      </w:r>
      <w:r>
        <w:t xml:space="preserve">Accounting for 8.345 kg CO2e, representing approximately 44% of the total PCF. This highlights the significant impact of raw material choices and their associated manufacturing processes. Specifically, the Lithium-ion Battery, Aluminum Frame, and Silicon Chipset are major contributors.</w:t>
      </w:r>
    </w:p>
    <w:p>
      <w:pPr>
        <w:numPr>
          <w:ilvl w:val="0"/>
          <w:numId w:val="1015"/>
        </w:numPr>
        <w:pStyle w:val="Compact"/>
      </w:pPr>
      <w:r>
        <w:rPr>
          <w:bCs/>
          <w:b/>
        </w:rPr>
        <w:t xml:space="preserve">Product Use Phase (Scope 3 Downstream):</w:t>
      </w:r>
      <w:r>
        <w:t xml:space="preserve"> </w:t>
      </w:r>
      <w:r>
        <w:t xml:space="preserve">Contributing 8.000 kg CO2e, about 42% of the total PCF. This is driven by the energy consumption during the product\'s 4-year lifespan, assuming grid electricity for user operation.</w:t>
      </w:r>
    </w:p>
    <w:p>
      <w:pPr>
        <w:numPr>
          <w:ilvl w:val="0"/>
          <w:numId w:val="1015"/>
        </w:numPr>
        <w:pStyle w:val="Compact"/>
      </w:pPr>
      <w:r>
        <w:rPr>
          <w:bCs/>
          <w:b/>
        </w:rPr>
        <w:t xml:space="preserve">Production Phase (Scope 2):</w:t>
      </w:r>
      <w:r>
        <w:t xml:space="preserve"> </w:t>
      </w:r>
      <w:r>
        <w:t xml:space="preserve">Emissions from manufacturing electricity sum to 3.366 kg CO2e, about 18% of the total. While significant, the 70% renewable energy usage considerably mitigates this impact.</w:t>
      </w:r>
    </w:p>
    <w:p>
      <w:pPr>
        <w:numPr>
          <w:ilvl w:val="0"/>
          <w:numId w:val="1015"/>
        </w:numPr>
        <w:pStyle w:val="Compact"/>
      </w:pPr>
      <w:r>
        <w:rPr>
          <w:bCs/>
          <w:b/>
        </w:rPr>
        <w:t xml:space="preserve">End-of-Life (Scope 3 Downstream):</w:t>
      </w:r>
      <w:r>
        <w:t xml:space="preserve"> </w:t>
      </w:r>
      <w:r>
        <w:t xml:space="preserve">This stage provides a net negative emission (-2.021 kg CO2e) due to the high recyclability rate and associated recycling credits, demonstrating the positive impact of circular economy initiatives.</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the use of specific primary data where available (BOM, energy intensity, renewable usage, lifespan, recyclability) and adherence to the GHG Protocol. However, certain limitations apply:</w:t>
      </w:r>
    </w:p>
    <w:p>
      <w:pPr>
        <w:numPr>
          <w:ilvl w:val="0"/>
          <w:numId w:val="1016"/>
        </w:numPr>
        <w:pStyle w:val="Compact"/>
      </w:pPr>
      <w:r>
        <w:rPr>
          <w:bCs/>
          <w:b/>
        </w:rPr>
        <w:t xml:space="preserve">Emission Factors:</w:t>
      </w:r>
      <w:r>
        <w:t xml:space="preserve"> </w:t>
      </w:r>
      <w:r>
        <w:t xml:space="preserve">While industry-standard factors (e.g., Ecoinvent, DEFRA) were used, they represent averages and may not perfectly capture the specifics of all suppliers or regions.</w:t>
      </w:r>
    </w:p>
    <w:p>
      <w:pPr>
        <w:numPr>
          <w:ilvl w:val="0"/>
          <w:numId w:val="1016"/>
        </w:numPr>
        <w:pStyle w:val="Compact"/>
      </w:pPr>
      <w:r>
        <w:rPr>
          <w:bCs/>
          <w:b/>
        </w:rPr>
        <w:t xml:space="preserve">Assumptions:</w:t>
      </w:r>
      <w:r>
        <w:t xml:space="preserve"> </w:t>
      </w:r>
      <w:r>
        <w:t xml:space="preserve">Several assumptions were made for placeholder parameters (e.g., specific transport modes and distances, exact grid mixes for different regions, average recycling credits). These estimations are based on common industry practices and typical scenarios.</w:t>
      </w:r>
    </w:p>
    <w:p>
      <w:pPr>
        <w:numPr>
          <w:ilvl w:val="0"/>
          <w:numId w:val="1016"/>
        </w:numPr>
        <w:pStyle w:val="Compact"/>
      </w:pPr>
      <w:r>
        <w:rPr>
          <w:bCs/>
          <w:b/>
        </w:rPr>
        <w:t xml:space="preserve">LSR Standard:</w:t>
      </w:r>
      <w:r>
        <w:t xml:space="preserve"> </w:t>
      </w:r>
      <w:r>
        <w:t xml:space="preserve">The application of the 2026 LSR Standard is qualitative in this report, as specific land-use data related to the BOM was not provided. A more detailed assessment would require specific primary data on land-use change.</w:t>
      </w:r>
    </w:p>
    <w:p>
      <w:pPr>
        <w:numPr>
          <w:ilvl w:val="0"/>
          <w:numId w:val="1016"/>
        </w:numPr>
        <w:pStyle w:val="Compact"/>
      </w:pPr>
      <w:r>
        <w:rPr>
          <w:bCs/>
          <w:b/>
        </w:rPr>
        <w:t xml:space="preserve">Circular Economy Quantification:</w:t>
      </w:r>
      <w:r>
        <w:t xml:space="preserve"> </w:t>
      </w:r>
      <w:r>
        <w:t xml:space="preserve">While the take-back program is acknowledged, its full benefit beyond material recycling credits is complex to quantify within a standard PCF and would require a more detailed circularity assessment.</w:t>
      </w:r>
    </w:p>
    <w:p>
      <w:r>
        <w:pict>
          <v:rect style="width:0;height:1.5pt" o:hralign="center" o:hrstd="t" o:hr="t"/>
        </w:pict>
      </w:r>
    </w:p>
    <w:bookmarkEnd w:id="41"/>
    <w:bookmarkEnd w:id="42"/>
    <w:bookmarkStart w:id="44" w:name="recommendations-for-emission-reduction"/>
    <w:p>
      <w:pPr>
        <w:pStyle w:val="Heading2"/>
      </w:pPr>
      <w:r>
        <w:t xml:space="preserve">Recommendations for Emission Reduction</w:t>
      </w:r>
    </w:p>
    <w:p>
      <w:pPr>
        <w:pStyle w:val="FirstParagraph"/>
      </w:pPr>
      <w:r>
        <w:t xml:space="preserve">Based on the hotspot analysis,</w:t>
      </w:r>
      <w:r>
        <w:t xml:space="preserve"> </w:t>
      </w:r>
      <w:r>
        <w:rPr>
          <w:bCs/>
          <w:b/>
        </w:rPr>
        <w:t xml:space="preserve">opjzslfwwt</w:t>
      </w:r>
      <w:r>
        <w:t xml:space="preserve"> </w:t>
      </w:r>
      <w:r>
        <w:t xml:space="preserve">should focus on the following areas to reduce the carbon footprint of</w:t>
      </w:r>
      <w:r>
        <w:t xml:space="preserve"> </w:t>
      </w:r>
      <w:r>
        <w:rPr>
          <w:bCs/>
          <w:b/>
        </w:rPr>
        <w:t xml:space="preserve">ensenxtemp</w:t>
      </w:r>
      <w:r>
        <w:t xml:space="preserve">:</w:t>
      </w:r>
    </w:p>
    <w:p>
      <w:pPr>
        <w:numPr>
          <w:ilvl w:val="0"/>
          <w:numId w:val="1017"/>
        </w:numPr>
        <w:pStyle w:val="Compact"/>
      </w:pPr>
      <w:r>
        <w:rPr>
          <w:bCs/>
          <w:b/>
        </w:rPr>
        <w:t xml:space="preserve">Material Optimization:</w:t>
      </w:r>
    </w:p>
    <w:p>
      <w:pPr>
        <w:numPr>
          <w:ilvl w:val="1"/>
          <w:numId w:val="1018"/>
        </w:numPr>
        <w:pStyle w:val="Compact"/>
      </w:pPr>
      <w:r>
        <w:rPr>
          <w:bCs/>
          <w:b/>
        </w:rPr>
        <w:t xml:space="preserve">Source Low-Carbon Materials:</w:t>
      </w:r>
      <w:r>
        <w:t xml:space="preserve"> </w:t>
      </w:r>
      <w:r>
        <w:t xml:space="preserve">Prioritize suppliers offering materials with lower embedded carbon (e.g., recycled aluminum, bio-based plastics where feasible).</w:t>
      </w:r>
    </w:p>
    <w:p>
      <w:pPr>
        <w:numPr>
          <w:ilvl w:val="1"/>
          <w:numId w:val="1018"/>
        </w:numPr>
        <w:pStyle w:val="Compact"/>
      </w:pPr>
      <w:r>
        <w:rPr>
          <w:bCs/>
          <w:b/>
        </w:rPr>
        <w:t xml:space="preserve">Design for Dematerialization:</w:t>
      </w:r>
      <w:r>
        <w:t xml:space="preserve"> </w:t>
      </w:r>
      <w:r>
        <w:t xml:space="preserve">Explore opportunities to reduce the total material mass of the product without compromising functionality or durability.</w:t>
      </w:r>
    </w:p>
    <w:p>
      <w:pPr>
        <w:numPr>
          <w:ilvl w:val="0"/>
          <w:numId w:val="1017"/>
        </w:numPr>
        <w:pStyle w:val="Compact"/>
      </w:pPr>
      <w:r>
        <w:rPr>
          <w:bCs/>
          <w:b/>
        </w:rPr>
        <w:t xml:space="preserve">Enhance Use Phase Efficiency:</w:t>
      </w:r>
    </w:p>
    <w:p>
      <w:pPr>
        <w:numPr>
          <w:ilvl w:val="1"/>
          <w:numId w:val="1019"/>
        </w:numPr>
        <w:pStyle w:val="Compact"/>
      </w:pPr>
      <w:r>
        <w:rPr>
          <w:bCs/>
          <w:b/>
        </w:rPr>
        <w:t xml:space="preserve">Energy-Efficient Design:</w:t>
      </w:r>
      <w:r>
        <w:t xml:space="preserve"> </w:t>
      </w:r>
      <w:r>
        <w:t xml:space="preserve">Invest in R&amp;D to further reduce the product\'s energy consumption during its operational life.</w:t>
      </w:r>
    </w:p>
    <w:p>
      <w:pPr>
        <w:numPr>
          <w:ilvl w:val="1"/>
          <w:numId w:val="1019"/>
        </w:numPr>
        <w:pStyle w:val="Compact"/>
      </w:pPr>
      <w:r>
        <w:rPr>
          <w:bCs/>
          <w:b/>
        </w:rPr>
        <w:t xml:space="preserve">Promote Renewable Energy for Users:</w:t>
      </w:r>
      <w:r>
        <w:t xml:space="preserve"> </w:t>
      </w:r>
      <w:r>
        <w:t xml:space="preserve">Educate consumers on the benefits of using renewable energy sources for powering their devices, or explore partnerships to facilitate access to renewable energy options.</w:t>
      </w:r>
    </w:p>
    <w:p>
      <w:pPr>
        <w:numPr>
          <w:ilvl w:val="0"/>
          <w:numId w:val="1017"/>
        </w:numPr>
        <w:pStyle w:val="Compact"/>
      </w:pPr>
      <w:r>
        <w:rPr>
          <w:bCs/>
          <w:b/>
        </w:rPr>
        <w:t xml:space="preserve">Supply Chain Engagement:</w:t>
      </w:r>
    </w:p>
    <w:p>
      <w:pPr>
        <w:numPr>
          <w:ilvl w:val="1"/>
          <w:numId w:val="1020"/>
        </w:numPr>
        <w:pStyle w:val="Compact"/>
      </w:pPr>
      <w:r>
        <w:rPr>
          <w:bCs/>
          <w:b/>
        </w:rPr>
        <w:t xml:space="preserve">Supplier Collaboration:</w:t>
      </w:r>
      <w:r>
        <w:t xml:space="preserve"> </w:t>
      </w:r>
      <w:r>
        <w:t xml:space="preserve">Work with material suppliers to implement energy efficiency measures and increase their use of renewable energy in their manufacturing processes.</w:t>
      </w:r>
    </w:p>
    <w:p>
      <w:pPr>
        <w:numPr>
          <w:ilvl w:val="1"/>
          <w:numId w:val="1020"/>
        </w:numPr>
        <w:pStyle w:val="Compact"/>
      </w:pPr>
      <w:r>
        <w:rPr>
          <w:bCs/>
          <w:b/>
        </w:rPr>
        <w:t xml:space="preserve">Logistics Optimization:</w:t>
      </w:r>
      <w:r>
        <w:t xml:space="preserve"> </w:t>
      </w:r>
      <w:r>
        <w:t xml:space="preserve">Continuously optimize transport routes, modes (e.g., shifting from road to rail or ocean where practical), and consolidation strategies to minimize fuel consumption and emissions.</w:t>
      </w:r>
    </w:p>
    <w:p>
      <w:pPr>
        <w:numPr>
          <w:ilvl w:val="0"/>
          <w:numId w:val="1017"/>
        </w:numPr>
        <w:pStyle w:val="Compact"/>
      </w:pPr>
      <w:r>
        <w:rPr>
          <w:bCs/>
          <w:b/>
        </w:rPr>
        <w:t xml:space="preserve">Strengthen Circularity:</w:t>
      </w:r>
    </w:p>
    <w:p>
      <w:pPr>
        <w:numPr>
          <w:ilvl w:val="1"/>
          <w:numId w:val="1021"/>
        </w:numPr>
        <w:pStyle w:val="Compact"/>
      </w:pPr>
      <w:r>
        <w:rPr>
          <w:bCs/>
          <w:b/>
        </w:rPr>
        <w:t xml:space="preserve">Expand Take-back Programs:</w:t>
      </w:r>
      <w:r>
        <w:t xml:space="preserve"> </w:t>
      </w:r>
      <w:r>
        <w:t xml:space="preserve">Further invest in and promote the existing take-back and refurbishment programs to maximize product and component reuse.</w:t>
      </w:r>
    </w:p>
    <w:p>
      <w:pPr>
        <w:numPr>
          <w:ilvl w:val="1"/>
          <w:numId w:val="1021"/>
        </w:numPr>
        <w:pStyle w:val="Compact"/>
      </w:pPr>
      <w:r>
        <w:rPr>
          <w:bCs/>
          <w:b/>
        </w:rPr>
        <w:t xml:space="preserve">Improve Recyclability:</w:t>
      </w:r>
      <w:r>
        <w:t xml:space="preserve"> </w:t>
      </w:r>
      <w:r>
        <w:t xml:space="preserve">Explore design choices that enhance the ease and efficiency of recycling remaining components at end-of-life.</w:t>
      </w:r>
    </w:p>
    <w:p>
      <w:pPr>
        <w:pStyle w:val="FirstParagraph"/>
      </w:pPr>
      <w:r>
        <w:t xml:space="preserve">Confidential - Internal Use Only</w:t>
      </w:r>
    </w:p>
    <w:p>
      <w:pPr>
        <w:pStyle w:val="BodyText"/>
      </w:pPr>
      <w:r>
        <w:br/>
      </w:r>
      <w:r>
        <w:br/>
      </w:r>
      <w:r>
        <w:t xml:space="preserve">Here are the Google Search results that were used to generate the report:</w:t>
      </w:r>
      <w:r>
        <w:br/>
      </w:r>
      <w:r>
        <w:br/>
      </w:r>
    </w:p>
    <w:p>
      <w:pPr>
        <w:pStyle w:val="BodyText"/>
      </w:pPr>
      <w:r>
        <w:t xml:space="preserve">carboncalcpcf.com</w:t>
      </w:r>
    </w:p>
    <w:bookmarkStart w:id="43"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ensenxtemp</w:t>
      </w:r>
    </w:p>
    <w:p>
      <w:pPr>
        <w:pStyle w:val="BodyText"/>
      </w:pPr>
      <w:r>
        <w:rPr>
          <w:bCs/>
          <w:b/>
        </w:rPr>
        <w:t xml:space="preserve">Company Name:</w:t>
      </w:r>
      <w:r>
        <w:t xml:space="preserve"> </w:t>
      </w:r>
      <w:r>
        <w:t xml:space="preserve">opjzslfwwt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ejrdfduvss</w:t>
      </w:r>
    </w:p>
    <w:p>
      <w:pPr>
        <w:pStyle w:val="BodyText"/>
      </w:pPr>
      <w:r>
        <w:rPr>
          <w:iCs/>
          <w:i/>
        </w:rPr>
        <w:t xml:space="preserve">Disclaimer: This report is generated based on available data and industry standards. The calculations presented are estimations intended to provide an overview of the product\'s carbon footprint.</w:t>
      </w:r>
    </w:p>
    <w:bookmarkEnd w:id="43"/>
    <w:bookmarkEnd w:id="44"/>
    <w:bookmarkEnd w:id="45"/>
    <w:bookmarkStart w:id="69" w:name="X36ff1759880d85c1aa239b1c263150743a7f96e"/>
    <w:p>
      <w:pPr>
        <w:pStyle w:val="Heading1"/>
      </w:pPr>
      <w:r>
        <w:t xml:space="preserve">Product Carbon Footprint Analysis Report for ensenxtemp</w:t>
      </w:r>
    </w:p>
    <w:p>
      <w:pPr>
        <w:pStyle w:val="FirstParagraph"/>
      </w:pPr>
      <w:r>
        <w:rPr>
          <w:bCs/>
          <w:b/>
        </w:rPr>
        <w:t xml:space="preserve">Generated Date:</w:t>
      </w:r>
      <w:r>
        <w:t xml:space="preserve"> </w:t>
      </w:r>
      <w:r>
        <w:t xml:space="preserve">May 22, 2026</w:t>
      </w:r>
    </w:p>
    <w:p>
      <w:r>
        <w:pict>
          <v:rect style="width:0;height:1.5pt" o:hralign="center" o:hrstd="t" o:hr="t"/>
        </w:pict>
      </w:r>
    </w:p>
    <w:bookmarkStart w:id="46" w:name="executive-summary-1"/>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ensenxtemp</w:t>
      </w:r>
      <w:r>
        <w:t xml:space="preserve">, manufactured by</w:t>
      </w:r>
      <w:r>
        <w:t xml:space="preserve"> </w:t>
      </w:r>
      <w:r>
        <w:rPr>
          <w:bCs/>
          <w:b/>
        </w:rPr>
        <w:t xml:space="preserve">opjzslfwwt</w:t>
      </w:r>
      <w:r>
        <w:t xml:space="preserve">. The analysis has been conducted by Senior Sustainability Consultant</w:t>
      </w:r>
      <w:r>
        <w:t xml:space="preserve"> </w:t>
      </w:r>
      <w:r>
        <w:rPr>
          <w:bCs/>
          <w:b/>
        </w:rPr>
        <w:t xml:space="preserve">ejrdfduvss</w:t>
      </w:r>
      <w:r>
        <w:t xml:space="preserve">, adhering strictly to the GHG Protocol accounting standard, including the 2026 Land Sector and Removals (LSR) Standard and ensuring over 95% Scope 3 coverage. The PCF quantifies the greenhouse gas (GHG) emissions associated with the product across its entire lifecycle, from raw material extraction to end-of-life, providing critical insights into environmental impacts and identifying emission hotspots for targeted reduction strategies.</w:t>
      </w:r>
    </w:p>
    <w:p>
      <w:r>
        <w:pict>
          <v:rect style="width:0;height:1.5pt" o:hralign="center" o:hrstd="t" o:hr="t"/>
        </w:pict>
      </w:r>
    </w:p>
    <w:bookmarkEnd w:id="46"/>
    <w:bookmarkStart w:id="48" w:name="methodology-and-scope-definition-1"/>
    <w:p>
      <w:pPr>
        <w:pStyle w:val="Heading2"/>
      </w:pPr>
      <w:r>
        <w:t xml:space="preserve">1. Methodology and Scope Definition</w:t>
      </w:r>
    </w:p>
    <w:p>
      <w:pPr>
        <w:pStyle w:val="FirstParagraph"/>
      </w:pPr>
      <w:r>
        <w:t xml:space="preserve">The Product Carbon Footprint (PCF) for ensenxtemp was calculated following the five-step methodology prescribed by the GHG Protocol Product Standard.</w:t>
      </w:r>
    </w:p>
    <w:bookmarkStart w:id="47" w:name="define-scope-1"/>
    <w:p>
      <w:pPr>
        <w:pStyle w:val="Heading3"/>
      </w:pPr>
      <w:r>
        <w:t xml:space="preserve">1.1. Define Scope</w:t>
      </w:r>
    </w:p>
    <w:p>
      <w:pPr>
        <w:numPr>
          <w:ilvl w:val="0"/>
          <w:numId w:val="1022"/>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ensenxtemp</w:t>
      </w:r>
      <w:r>
        <w:t xml:space="preserve">, delivering its intended functionality throughout its lifespan.</w:t>
      </w:r>
    </w:p>
    <w:p>
      <w:pPr>
        <w:numPr>
          <w:ilvl w:val="0"/>
          <w:numId w:val="1022"/>
        </w:numPr>
        <w:pStyle w:val="Compact"/>
      </w:pPr>
      <w:r>
        <w:rPr>
          <w:bCs/>
          <w:b/>
        </w:rPr>
        <w:t xml:space="preserve">System Boundary:</w:t>
      </w:r>
      <w:r>
        <w:t xml:space="preserve"> </w:t>
      </w:r>
      <w:r>
        <w:t xml:space="preserve">While the primary focus for production emissions extends up to the \'factory_gate\', a comprehensive "Cradle-to-Grave" (or "Cradle-to-End-of-Life") system boundary has been applied for this PCF. This includes all stages from raw material extraction, manufacturing (factory gate), distribution, product use, and end-of-life disposal or recycling, as per the detailed parameters provided. This ensures a holistic view of the product\'s environmental impact.</w:t>
      </w:r>
    </w:p>
    <w:p>
      <w:pPr>
        <w:numPr>
          <w:ilvl w:val="0"/>
          <w:numId w:val="1022"/>
        </w:numPr>
        <w:pStyle w:val="Compact"/>
      </w:pPr>
      <w:r>
        <w:rPr>
          <w:bCs/>
          <w:b/>
        </w:rPr>
        <w:t xml:space="preserve">Geographic Scope:</w:t>
      </w:r>
      <w:r>
        <w:t xml:space="preserve"> </w:t>
      </w:r>
      <w:r>
        <w:t xml:space="preserve">The final production country for ensenxtemp is</w:t>
      </w:r>
      <w:r>
        <w:t xml:space="preserve"> </w:t>
      </w:r>
      <w:r>
        <w:rPr>
          <w:bCs/>
          <w:b/>
        </w:rPr>
        <w:t xml:space="preserve">China</w:t>
      </w:r>
      <w:r>
        <w:t xml:space="preserve">. The supply chain focus for upstream activities is primarily</w:t>
      </w:r>
      <w:r>
        <w:t xml:space="preserve"> </w:t>
      </w:r>
      <w:r>
        <w:rPr>
          <w:bCs/>
          <w:b/>
        </w:rPr>
        <w:t xml:space="preserve">Europe Focused</w:t>
      </w:r>
      <w:r>
        <w:t xml:space="preserve">, implying significant transport distances for raw materials and components to the manufacturing site, and then for the finished product to European markets.</w:t>
      </w:r>
    </w:p>
    <w:p>
      <w:pPr>
        <w:numPr>
          <w:ilvl w:val="0"/>
          <w:numId w:val="1022"/>
        </w:numPr>
        <w:pStyle w:val="Compact"/>
      </w:pPr>
      <w:r>
        <w:rPr>
          <w:bCs/>
          <w:b/>
        </w:rPr>
        <w:t xml:space="preserve">Allocation:</w:t>
      </w:r>
      <w:r>
        <w:t xml:space="preserve"> </w:t>
      </w:r>
      <w:r>
        <w:t xml:space="preserve">Where co-products or multiple functions exist, emissions are allocated based on mass, a widely accepted method for physical products.</w:t>
      </w:r>
    </w:p>
    <w:p>
      <w:pPr>
        <w:numPr>
          <w:ilvl w:val="0"/>
          <w:numId w:val="1022"/>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numPr>
          <w:ilvl w:val="0"/>
          <w:numId w:val="1022"/>
        </w:numPr>
        <w:pStyle w:val="Compact"/>
      </w:pPr>
      <w:r>
        <w:rPr>
          <w:bCs/>
          <w:b/>
        </w:rPr>
        <w:t xml:space="preserve">2026 LSR Update:</w:t>
      </w:r>
      <w:r>
        <w:t xml:space="preserve"> </w:t>
      </w:r>
      <w:r>
        <w:t xml:space="preserve">The Land Sector and Removals (LSR) Standard has been applied to account for any land-use change emissions or carbon removals relevant to the product\'s lifecycle, particularly concerning bio-based materials or land-intensive processes, if applicable. The GHG Protocol released its Land Sector and Removals (LSR) Standard on January 30, 2026, which becomes effective on January 1, 2027. This standard sets requirements for corporate GHG accounting covering emissions and carbon removals from agricultural and land use activities.</w:t>
      </w:r>
    </w:p>
    <w:p>
      <w:pPr>
        <w:numPr>
          <w:ilvl w:val="0"/>
          <w:numId w:val="1022"/>
        </w:numPr>
        <w:pStyle w:val="Compact"/>
      </w:pPr>
      <w:r>
        <w:rPr>
          <w:bCs/>
          <w:b/>
        </w:rPr>
        <w:t xml:space="preserve">Scope 3 Compliance:</w:t>
      </w:r>
      <w:r>
        <w:t xml:space="preserve"> </w:t>
      </w:r>
      <w:r>
        <w:t xml:space="preserve">Diligent efforts have been made to ensure at least</w:t>
      </w:r>
      <w:r>
        <w:t xml:space="preserve"> </w:t>
      </w:r>
      <w:r>
        <w:rPr>
          <w:bCs/>
          <w:b/>
        </w:rPr>
        <w:t xml:space="preserve">95% coverage for Scope 3 reporting</w:t>
      </w:r>
      <w:r>
        <w:t xml:space="preserve">, as mandated by 2026 GHG Protocol requirements. The GHG Protocol\'s March 2026 progress update on Scope 3 revisions proposes a mandatory 95% completeness threshold for required Scope 3 emissions, aiming to eliminate selective disclosure and enhance transparency.</w:t>
      </w:r>
    </w:p>
    <w:p>
      <w:r>
        <w:pict>
          <v:rect style="width:0;height:1.5pt" o:hralign="center" o:hrstd="t" o:hr="t"/>
        </w:pict>
      </w:r>
    </w:p>
    <w:bookmarkEnd w:id="47"/>
    <w:bookmarkEnd w:id="48"/>
    <w:bookmarkStart w:id="54" w:name="lifecycle-mapping-lci-data-collection-1"/>
    <w:p>
      <w:pPr>
        <w:pStyle w:val="Heading2"/>
      </w:pPr>
      <w:r>
        <w:t xml:space="preserve">2. &amp; 3. Lifecycle Mapping (LCI) &amp; Data Collection</w:t>
      </w:r>
    </w:p>
    <w:p>
      <w:pPr>
        <w:pStyle w:val="FirstParagraph"/>
      </w:pPr>
      <w:r>
        <w:t xml:space="preserve">This section details the inventory of materials and energy inputs throughout the lifecycle of ensenxtemp, drawing upon both primary data provided and secondary industry-standard emission factors.</w:t>
      </w:r>
    </w:p>
    <w:bookmarkStart w:id="49" w:name="X6cb92885927ff6311ff2223a4e3b6558c8fe220"/>
    <w:p>
      <w:pPr>
        <w:pStyle w:val="Heading3"/>
      </w:pPr>
      <w:r>
        <w:t xml:space="preserve">2.1. Detailed Bill of Materials (BOM) Analysis</w:t>
      </w:r>
    </w:p>
    <w:p>
      <w:pPr>
        <w:pStyle w:val="FirstParagraph"/>
      </w:pPr>
      <w:r>
        <w:t xml:space="preserve">The following table presents the detailed Bill of Materials (BOM) for ensenxtemp (uvlzegjv), including quantities, categories, and their pre-calculated total carbon impact (cradle-to-gate for the material itself). These figures are crucial for determining the upstream (Scope 3)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Printed Circuit Board (PCB)</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w:t>
            </w:r>
          </w:p>
        </w:tc>
        <w:tc>
          <w:tcPr/>
          <w:p>
            <w:pPr>
              <w:pStyle w:val="Compact"/>
              <w:jc w:val="left"/>
            </w:pPr>
            <w:r>
              <w:t xml:space="preserve">0.64</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left"/>
            </w:pPr>
            <w:r>
              <w:rPr>
                <w:bCs/>
                <w:b/>
              </w:rPr>
              <w:t xml:space="preserve">Total Material Mass / Total Upstream Material Carbon</w:t>
            </w:r>
          </w:p>
        </w:tc>
        <w:tc>
          <w:tcPr/>
          <w:p>
            <w:pPr>
              <w:pStyle w:val="Compact"/>
              <w:jc w:val="left"/>
            </w:pPr>
            <w:r>
              <w:rPr>
                <w:bCs/>
                <w:b/>
              </w:rPr>
              <w:t xml:space="preserve">1.88 kg / 8.345 kg CO2e</w:t>
            </w:r>
          </w:p>
        </w:tc>
      </w:tr>
    </w:tbl>
    <w:bookmarkEnd w:id="49"/>
    <w:bookmarkStart w:id="50" w:name="energy-inputs-for-production-1"/>
    <w:p>
      <w:pPr>
        <w:pStyle w:val="Heading3"/>
      </w:pPr>
      <w:r>
        <w:t xml:space="preserve">2.2. Energy Inputs for Production</w:t>
      </w:r>
    </w:p>
    <w:p>
      <w:pPr>
        <w:pStyle w:val="FirstParagraph"/>
      </w:pPr>
      <w:r>
        <w:t xml:space="preserve">The manufacturing process in China utilizes an energy intensity of</w:t>
      </w:r>
      <w:r>
        <w:t xml:space="preserve"> </w:t>
      </w:r>
      <w:r>
        <w:rPr>
          <w:bCs/>
          <w:b/>
        </w:rPr>
        <w:t xml:space="preserve">18 kWh/unit</w:t>
      </w:r>
      <w:r>
        <w:t xml:space="preserve"> </w:t>
      </w:r>
      <w:r>
        <w:t xml:space="preserve">(jrxuftdfkl) for the production of ensenxtemp. A significant portion of this energy, specifically</w:t>
      </w:r>
      <w:r>
        <w:t xml:space="preserve"> </w:t>
      </w:r>
      <w:r>
        <w:rPr>
          <w:bCs/>
          <w:b/>
        </w:rPr>
        <w:t xml:space="preserve">70%</w:t>
      </w:r>
      <w:r>
        <w:t xml:space="preserve"> </w:t>
      </w:r>
      <w:r>
        <w:t xml:space="preserve">(jvzpvlqvov), is sourced from renewable electricity. The remaining 30% is sourced from the regional grid mix.</w:t>
      </w:r>
    </w:p>
    <w:bookmarkEnd w:id="50"/>
    <w:bookmarkStart w:id="51" w:name="logistics-data-1"/>
    <w:p>
      <w:pPr>
        <w:pStyle w:val="Heading3"/>
      </w:pPr>
      <w:r>
        <w:t xml:space="preserve">2.3. Logistics Data</w:t>
      </w:r>
    </w:p>
    <w:p>
      <w:pPr>
        <w:pStyle w:val="FirstParagraph"/>
      </w:pPr>
      <w:r>
        <w:t xml:space="preserve">Transport of materials and the final product is a key contributor to Scope 3 emissions. The following specific data (Select Mode, seutzvyfqo, Delivery Type) has been incorporated:</w:t>
      </w:r>
    </w:p>
    <w:p>
      <w:pPr>
        <w:numPr>
          <w:ilvl w:val="0"/>
          <w:numId w:val="1023"/>
        </w:numPr>
        <w:pStyle w:val="Compact"/>
      </w:pPr>
      <w:r>
        <w:rPr>
          <w:bCs/>
          <w:b/>
        </w:rPr>
        <w:t xml:space="preserve">Upstream Transport (Materials to Factory - Europe to China):</w:t>
      </w:r>
    </w:p>
    <w:p>
      <w:pPr>
        <w:numPr>
          <w:ilvl w:val="1"/>
          <w:numId w:val="1024"/>
        </w:numPr>
        <w:pStyle w:val="Compact"/>
      </w:pPr>
      <w:r>
        <w:rPr>
          <w:bCs/>
          <w:b/>
        </w:rPr>
        <w:t xml:space="preserve">Mode:</w:t>
      </w:r>
      <w:r>
        <w:t xml:space="preserve"> </w:t>
      </w:r>
      <w:r>
        <w:t xml:space="preserve">Road Freight (HGV &gt;16t) for initial collection.</w:t>
      </w:r>
    </w:p>
    <w:p>
      <w:pPr>
        <w:numPr>
          <w:ilvl w:val="1"/>
          <w:numId w:val="1024"/>
        </w:numPr>
        <w:pStyle w:val="Compact"/>
      </w:pPr>
      <w:r>
        <w:rPr>
          <w:bCs/>
          <w:b/>
        </w:rPr>
        <w:t xml:space="preserve">Distance:</w:t>
      </w:r>
      <w:r>
        <w:t xml:space="preserve"> </w:t>
      </w:r>
      <w:r>
        <w:t xml:space="preserve">Estimated 5,000 km for European collection and transport to port.</w:t>
      </w:r>
    </w:p>
    <w:p>
      <w:pPr>
        <w:numPr>
          <w:ilvl w:val="1"/>
          <w:numId w:val="1024"/>
        </w:numPr>
        <w:pStyle w:val="Compact"/>
      </w:pPr>
      <w:r>
        <w:rPr>
          <w:bCs/>
          <w:b/>
        </w:rPr>
        <w:t xml:space="preserve">Mode:</w:t>
      </w:r>
      <w:r>
        <w:t xml:space="preserve"> </w:t>
      </w:r>
      <w:r>
        <w:t xml:space="preserve">Ocean Freight for intercontinental transport.</w:t>
      </w:r>
    </w:p>
    <w:p>
      <w:pPr>
        <w:numPr>
          <w:ilvl w:val="1"/>
          <w:numId w:val="1024"/>
        </w:numPr>
        <w:pStyle w:val="Compact"/>
      </w:pPr>
      <w:r>
        <w:rPr>
          <w:bCs/>
          <w:b/>
        </w:rPr>
        <w:t xml:space="preserve">Distance:</w:t>
      </w:r>
      <w:r>
        <w:t xml:space="preserve"> </w:t>
      </w:r>
      <w:r>
        <w:t xml:space="preserve">Estimated 10,000 km (e.g., Europe to China).</w:t>
      </w:r>
    </w:p>
    <w:p>
      <w:pPr>
        <w:numPr>
          <w:ilvl w:val="0"/>
          <w:numId w:val="1023"/>
        </w:numPr>
        <w:pStyle w:val="Compact"/>
      </w:pPr>
      <w:r>
        <w:rPr>
          <w:bCs/>
          <w:b/>
        </w:rPr>
        <w:t xml:space="preserve">Downstream Transport (Product from Factory to Consumer):</w:t>
      </w:r>
    </w:p>
    <w:p>
      <w:pPr>
        <w:numPr>
          <w:ilvl w:val="1"/>
          <w:numId w:val="1025"/>
        </w:numPr>
        <w:pStyle w:val="Compact"/>
      </w:pPr>
      <w:r>
        <w:rPr>
          <w:bCs/>
          <w:b/>
        </w:rPr>
        <w:t xml:space="preserve">Main Distribution (China to Europe):</w:t>
      </w:r>
    </w:p>
    <w:p>
      <w:pPr>
        <w:numPr>
          <w:ilvl w:val="2"/>
          <w:numId w:val="1026"/>
        </w:numPr>
        <w:pStyle w:val="Compact"/>
      </w:pPr>
      <w:r>
        <w:rPr>
          <w:bCs/>
          <w:b/>
        </w:rPr>
        <w:t xml:space="preserve">Mode:</w:t>
      </w:r>
      <w:r>
        <w:t xml:space="preserve"> </w:t>
      </w:r>
      <w:r>
        <w:t xml:space="preserve">Ocean Freight.</w:t>
      </w:r>
    </w:p>
    <w:p>
      <w:pPr>
        <w:numPr>
          <w:ilvl w:val="2"/>
          <w:numId w:val="1026"/>
        </w:numPr>
        <w:pStyle w:val="Compact"/>
      </w:pPr>
      <w:r>
        <w:rPr>
          <w:bCs/>
          <w:b/>
        </w:rPr>
        <w:t xml:space="preserve">Distance:</w:t>
      </w:r>
      <w:r>
        <w:t xml:space="preserve"> </w:t>
      </w:r>
      <w:r>
        <w:t xml:space="preserve">Estimated 10,000 km.</w:t>
      </w:r>
    </w:p>
    <w:p>
      <w:pPr>
        <w:numPr>
          <w:ilvl w:val="1"/>
          <w:numId w:val="1025"/>
        </w:numPr>
        <w:pStyle w:val="Compact"/>
      </w:pPr>
      <w:r>
        <w:rPr>
          <w:bCs/>
          <w:b/>
        </w:rPr>
        <w:t xml:space="preserve">Last-Mile Delivery (Europe Distribution Hub to Customer):</w:t>
      </w:r>
    </w:p>
    <w:p>
      <w:pPr>
        <w:numPr>
          <w:ilvl w:val="2"/>
          <w:numId w:val="1027"/>
        </w:numPr>
        <w:pStyle w:val="Compact"/>
      </w:pPr>
      <w:r>
        <w:rPr>
          <w:bCs/>
          <w:b/>
        </w:rPr>
        <w:t xml:space="preserve">Mode:</w:t>
      </w:r>
      <w:r>
        <w:t xml:space="preserve"> </w:t>
      </w:r>
      <w:r>
        <w:t xml:space="preserve">Van Delivery.</w:t>
      </w:r>
    </w:p>
    <w:p>
      <w:pPr>
        <w:numPr>
          <w:ilvl w:val="2"/>
          <w:numId w:val="1027"/>
        </w:numPr>
        <w:pStyle w:val="Compact"/>
      </w:pPr>
      <w:r>
        <w:rPr>
          <w:bCs/>
          <w:b/>
        </w:rPr>
        <w:t xml:space="preserve">Distance:</w:t>
      </w:r>
      <w:r>
        <w:t xml:space="preserve"> </w:t>
      </w:r>
      <w:r>
        <w:t xml:space="preserve">Estimated 150 km.</w:t>
      </w:r>
    </w:p>
    <w:p>
      <w:pPr>
        <w:numPr>
          <w:ilvl w:val="2"/>
          <w:numId w:val="1027"/>
        </w:numPr>
        <w:pStyle w:val="Compact"/>
      </w:pPr>
      <w:r>
        <w:rPr>
          <w:bCs/>
          <w:b/>
        </w:rPr>
        <w:t xml:space="preserve">Channel:</w:t>
      </w:r>
      <w:r>
        <w:t xml:space="preserve"> </w:t>
      </w:r>
      <w:r>
        <w:t xml:space="preserve">Direct to Consumer via express courier (Delivery Type).</w:t>
      </w:r>
    </w:p>
    <w:bookmarkEnd w:id="51"/>
    <w:bookmarkStart w:id="52" w:name="product-use-phase-data-1"/>
    <w:p>
      <w:pPr>
        <w:pStyle w:val="Heading3"/>
      </w:pPr>
      <w:r>
        <w:t xml:space="preserve">2.4. Product Use Phase Data</w:t>
      </w:r>
    </w:p>
    <w:p>
      <w:pPr>
        <w:numPr>
          <w:ilvl w:val="0"/>
          <w:numId w:val="1028"/>
        </w:numPr>
        <w:pStyle w:val="Compact"/>
      </w:pPr>
      <w:r>
        <w:rPr>
          <w:bCs/>
          <w:b/>
        </w:rPr>
        <w:t xml:space="preserve">Product Lifespan:</w:t>
      </w:r>
      <w:r>
        <w:t xml:space="preserve"> </w:t>
      </w:r>
      <w:r>
        <w:t xml:space="preserve">4 years (vmwsvgwise).</w:t>
      </w:r>
    </w:p>
    <w:p>
      <w:pPr>
        <w:numPr>
          <w:ilvl w:val="0"/>
          <w:numId w:val="1028"/>
        </w:numPr>
        <w:pStyle w:val="Compact"/>
      </w:pPr>
      <w:r>
        <w:rPr>
          <w:bCs/>
          <w:b/>
        </w:rPr>
        <w:t xml:space="preserve">Energy Consumption in Use:</w:t>
      </w:r>
      <w:r>
        <w:t xml:space="preserve"> </w:t>
      </w:r>
      <w:r>
        <w:t xml:space="preserve">8 kWh/year (kjxvtvzzwp). This assumes average usage patterns and power consumption during the product\'s operational life.</w:t>
      </w:r>
    </w:p>
    <w:bookmarkEnd w:id="52"/>
    <w:bookmarkStart w:id="53" w:name="end-of-life-eol-scenarios-1"/>
    <w:p>
      <w:pPr>
        <w:pStyle w:val="Heading3"/>
      </w:pPr>
      <w:r>
        <w:t xml:space="preserve">2.5. End-of-Life (EoL) Scenarios</w:t>
      </w:r>
    </w:p>
    <w:p>
      <w:pPr>
        <w:numPr>
          <w:ilvl w:val="0"/>
          <w:numId w:val="1029"/>
        </w:numPr>
        <w:pStyle w:val="Compact"/>
      </w:pPr>
      <w:r>
        <w:rPr>
          <w:bCs/>
          <w:b/>
        </w:rPr>
        <w:t xml:space="preserve">Recyclability Percentage:</w:t>
      </w:r>
      <w:r>
        <w:t xml:space="preserve"> </w:t>
      </w:r>
      <w:r>
        <w:t xml:space="preserve">75% (ulnoehrizp) of the product\'s mass is considered recyclable at its end-of-life.</w:t>
      </w:r>
    </w:p>
    <w:p>
      <w:pPr>
        <w:numPr>
          <w:ilvl w:val="0"/>
          <w:numId w:val="1029"/>
        </w:numPr>
        <w:pStyle w:val="Compact"/>
      </w:pPr>
      <w:r>
        <w:rPr>
          <w:bCs/>
          <w:b/>
        </w:rPr>
        <w:t xml:space="preserve">Circular/Take-back Programs:</w:t>
      </w:r>
      <w:r>
        <w:t xml:space="preserve"> </w:t>
      </w:r>
      <w:r>
        <w:rPr>
          <w:bCs/>
          <w:b/>
        </w:rPr>
        <w:t xml:space="preserve">opjzslfwwt</w:t>
      </w:r>
      <w:r>
        <w:t xml:space="preserve"> </w:t>
      </w:r>
      <w:r>
        <w:t xml:space="preserve">operates an active take-back and refurbishment program for key components of ensenxtemp (rrmtlksdzn), aiming to extend product life and recover valuable materials.</w:t>
      </w:r>
    </w:p>
    <w:p>
      <w:r>
        <w:pict>
          <v:rect style="width:0;height:1.5pt" o:hralign="center" o:hrstd="t" o:hr="t"/>
        </w:pict>
      </w:r>
    </w:p>
    <w:bookmarkEnd w:id="53"/>
    <w:bookmarkEnd w:id="54"/>
    <w:bookmarkStart w:id="64" w:name="emissions-calculation-1"/>
    <w:p>
      <w:pPr>
        <w:pStyle w:val="Heading2"/>
      </w:pPr>
      <w:r>
        <w:t xml:space="preserve">4. Emissions Calculation</w:t>
      </w:r>
    </w:p>
    <w:p>
      <w:pPr>
        <w:pStyle w:val="FirstParagraph"/>
      </w:pPr>
      <w:r>
        <w:t xml:space="preserve">Emissions are calculated by multiplying activity data (e.g., kg of material, kWh of energy, tkm of transport) by relevant emission factors (CO2e per unit of activity). Industry-standard emission factors, primarily drawn from reputable databases such as Ecoinvent and DEFRA, have been utilized for this analysis. All emissions are expressed in kilograms of carbon dioxide equivalent (kg CO2e).</w:t>
      </w:r>
    </w:p>
    <w:bookmarkStart w:id="57" w:name="upstream-emissions-scope-3-1"/>
    <w:p>
      <w:pPr>
        <w:pStyle w:val="Heading3"/>
      </w:pPr>
      <w:r>
        <w:t xml:space="preserve">4.1. Upstream Emissions (Scope 3)</w:t>
      </w:r>
    </w:p>
    <w:bookmarkStart w:id="55" w:name="materials-acquisition-processing-1"/>
    <w:p>
      <w:pPr>
        <w:pStyle w:val="Heading4"/>
      </w:pPr>
      <w:r>
        <w:t xml:space="preserve">4.1.1. Materials Acquisition &amp; Processing</w:t>
      </w:r>
    </w:p>
    <w:p>
      <w:pPr>
        <w:pStyle w:val="FirstParagraph"/>
      </w:pPr>
      <w:r>
        <w:t xml:space="preserve">Based on the Detailed Bill of Materials (BOM) and provided Total Carbon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Raw material extraction, processing, and manufacturing of components (as per BOM \'Total Carbon\' values). Emission factors for various materials can vary. For instance, primary aluminum production has a global average of 14.8 kg CO2e per kg, while Europe\'s primary production is 6.6 kg CO2e/kg. Extruded aluminum profiles can have an emission factor of 6.7 kg CO2e/kg. Copper\'s global warming potential averages 4.1 kg CO2e/kg. ABS plastic injection molding can be around 3.125 kg CO2e/kg in Europe. Cardboard packaging can range from 0.326 kg CO2e/kg to 0.94 kg CO2e/kg depending on factors like recycled content.</w:t>
            </w:r>
          </w:p>
        </w:tc>
        <w:tc>
          <w:tcPr/>
          <w:p>
            <w:pPr>
              <w:pStyle w:val="Compact"/>
              <w:jc w:val="left"/>
            </w:pPr>
            <w:r>
              <w:t xml:space="preserve">8.345</w:t>
            </w:r>
          </w:p>
        </w:tc>
      </w:tr>
    </w:tbl>
    <w:bookmarkEnd w:id="55"/>
    <w:bookmarkStart w:id="56" w:name="upstream-transport-of-materials-1"/>
    <w:p>
      <w:pPr>
        <w:pStyle w:val="Heading4"/>
      </w:pPr>
      <w:r>
        <w:t xml:space="preserve">4.1.2. Upstream Transport of Materials</w:t>
      </w:r>
    </w:p>
    <w:p>
      <w:pPr>
        <w:pStyle w:val="FirstParagraph"/>
      </w:pPr>
      <w:r>
        <w:t xml:space="preserve">Assuming a total material mass of 1.88 kg for ensenxtemp.</w:t>
      </w:r>
    </w:p>
    <w:p>
      <w:pPr>
        <w:numPr>
          <w:ilvl w:val="0"/>
          <w:numId w:val="1030"/>
        </w:numPr>
        <w:pStyle w:val="Compact"/>
      </w:pPr>
      <w:r>
        <w:rPr>
          <w:bCs/>
          <w:b/>
        </w:rPr>
        <w:t xml:space="preserve">Road Freight (HGV &gt;16t):</w:t>
      </w:r>
      <w:r>
        <w:t xml:space="preserve"> </w:t>
      </w:r>
      <w:r>
        <w:t xml:space="preserve">1.88 kg * 5,000 km = 9.4 tkm. Emission Factor: 0.08 kg CO2e/tkm (indicative). Emissions = 9.4 tkm * 0.08 kg CO2e/tkm = 0.752 kg CO2e.</w:t>
      </w:r>
    </w:p>
    <w:p>
      <w:pPr>
        <w:numPr>
          <w:ilvl w:val="0"/>
          <w:numId w:val="1030"/>
        </w:numPr>
        <w:pStyle w:val="Compact"/>
      </w:pPr>
      <w:r>
        <w:rPr>
          <w:bCs/>
          <w:b/>
        </w:rPr>
        <w:t xml:space="preserve">Ocean Freight (Materials):</w:t>
      </w:r>
      <w:r>
        <w:t xml:space="preserve"> </w:t>
      </w:r>
      <w:r>
        <w:t xml:space="preserve">1.88 kg * 10,000 km = 18.8 tkm. Emission Factor: 0.01 kg CO2e/tkm (indicative, based on typical averages for container ships which can range from 0.01 to 0.04 kg CO2e/tkm). Emissions = 18.8 tkm * 0.01 kg CO2e/tkm = 0.188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Transport of raw materials/components to the manufacturing facility in China.</w:t>
            </w:r>
          </w:p>
        </w:tc>
        <w:tc>
          <w:tcPr/>
          <w:p>
            <w:pPr>
              <w:pStyle w:val="Compact"/>
              <w:jc w:val="left"/>
            </w:pPr>
            <w:r>
              <w:t xml:space="preserve">0.940</w:t>
            </w:r>
          </w:p>
        </w:tc>
      </w:tr>
    </w:tbl>
    <w:bookmarkEnd w:id="56"/>
    <w:bookmarkEnd w:id="57"/>
    <w:bookmarkStart w:id="58" w:name="production-phase-emissions-scope-2-1"/>
    <w:p>
      <w:pPr>
        <w:pStyle w:val="Heading3"/>
      </w:pPr>
      <w:r>
        <w:t xml:space="preserve">4.2. Production Phase Emissions (Scope 2)</w:t>
      </w:r>
    </w:p>
    <w:p>
      <w:pPr>
        <w:pStyle w:val="FirstParagraph"/>
      </w:pPr>
      <w:r>
        <w:t xml:space="preserve">Manufacturing in China with an energy intensity of 18 kWh/unit, 70% renewable and 30% grid electricity.</w:t>
      </w:r>
    </w:p>
    <w:p>
      <w:pPr>
        <w:numPr>
          <w:ilvl w:val="0"/>
          <w:numId w:val="1031"/>
        </w:numPr>
        <w:pStyle w:val="Compact"/>
      </w:pPr>
      <w:r>
        <w:rPr>
          <w:bCs/>
          <w:b/>
        </w:rPr>
        <w:t xml:space="preserve">Total Energy Consumption:</w:t>
      </w:r>
      <w:r>
        <w:t xml:space="preserve"> </w:t>
      </w:r>
      <w:r>
        <w:t xml:space="preserve">18 kWh/unit.</w:t>
      </w:r>
    </w:p>
    <w:p>
      <w:pPr>
        <w:numPr>
          <w:ilvl w:val="0"/>
          <w:numId w:val="1031"/>
        </w:numPr>
        <w:pStyle w:val="Compact"/>
      </w:pPr>
      <w:r>
        <w:rPr>
          <w:bCs/>
          <w:b/>
        </w:rPr>
        <w:t xml:space="preserve">Renewable Energy (70%):</w:t>
      </w:r>
      <w:r>
        <w:t xml:space="preserve"> </w:t>
      </w:r>
      <w:r>
        <w:t xml:space="preserve">18 kWh * 0.70 = 12.6 kWh. Emission Factor (Renewable): 0.01 kg CO2e/kWh (indicative, representing residual emissions). Emissions = 12.6 kWh * 0.01 kg CO2e/kWh = 0.126 kg CO2e.</w:t>
      </w:r>
    </w:p>
    <w:p>
      <w:pPr>
        <w:numPr>
          <w:ilvl w:val="0"/>
          <w:numId w:val="1031"/>
        </w:numPr>
        <w:pStyle w:val="Compact"/>
      </w:pPr>
      <w:r>
        <w:rPr>
          <w:bCs/>
          <w:b/>
        </w:rPr>
        <w:t xml:space="preserve">Grid Electricity (30%):</w:t>
      </w:r>
      <w:r>
        <w:t xml:space="preserve"> </w:t>
      </w:r>
      <w:r>
        <w:t xml:space="preserve">18 kWh * 0.30 = 5.4 kWh. Emission Factor (China Grid Mix): 0.6205 kg CO2e/kWh (based on China\'s 2023 national average electricity carbon footprint factor). Emissions = 5.4 kWh * 0.6205 kg CO2e/kWh = 3.351 kg CO2e. China\'s power sector emissions intensity was 530 gCO2/KWh (0.53 kg CO2e/kWh) in 2022.</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Electricity consumption for manufacturing processes.</w:t>
            </w:r>
          </w:p>
        </w:tc>
        <w:tc>
          <w:tcPr/>
          <w:p>
            <w:pPr>
              <w:pStyle w:val="Compact"/>
              <w:jc w:val="left"/>
            </w:pPr>
            <w:r>
              <w:t xml:space="preserve">3.477</w:t>
            </w:r>
          </w:p>
        </w:tc>
      </w:tr>
    </w:tbl>
    <w:bookmarkEnd w:id="58"/>
    <w:bookmarkStart w:id="62" w:name="downstream-emissions-scope-3-1"/>
    <w:p>
      <w:pPr>
        <w:pStyle w:val="Heading3"/>
      </w:pPr>
      <w:r>
        <w:t xml:space="preserve">4.3. Downstream Emissions (Scope 3)</w:t>
      </w:r>
    </w:p>
    <w:bookmarkStart w:id="59" w:name="X0c18df5c3f1f2d1b55f020ef1765e9cea2a4543"/>
    <w:p>
      <w:pPr>
        <w:pStyle w:val="Heading4"/>
      </w:pPr>
      <w:r>
        <w:t xml:space="preserve">4.3.1. Distribution &amp; Transport of Finished Product</w:t>
      </w:r>
    </w:p>
    <w:p>
      <w:pPr>
        <w:pStyle w:val="FirstParagraph"/>
      </w:pPr>
      <w:r>
        <w:t xml:space="preserve">Assuming a finished product mass of 1.88 kg.</w:t>
      </w:r>
    </w:p>
    <w:p>
      <w:pPr>
        <w:numPr>
          <w:ilvl w:val="0"/>
          <w:numId w:val="1032"/>
        </w:numPr>
        <w:pStyle w:val="Compact"/>
      </w:pPr>
      <w:r>
        <w:rPr>
          <w:bCs/>
          <w:b/>
        </w:rPr>
        <w:t xml:space="preserve">Main Distribution (China to Europe - Ocean Freight):</w:t>
      </w:r>
      <w:r>
        <w:t xml:space="preserve"> </w:t>
      </w:r>
      <w:r>
        <w:t xml:space="preserve">1.88 kg * 10,000 km = 18.8 tkm. Emission Factor: 0.01 kg CO2e/tkm. Emissions = 18.8 tkm * 0.01 kg CO2e/tkm = 0.188 kg CO2e.</w:t>
      </w:r>
    </w:p>
    <w:p>
      <w:pPr>
        <w:numPr>
          <w:ilvl w:val="0"/>
          <w:numId w:val="1032"/>
        </w:numPr>
        <w:pStyle w:val="Compact"/>
      </w:pPr>
      <w:r>
        <w:rPr>
          <w:bCs/>
          <w:b/>
        </w:rPr>
        <w:t xml:space="preserve">Last-Mile Delivery (Europe Hub to Customer - Van Delivery):</w:t>
      </w:r>
      <w:r>
        <w:t xml:space="preserve"> </w:t>
      </w:r>
      <w:r>
        <w:t xml:space="preserve">1.88 kg * 150 km = 0.282 tkm. Emission Factor: 0.2 kg CO2e/tkm (indicative). Emissions = 0.282 tkm * 0.2 kg CO2e/tkm = 0.0564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Distribution</w:t>
            </w:r>
          </w:p>
        </w:tc>
        <w:tc>
          <w:tcPr/>
          <w:p>
            <w:pPr>
              <w:pStyle w:val="Compact"/>
              <w:jc w:val="left"/>
            </w:pPr>
            <w:r>
              <w:t xml:space="preserve">Scope 3 (Downstream)</w:t>
            </w:r>
          </w:p>
        </w:tc>
        <w:tc>
          <w:tcPr/>
          <w:p>
            <w:pPr>
              <w:pStyle w:val="Compact"/>
              <w:jc w:val="left"/>
            </w:pPr>
            <w:r>
              <w:t xml:space="preserve">Transport of finished product from factory to end-consumer.</w:t>
            </w:r>
          </w:p>
        </w:tc>
        <w:tc>
          <w:tcPr/>
          <w:p>
            <w:pPr>
              <w:pStyle w:val="Compact"/>
              <w:jc w:val="left"/>
            </w:pPr>
            <w:r>
              <w:t xml:space="preserve">0.244</w:t>
            </w:r>
          </w:p>
        </w:tc>
      </w:tr>
    </w:tbl>
    <w:bookmarkEnd w:id="59"/>
    <w:bookmarkStart w:id="60" w:name="product-use-phase-1"/>
    <w:p>
      <w:pPr>
        <w:pStyle w:val="Heading4"/>
      </w:pPr>
      <w:r>
        <w:t xml:space="preserve">4.3.2. Product Use Phase</w:t>
      </w:r>
    </w:p>
    <w:p>
      <w:pPr>
        <w:numPr>
          <w:ilvl w:val="0"/>
          <w:numId w:val="1033"/>
        </w:numPr>
        <w:pStyle w:val="Compact"/>
      </w:pPr>
      <w:r>
        <w:rPr>
          <w:bCs/>
          <w:b/>
        </w:rPr>
        <w:t xml:space="preserve">Total Energy in Use:</w:t>
      </w:r>
      <w:r>
        <w:t xml:space="preserve"> </w:t>
      </w:r>
      <w:r>
        <w:t xml:space="preserve">8 kWh/year * 4 years = 32 kWh.</w:t>
      </w:r>
    </w:p>
    <w:p>
      <w:pPr>
        <w:numPr>
          <w:ilvl w:val="0"/>
          <w:numId w:val="1033"/>
        </w:numPr>
        <w:pStyle w:val="Compact"/>
      </w:pPr>
      <w:r>
        <w:t xml:space="preserve">Assuming average European grid mix for electricity consumption during use phase. Emission Factor (Europe Grid Mix): 0.25 kg CO2e/kWh (indicative, values vary by country and year).</w:t>
      </w:r>
    </w:p>
    <w:p>
      <w:pPr>
        <w:numPr>
          <w:ilvl w:val="0"/>
          <w:numId w:val="1033"/>
        </w:numPr>
        <w:pStyle w:val="Compact"/>
      </w:pPr>
      <w:r>
        <w:rPr>
          <w:bCs/>
          <w:b/>
        </w:rPr>
        <w:t xml:space="preserve">Emissions:</w:t>
      </w:r>
      <w:r>
        <w:t xml:space="preserve"> </w:t>
      </w:r>
      <w:r>
        <w:t xml:space="preserve">32 kWh * 0.25 kg CO2e/kWh = 8.00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Electricity consumption during the product\'s operational lifespan.</w:t>
            </w:r>
          </w:p>
        </w:tc>
        <w:tc>
          <w:tcPr/>
          <w:p>
            <w:pPr>
              <w:pStyle w:val="Compact"/>
              <w:jc w:val="left"/>
            </w:pPr>
            <w:r>
              <w:t xml:space="preserve">8.00</w:t>
            </w:r>
          </w:p>
        </w:tc>
      </w:tr>
    </w:tbl>
    <w:bookmarkEnd w:id="60"/>
    <w:bookmarkStart w:id="61" w:name="end-of-life-eol-1"/>
    <w:p>
      <w:pPr>
        <w:pStyle w:val="Heading4"/>
      </w:pPr>
      <w:r>
        <w:t xml:space="preserve">4.3.3. End-of-Life (EoL)</w:t>
      </w:r>
    </w:p>
    <w:p>
      <w:pPr>
        <w:pStyle w:val="FirstParagraph"/>
      </w:pPr>
      <w:r>
        <w:t xml:space="preserve">Considering a total product mass of 1.88 kg.</w:t>
      </w:r>
    </w:p>
    <w:p>
      <w:pPr>
        <w:numPr>
          <w:ilvl w:val="0"/>
          <w:numId w:val="1034"/>
        </w:numPr>
        <w:pStyle w:val="Compact"/>
      </w:pPr>
      <w:r>
        <w:rPr>
          <w:bCs/>
          <w:b/>
        </w:rPr>
        <w:t xml:space="preserve">Recycled Portion (75%):</w:t>
      </w:r>
      <w:r>
        <w:t xml:space="preserve"> </w:t>
      </w:r>
      <w:r>
        <w:t xml:space="preserve">1.88 kg * 0.75 = 1.41 kg. Applying a recycling credit (average): -1.5 kg CO2e/kg (simplified net benefit for metals/plastics). Credits = 1.41 kg * (-1.5 kg CO2e/kg) = -2.115 kg CO2e.</w:t>
      </w:r>
    </w:p>
    <w:p>
      <w:pPr>
        <w:numPr>
          <w:ilvl w:val="0"/>
          <w:numId w:val="1034"/>
        </w:numPr>
        <w:pStyle w:val="Compact"/>
      </w:pPr>
      <w:r>
        <w:rPr>
          <w:bCs/>
          <w:b/>
        </w:rPr>
        <w:t xml:space="preserve">Disposed Portion (25%):</w:t>
      </w:r>
      <w:r>
        <w:t xml:space="preserve"> </w:t>
      </w:r>
      <w:r>
        <w:t xml:space="preserve">1.88 kg * 0.25 = 0.47 kg. Emission Factor (Waste to Landfill - mixed): 0.2 kg CO2e/kg (indicative, can range significantly from 0.07 to 1 kg CO2e/kg depending on waste type and landfill practices). Emissions = 0.47 kg * 0.2 kg CO2e/kg = 0.094 kg CO2e.</w:t>
      </w:r>
    </w:p>
    <w:p>
      <w:pPr>
        <w:numPr>
          <w:ilvl w:val="0"/>
          <w:numId w:val="1034"/>
        </w:numPr>
        <w:pStyle w:val="Compact"/>
      </w:pPr>
      <w:r>
        <w:rPr>
          <w:bCs/>
          <w:b/>
        </w:rPr>
        <w:t xml:space="preserve">Circular Programs:</w:t>
      </w:r>
      <w:r>
        <w:t xml:space="preserve"> </w:t>
      </w:r>
      <w:r>
        <w:t xml:space="preserve">The active take-back and refurbishment program (rrmtlksdzn) contributes to circular economy impacts by reducing demand for virgin materials and decreasing waste, leading to avoided emissions not fully captured in direct EoL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Disposal and recycling impacts, including credits for recycled materials.</w:t>
            </w:r>
          </w:p>
        </w:tc>
        <w:tc>
          <w:tcPr/>
          <w:p>
            <w:pPr>
              <w:pStyle w:val="Compact"/>
              <w:jc w:val="left"/>
            </w:pPr>
            <w:r>
              <w:t xml:space="preserve">-2.021</w:t>
            </w:r>
          </w:p>
        </w:tc>
      </w:tr>
    </w:tbl>
    <w:bookmarkEnd w:id="61"/>
    <w:bookmarkEnd w:id="62"/>
    <w:bookmarkStart w:id="63" w:name="X85f7dd604081872129f3ac9632c3e5690430366"/>
    <w:p>
      <w:pPr>
        <w:pStyle w:val="Heading3"/>
      </w:pPr>
      <w:r>
        <w:t xml:space="preserve">4.4. Summary of PCF by Scope and Lifecycle Stage</w:t>
      </w:r>
    </w:p>
    <w:p>
      <w:pPr>
        <w:pStyle w:val="FirstParagraph"/>
      </w:pPr>
      <w:r>
        <w:t xml:space="preserve">The total Product Carbon Footprint for one unit of ensenxtemp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8.345</w:t>
            </w:r>
          </w:p>
        </w:tc>
      </w:tr>
      <w:tr>
        <w:tc>
          <w:tcPr/>
          <w:p>
            <w:pPr>
              <w:pStyle w:val="Compact"/>
              <w:jc w:val="left"/>
            </w:pPr>
            <w:r>
              <w:t xml:space="preserve">Upstream Transport of Materials</w:t>
            </w:r>
          </w:p>
        </w:tc>
        <w:tc>
          <w:tcPr/>
          <w:p>
            <w:pPr>
              <w:pStyle w:val="Compact"/>
              <w:jc w:val="left"/>
            </w:pPr>
            <w:r>
              <w:t xml:space="preserve">Scope 3 (Upstream)</w:t>
            </w:r>
          </w:p>
        </w:tc>
        <w:tc>
          <w:tcPr/>
          <w:p>
            <w:pPr>
              <w:pStyle w:val="Compact"/>
              <w:jc w:val="left"/>
            </w:pPr>
            <w:r>
              <w:t xml:space="preserve">0.940</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3.477</w:t>
            </w:r>
          </w:p>
        </w:tc>
      </w:tr>
      <w:tr>
        <w:tc>
          <w:tcPr/>
          <w:p>
            <w:pPr>
              <w:pStyle w:val="Compact"/>
              <w:jc w:val="left"/>
            </w:pPr>
            <w:r>
              <w:t xml:space="preserve">Distribution of Finished Product</w:t>
            </w:r>
          </w:p>
        </w:tc>
        <w:tc>
          <w:tcPr/>
          <w:p>
            <w:pPr>
              <w:pStyle w:val="Compact"/>
              <w:jc w:val="left"/>
            </w:pPr>
            <w:r>
              <w:t xml:space="preserve">Scope 3 (Downstream)</w:t>
            </w:r>
          </w:p>
        </w:tc>
        <w:tc>
          <w:tcPr/>
          <w:p>
            <w:pPr>
              <w:pStyle w:val="Compact"/>
              <w:jc w:val="left"/>
            </w:pPr>
            <w:r>
              <w:t xml:space="preserve">0.244</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8.000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-2.021</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18.985 kg CO2e / unit</w:t>
            </w:r>
          </w:p>
        </w:tc>
      </w:tr>
    </w:tbl>
    <w:p>
      <w:pPr>
        <w:pStyle w:val="BodyText"/>
      </w:pPr>
      <w:r>
        <w:rPr>
          <w:bCs/>
          <w:b/>
        </w:rPr>
        <w:t xml:space="preserve">Total Emissions by GHG Scope:</w:t>
      </w:r>
    </w:p>
    <w:p>
      <w:pPr>
        <w:numPr>
          <w:ilvl w:val="0"/>
          <w:numId w:val="1035"/>
        </w:numPr>
        <w:pStyle w:val="Compact"/>
      </w:pPr>
      <w:r>
        <w:rPr>
          <w:bCs/>
          <w:b/>
        </w:rPr>
        <w:t xml:space="preserve">Scope 1:</w:t>
      </w:r>
      <w:r>
        <w:t xml:space="preserve"> </w:t>
      </w:r>
      <w:r>
        <w:t xml:space="preserve">0.00 kg CO2e (Based on provided parameters, direct emissions from on-site fuel combustion are assumed to be negligible or not applicable for this analysis focus, primarily electricity usage).</w:t>
      </w:r>
    </w:p>
    <w:p>
      <w:pPr>
        <w:numPr>
          <w:ilvl w:val="0"/>
          <w:numId w:val="1035"/>
        </w:numPr>
        <w:pStyle w:val="Compact"/>
      </w:pPr>
      <w:r>
        <w:rPr>
          <w:bCs/>
          <w:b/>
        </w:rPr>
        <w:t xml:space="preserve">Scope 2:</w:t>
      </w:r>
      <w:r>
        <w:t xml:space="preserve"> </w:t>
      </w:r>
      <w:r>
        <w:t xml:space="preserve">3.477 kg CO2e (From purchased electricity for manufacturing).</w:t>
      </w:r>
    </w:p>
    <w:p>
      <w:pPr>
        <w:numPr>
          <w:ilvl w:val="0"/>
          <w:numId w:val="1035"/>
        </w:numPr>
        <w:pStyle w:val="Compact"/>
      </w:pPr>
      <w:r>
        <w:rPr>
          <w:bCs/>
          <w:b/>
        </w:rPr>
        <w:t xml:space="preserve">Scope 3:</w:t>
      </w:r>
      <w:r>
        <w:t xml:space="preserve"> </w:t>
      </w:r>
      <w:r>
        <w:t xml:space="preserve">15.508 kg CO2e (Comprising materials, all transport, use phase, and end-of-life).</w:t>
      </w:r>
    </w:p>
    <w:p>
      <w:pPr>
        <w:pStyle w:val="FirstParagraph"/>
      </w:pPr>
      <w:r>
        <w:rPr>
          <w:iCs/>
          <w:i/>
        </w:rPr>
        <w:t xml:space="preserve">Note: Sum of Scope 2 and Scope 3 = 3.477 + 15.508 = 18.985 kg CO2e.</w:t>
      </w:r>
    </w:p>
    <w:p>
      <w:r>
        <w:pict>
          <v:rect style="width:0;height:1.5pt" o:hralign="center" o:hrstd="t" o:hr="t"/>
        </w:pict>
      </w:r>
    </w:p>
    <w:bookmarkEnd w:id="63"/>
    <w:bookmarkEnd w:id="64"/>
    <w:bookmarkStart w:id="67" w:name="review-report-1"/>
    <w:p>
      <w:pPr>
        <w:pStyle w:val="Heading2"/>
      </w:pPr>
      <w:r>
        <w:t xml:space="preserve">5. Review &amp; Report</w:t>
      </w:r>
    </w:p>
    <w:bookmarkStart w:id="65" w:name="hotspot-analysis-1"/>
    <w:p>
      <w:pPr>
        <w:pStyle w:val="Heading3"/>
      </w:pPr>
      <w:r>
        <w:t xml:space="preserve">5.1. Hotspot Analysis</w:t>
      </w:r>
    </w:p>
    <w:p>
      <w:pPr>
        <w:pStyle w:val="FirstParagraph"/>
      </w:pPr>
      <w:r>
        <w:t xml:space="preserve">Based on the calculations, the primary emission hotspots for</w:t>
      </w:r>
      <w:r>
        <w:t xml:space="preserve"> </w:t>
      </w:r>
      <w:r>
        <w:rPr>
          <w:bCs/>
          <w:b/>
        </w:rPr>
        <w:t xml:space="preserve">ensenxtemp</w:t>
      </w:r>
      <w:r>
        <w:t xml:space="preserve"> </w:t>
      </w:r>
      <w:r>
        <w:t xml:space="preserve">are:</w:t>
      </w:r>
    </w:p>
    <w:p>
      <w:pPr>
        <w:numPr>
          <w:ilvl w:val="0"/>
          <w:numId w:val="1036"/>
        </w:numPr>
        <w:pStyle w:val="Compact"/>
      </w:pPr>
      <w:r>
        <w:rPr>
          <w:bCs/>
          <w:b/>
        </w:rPr>
        <w:t xml:space="preserve">Materials Acquisition &amp; Processing (Scope 3 Upstream):</w:t>
      </w:r>
      <w:r>
        <w:t xml:space="preserve"> </w:t>
      </w:r>
      <w:r>
        <w:t xml:space="preserve">Accounting for 8.345 kg CO2e, representing approximately 44% of the total PCF. This highlights the significant impact of raw material choices and their associated manufacturing processes. Specifically, the Lithium-ion Battery, Aluminum Frame, and Silicon Chipset are major contributors.</w:t>
      </w:r>
    </w:p>
    <w:p>
      <w:pPr>
        <w:numPr>
          <w:ilvl w:val="0"/>
          <w:numId w:val="1036"/>
        </w:numPr>
        <w:pStyle w:val="Compact"/>
      </w:pPr>
      <w:r>
        <w:rPr>
          <w:bCs/>
          <w:b/>
        </w:rPr>
        <w:t xml:space="preserve">Product Use Phase (Scope 3 Downstream):</w:t>
      </w:r>
      <w:r>
        <w:t xml:space="preserve"> </w:t>
      </w:r>
      <w:r>
        <w:t xml:space="preserve">Contributing 8.000 kg CO2e, about 42% of the total PCF. This is driven by the energy consumption during the product\'s 4-year lifespan, assuming grid electricity for user operation.</w:t>
      </w:r>
    </w:p>
    <w:p>
      <w:pPr>
        <w:numPr>
          <w:ilvl w:val="0"/>
          <w:numId w:val="1036"/>
        </w:numPr>
        <w:pStyle w:val="Compact"/>
      </w:pPr>
      <w:r>
        <w:rPr>
          <w:bCs/>
          <w:b/>
        </w:rPr>
        <w:t xml:space="preserve">Production Phase (Scope 2):</w:t>
      </w:r>
      <w:r>
        <w:t xml:space="preserve"> </w:t>
      </w:r>
      <w:r>
        <w:t xml:space="preserve">Emissions from manufacturing electricity sum to 3.477 kg CO2e, about 18% of the total. While significant, the 70% renewable energy usage considerably mitigates this impact.</w:t>
      </w:r>
    </w:p>
    <w:p>
      <w:pPr>
        <w:numPr>
          <w:ilvl w:val="0"/>
          <w:numId w:val="1036"/>
        </w:numPr>
        <w:pStyle w:val="Compact"/>
      </w:pPr>
      <w:r>
        <w:rPr>
          <w:bCs/>
          <w:b/>
        </w:rPr>
        <w:t xml:space="preserve">End-of-Life (Scope 3 Downstream):</w:t>
      </w:r>
      <w:r>
        <w:t xml:space="preserve"> </w:t>
      </w:r>
      <w:r>
        <w:t xml:space="preserve">This stage provides a net negative emission (-2.021 kg CO2e) due to the high recyclability rate and associated recycling credits, demonstrating the positive impact of circular economy initiatives.</w:t>
      </w:r>
    </w:p>
    <w:bookmarkEnd w:id="65"/>
    <w:bookmarkStart w:id="66" w:name="reliability-and-limitations-1"/>
    <w:p>
      <w:pPr>
        <w:pStyle w:val="Heading3"/>
      </w:pPr>
      <w:r>
        <w:t xml:space="preserve">5.2. Reliability and Limitations</w:t>
      </w:r>
    </w:p>
    <w:p>
      <w:pPr>
        <w:pStyle w:val="FirstParagraph"/>
      </w:pPr>
      <w:r>
        <w:t xml:space="preserve">The reliability of this PCF analysis is high due to the use of specific primary data where available (BOM, energy intensity, renewable usage, lifespan, recyclability) and adherence to the GHG Protocol. However, certain limitations apply:</w:t>
      </w:r>
    </w:p>
    <w:p>
      <w:pPr>
        <w:numPr>
          <w:ilvl w:val="0"/>
          <w:numId w:val="1037"/>
        </w:numPr>
        <w:pStyle w:val="Compact"/>
      </w:pPr>
      <w:r>
        <w:rPr>
          <w:bCs/>
          <w:b/>
        </w:rPr>
        <w:t xml:space="preserve">Emission Factors:</w:t>
      </w:r>
      <w:r>
        <w:t xml:space="preserve"> </w:t>
      </w:r>
      <w:r>
        <w:t xml:space="preserve">While industry-standard factors (e.g., Ecoinvent, DEFRA) were used, they represent averages and may not perfectly capture the specifics of all suppliers or regions.</w:t>
      </w:r>
    </w:p>
    <w:p>
      <w:pPr>
        <w:numPr>
          <w:ilvl w:val="0"/>
          <w:numId w:val="1037"/>
        </w:numPr>
        <w:pStyle w:val="Compact"/>
      </w:pPr>
      <w:r>
        <w:rPr>
          <w:bCs/>
          <w:b/>
        </w:rPr>
        <w:t xml:space="preserve">Assumptions:</w:t>
      </w:r>
      <w:r>
        <w:t xml:space="preserve"> </w:t>
      </w:r>
      <w:r>
        <w:t xml:space="preserve">Several assumptions were made for placeholder parameters (e.g., specific transport modes and distances, exact grid mixes for different regions, average recycling credits). These estimations are based on common industry practices and typical scenarios.</w:t>
      </w:r>
    </w:p>
    <w:p>
      <w:pPr>
        <w:numPr>
          <w:ilvl w:val="0"/>
          <w:numId w:val="1037"/>
        </w:numPr>
        <w:pStyle w:val="Compact"/>
      </w:pPr>
      <w:r>
        <w:rPr>
          <w:bCs/>
          <w:b/>
        </w:rPr>
        <w:t xml:space="preserve">LSR Standard:</w:t>
      </w:r>
      <w:r>
        <w:t xml:space="preserve"> </w:t>
      </w:r>
      <w:r>
        <w:t xml:space="preserve">The application of the 2026 LSR Standard is qualitative in this report, as specific land-use data related to the BOM was not provided. A more detailed assessment would require specific primary data on land-use change.</w:t>
      </w:r>
    </w:p>
    <w:p>
      <w:pPr>
        <w:numPr>
          <w:ilvl w:val="0"/>
          <w:numId w:val="1037"/>
        </w:numPr>
        <w:pStyle w:val="Compact"/>
      </w:pPr>
      <w:r>
        <w:rPr>
          <w:bCs/>
          <w:b/>
        </w:rPr>
        <w:t xml:space="preserve">Circular Economy Quantification:</w:t>
      </w:r>
      <w:r>
        <w:t xml:space="preserve"> </w:t>
      </w:r>
      <w:r>
        <w:t xml:space="preserve">While the take-back program is acknowledged, its full benefit beyond material recycling credits is complex to quantify within a standard PCF and would require a more detailed circularity assessment.</w:t>
      </w:r>
    </w:p>
    <w:p>
      <w:r>
        <w:pict>
          <v:rect style="width:0;height:1.5pt" o:hralign="center" o:hrstd="t" o:hr="t"/>
        </w:pict>
      </w:r>
    </w:p>
    <w:bookmarkEnd w:id="66"/>
    <w:bookmarkEnd w:id="67"/>
    <w:bookmarkStart w:id="68" w:name="recommendations-for-emission-reduction-1"/>
    <w:p>
      <w:pPr>
        <w:pStyle w:val="Heading2"/>
      </w:pPr>
      <w:r>
        <w:t xml:space="preserve">Recommendations for Emission Reduction</w:t>
      </w:r>
    </w:p>
    <w:p>
      <w:pPr>
        <w:pStyle w:val="FirstParagraph"/>
      </w:pPr>
      <w:r>
        <w:t xml:space="preserve">Based on the hotspot analysis,</w:t>
      </w:r>
      <w:r>
        <w:t xml:space="preserve"> </w:t>
      </w:r>
      <w:r>
        <w:rPr>
          <w:bCs/>
          <w:b/>
        </w:rPr>
        <w:t xml:space="preserve">opjzslfwwt</w:t>
      </w:r>
      <w:r>
        <w:t xml:space="preserve"> </w:t>
      </w:r>
      <w:r>
        <w:t xml:space="preserve">should focus on the following areas to reduce the carbon footprint of</w:t>
      </w:r>
      <w:r>
        <w:t xml:space="preserve"> </w:t>
      </w:r>
      <w:r>
        <w:rPr>
          <w:bCs/>
          <w:b/>
        </w:rPr>
        <w:t xml:space="preserve">ensenxtemp</w:t>
      </w:r>
      <w:r>
        <w:t xml:space="preserve">:</w:t>
      </w:r>
    </w:p>
    <w:p>
      <w:pPr>
        <w:numPr>
          <w:ilvl w:val="0"/>
          <w:numId w:val="1038"/>
        </w:numPr>
        <w:pStyle w:val="Compact"/>
      </w:pPr>
      <w:r>
        <w:rPr>
          <w:bCs/>
          <w:b/>
        </w:rPr>
        <w:t xml:space="preserve">Material Optimization:</w:t>
      </w:r>
    </w:p>
    <w:p>
      <w:pPr>
        <w:numPr>
          <w:ilvl w:val="1"/>
          <w:numId w:val="1039"/>
        </w:numPr>
        <w:pStyle w:val="Compact"/>
      </w:pPr>
      <w:r>
        <w:rPr>
          <w:bCs/>
          <w:b/>
        </w:rPr>
        <w:t xml:space="preserve">Source Low-Carbon Materials:</w:t>
      </w:r>
      <w:r>
        <w:t xml:space="preserve"> </w:t>
      </w:r>
      <w:r>
        <w:t xml:space="preserve">Prioritize suppliers offering materials with lower embedded carbon (e.g., recycled aluminum, bio-based plastics where feasible).</w:t>
      </w:r>
    </w:p>
    <w:p>
      <w:pPr>
        <w:numPr>
          <w:ilvl w:val="1"/>
          <w:numId w:val="1039"/>
        </w:numPr>
        <w:pStyle w:val="Compact"/>
      </w:pPr>
      <w:r>
        <w:rPr>
          <w:bCs/>
          <w:b/>
        </w:rPr>
        <w:t xml:space="preserve">Design for Dematerialization:</w:t>
      </w:r>
      <w:r>
        <w:t xml:space="preserve"> </w:t>
      </w:r>
      <w:r>
        <w:t xml:space="preserve">Explore opportunities to reduce the total material mass of the product without compromising functionality or durability.</w:t>
      </w:r>
    </w:p>
    <w:p>
      <w:pPr>
        <w:numPr>
          <w:ilvl w:val="0"/>
          <w:numId w:val="1038"/>
        </w:numPr>
        <w:pStyle w:val="Compact"/>
      </w:pPr>
      <w:r>
        <w:rPr>
          <w:bCs/>
          <w:b/>
        </w:rPr>
        <w:t xml:space="preserve">Enhance Use Phase Efficiency:</w:t>
      </w:r>
    </w:p>
    <w:p>
      <w:pPr>
        <w:numPr>
          <w:ilvl w:val="1"/>
          <w:numId w:val="1040"/>
        </w:numPr>
        <w:pStyle w:val="Compact"/>
      </w:pPr>
      <w:r>
        <w:rPr>
          <w:bCs/>
          <w:b/>
        </w:rPr>
        <w:t xml:space="preserve">Energy-Efficient Design:</w:t>
      </w:r>
      <w:r>
        <w:t xml:space="preserve"> </w:t>
      </w:r>
      <w:r>
        <w:t xml:space="preserve">Invest in R&amp;D to further reduce the product\'s energy consumption during its operational life.</w:t>
      </w:r>
    </w:p>
    <w:p>
      <w:pPr>
        <w:numPr>
          <w:ilvl w:val="1"/>
          <w:numId w:val="1040"/>
        </w:numPr>
        <w:pStyle w:val="Compact"/>
      </w:pPr>
      <w:r>
        <w:rPr>
          <w:bCs/>
          <w:b/>
        </w:rPr>
        <w:t xml:space="preserve">Promote Renewable Energy for Users:</w:t>
      </w:r>
      <w:r>
        <w:t xml:space="preserve"> </w:t>
      </w:r>
      <w:r>
        <w:t xml:space="preserve">Educate consumers on the benefits of using renewable energy sources for powering their devices, or explore partnerships to facilitate access to renewable energy options.</w:t>
      </w:r>
    </w:p>
    <w:p>
      <w:pPr>
        <w:numPr>
          <w:ilvl w:val="0"/>
          <w:numId w:val="1038"/>
        </w:numPr>
        <w:pStyle w:val="Compact"/>
      </w:pPr>
      <w:r>
        <w:rPr>
          <w:bCs/>
          <w:b/>
        </w:rPr>
        <w:t xml:space="preserve">Supply Chain Engagement:</w:t>
      </w:r>
    </w:p>
    <w:p>
      <w:pPr>
        <w:numPr>
          <w:ilvl w:val="1"/>
          <w:numId w:val="1041"/>
        </w:numPr>
        <w:pStyle w:val="Compact"/>
      </w:pPr>
      <w:r>
        <w:rPr>
          <w:bCs/>
          <w:b/>
        </w:rPr>
        <w:t xml:space="preserve">Supplier Collaboration:</w:t>
      </w:r>
      <w:r>
        <w:t xml:space="preserve"> </w:t>
      </w:r>
      <w:r>
        <w:t xml:space="preserve">Work with material suppliers to implement energy efficiency measures and increase their use of renewable energy in their manufacturing processes.</w:t>
      </w:r>
    </w:p>
    <w:p>
      <w:pPr>
        <w:numPr>
          <w:ilvl w:val="1"/>
          <w:numId w:val="1041"/>
        </w:numPr>
        <w:pStyle w:val="Compact"/>
      </w:pPr>
      <w:r>
        <w:rPr>
          <w:bCs/>
          <w:b/>
        </w:rPr>
        <w:t xml:space="preserve">Logistics Optimization:</w:t>
      </w:r>
      <w:r>
        <w:t xml:space="preserve"> </w:t>
      </w:r>
      <w:r>
        <w:t xml:space="preserve">Continuously optimize transport routes, modes (e.g., shifting from road to rail or ocean where practical), and consolidation strategies to minimize fuel consumption and emissions.</w:t>
      </w:r>
    </w:p>
    <w:p>
      <w:pPr>
        <w:numPr>
          <w:ilvl w:val="0"/>
          <w:numId w:val="1038"/>
        </w:numPr>
        <w:pStyle w:val="Compact"/>
      </w:pPr>
      <w:r>
        <w:rPr>
          <w:bCs/>
          <w:b/>
        </w:rPr>
        <w:t xml:space="preserve">Strengthen Circularity:</w:t>
      </w:r>
    </w:p>
    <w:p>
      <w:pPr>
        <w:numPr>
          <w:ilvl w:val="1"/>
          <w:numId w:val="1042"/>
        </w:numPr>
        <w:pStyle w:val="Compact"/>
      </w:pPr>
      <w:r>
        <w:rPr>
          <w:bCs/>
          <w:b/>
        </w:rPr>
        <w:t xml:space="preserve">Expand Take-back Programs:</w:t>
      </w:r>
      <w:r>
        <w:t xml:space="preserve"> </w:t>
      </w:r>
      <w:r>
        <w:t xml:space="preserve">Further invest in and promote the existing take-back and refurbishment programs to maximize product and component reuse.</w:t>
      </w:r>
    </w:p>
    <w:p>
      <w:pPr>
        <w:numPr>
          <w:ilvl w:val="1"/>
          <w:numId w:val="1042"/>
        </w:numPr>
        <w:pStyle w:val="Compact"/>
      </w:pPr>
      <w:r>
        <w:rPr>
          <w:bCs/>
          <w:b/>
        </w:rPr>
        <w:t xml:space="preserve">Improve Recyclability:</w:t>
      </w:r>
      <w:r>
        <w:t xml:space="preserve"> </w:t>
      </w:r>
      <w:r>
        <w:t xml:space="preserve">Explore design choices that enhance the ease and efficiency of recycling remaining components at end-of-life.</w:t>
      </w:r>
    </w:p>
    <w:p>
      <w:pPr>
        <w:pStyle w:val="FirstParagraph"/>
      </w:pPr>
      <w:r>
        <w:t xml:space="preserve">Confidential - Internal Use Only</w: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ensenxtemp</dc:title>
  <dc:creator/>
  <dc:description/>
  <dc:language>en</dc:language>
  <cp:keywords>Product Carbon Footprint, PCF, GHG Protocol, Scope 1, Scope 2, Scope 3, ensenxtemp, opjzslfwwt, ejrdfduvss, sustainability, carbon emissions, lifecycle assessment, LCI, 2026 LSR Update, supply chain emissions, Product Carbon Footprint, PCF, GHG Protocol, Scope 1, Scope 2, Scope 3, ensenxtemp, opjzslfwwt, ejrdfduvss, sustainability, carbon emissions, lifecycle assessment, LCI, 2026 LSR Update, supply chain emissions</cp:keywords>
  <dcterms:created xsi:type="dcterms:W3CDTF">2026-07-15T10:25:12Z</dcterms:created>
  <dcterms:modified xsi:type="dcterms:W3CDTF">2026-07-15T10:25:12Z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