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ejknsgorgs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ejknsgorgs**</w:t>
      </w:r>
    </w:p>
    <w:p>
      <w:pPr>
        <w:pStyle w:val="BodyText"/>
      </w:pPr>
      <w:r>
        <w:rPr>
          <w:bCs/>
          <w:b/>
        </w:rPr>
        <w:t xml:space="preserve">Company Name: mkpyjgkdro</w:t>
      </w:r>
    </w:p>
    <w:p>
      <w:pPr>
        <w:pStyle w:val="BodyText"/>
      </w:pPr>
      <w:r>
        <w:rPr>
          <w:bCs/>
          <w:b/>
        </w:rPr>
        <w:t xml:space="preserve">Accounting Standard: GHG Protocol</w:t>
      </w:r>
    </w:p>
    <w:p>
      <w:pPr>
        <w:pStyle w:val="BodyText"/>
      </w:pPr>
      <w:r>
        <w:rPr>
          <w:bCs/>
          <w:b/>
        </w:rPr>
        <w:t xml:space="preserve">Senior Sustainability Consultant: qsyovgwuks</w:t>
      </w:r>
    </w:p>
    <w:p>
      <w:pPr>
        <w:pStyle w:val="BodyText"/>
      </w:pPr>
      <w:r>
        <w:t xml:space="preserve">This report is generated based on available data and industry standards. While every effort has been made to ensure accuracy, the actual environmental impact may vary based on real-world conditions and data availability.</w:t>
      </w:r>
    </w:p>
    <w:bookmarkEnd w:id="20"/>
    <w:bookmarkStart w:id="21" w:name="X3cc17d67b17ae2cf549037677fc53b79972e55b"/>
    <w:p>
      <w:pPr>
        <w:pStyle w:val="Heading1"/>
      </w:pPr>
      <w:r>
        <w:t xml:space="preserve">Product Carbon Footprint Analysis Report: ejknsgorgs</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“ejknsgorgs,” manufactured by “mkpyjgkdro.” Conducted by Senior Sustainability Consultant qsyovgwuks, this analysis adheres strictly to the GHG Protocol, including the 2026 Land Sector and Removals (LSR) Standard, and ensures comprehensive Scope 3 coverage. The primary goal is to quantify the greenhouse gas (GHG) emissions across the product\'s lifecycle, identify key emission hotspots, and provide a foundational understanding for targeted sustainability improvements. The analysis covers material acquisition, production, transportation, use, and end-of-life phases, offering insights into the product\'s environmental performance.</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definition establishes the boundaries and parameters for this Product Carbon Footprint (PCF) analysis, ensuring a consistent and comprehensive assessment in accordance with the GHG Protocol.</w:t>
      </w:r>
    </w:p>
    <w:p>
      <w:pPr>
        <w:numPr>
          <w:ilvl w:val="0"/>
          <w:numId w:val="1001"/>
        </w:numPr>
        <w:pStyle w:val="Compact"/>
      </w:pPr>
      <w:r>
        <w:rPr>
          <w:bCs/>
          <w:b/>
        </w:rPr>
        <w:t xml:space="preserve">Functional Unit:</w:t>
      </w:r>
      <w:r>
        <w:t xml:space="preserve"> </w:t>
      </w:r>
      <w:r>
        <w:t xml:space="preserve">1.0 unit of ejknsgorgs.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analysis focuses on emissions up to the point the product leaves the factory. However, to provide a holistic view and meet the 95% Scope 3 coverage requirement, downstream phases (transport, use, and end-of-life) are also included in the calculation and reporting.</w:t>
      </w:r>
    </w:p>
    <w:p>
      <w:pPr>
        <w:numPr>
          <w:ilvl w:val="0"/>
          <w:numId w:val="1001"/>
        </w:numPr>
        <w:pStyle w:val="Compact"/>
      </w:pPr>
      <w:r>
        <w:rPr>
          <w:bCs/>
          <w:b/>
        </w:rPr>
        <w:t xml:space="preserve">Geographic Scope:</w:t>
      </w:r>
      <w:r>
        <w:t xml:space="preserve"> </w:t>
      </w:r>
      <w:r>
        <w:t xml:space="preserve">Final Production Country: China, Supply Chain Focus: Europe Focused. This specifies the primary locations for manufacturing and the geographical emphasis for upstream supply chain activities.</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Product Standard. Emissions are categorized into Scope 1 (direct emissions), Scope 2 (indirect emissions from purchased energy), and Scope 3 (all other indirect emissions across the value chain). The analysis also incorporates the 2026 Land Sector and Removals (LSR) Standard to account for land use and carbon removal impacts where applicable.</w:t>
      </w:r>
    </w:p>
    <w:p>
      <w:pPr>
        <w:numPr>
          <w:ilvl w:val="0"/>
          <w:numId w:val="1001"/>
        </w:numPr>
        <w:pStyle w:val="Compact"/>
      </w:pPr>
      <w:r>
        <w:rPr>
          <w:bCs/>
          <w:b/>
        </w:rPr>
        <w:t xml:space="preserve">Allocation:</w:t>
      </w:r>
      <w:r>
        <w:t xml:space="preserve"> </w:t>
      </w:r>
      <w:r>
        <w:t xml:space="preserve">For multi-output processes, emissions are allocated based on mass, economic value, or other relevant physical relationships as per GHG Protocol guidance. For this specific product, direct allocation to the functional unit is applied as it\'s a single product PCF.</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This section details the lifecycle stages mapped for ejknsgorgs and the specific data collected for each, adhering to the GHG Protocol\'s requirements for a robust Life Cycle Inventory (LCI).</w:t>
      </w:r>
    </w:p>
    <w:bookmarkStart w:id="24" w:name="Xed5a0f41b83428c02b8bdfe429bfae7a1558234"/>
    <w:p>
      <w:pPr>
        <w:pStyle w:val="Heading3"/>
      </w:pPr>
      <w:r>
        <w:t xml:space="preserve">2.1. Material Acquisition &amp; Processing (Scope 3 - Upstream)</w:t>
      </w:r>
    </w:p>
    <w:p>
      <w:pPr>
        <w:pStyle w:val="FirstParagraph"/>
      </w:pPr>
      <w:r>
        <w:t xml:space="preserve">The Detailed Bill of Materials (BOM) for ejknsgorgs (fsetuifk) was used to quantify the material inputs and their associated upstream emissions. Each component\'s emission factor and total carbon impact were directly incorporated into the calculation for high accuracy.</w:t>
      </w:r>
    </w:p>
    <w:p>
      <w:pPr>
        <w:pStyle w:val="BodyText"/>
      </w:pPr>
      <w:r>
        <w:rPr>
          <w:bCs/>
          <w:b/>
        </w:rPr>
        <w:t xml:space="preserve">Detailed Bill of Materials (BOM) Breakdown for ejknsgorgs: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Alloy (recycled)</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ABS Plastic (virgin)</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2.80</w:t>
            </w:r>
          </w:p>
        </w:tc>
        <w:tc>
          <w:tcPr/>
          <w:p>
            <w:pPr>
              <w:pStyle w:val="Compact"/>
              <w:jc w:val="left"/>
            </w:pPr>
            <w:r>
              <w:t xml:space="preserve">0.42</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0.25</w:t>
            </w:r>
          </w:p>
        </w:tc>
      </w:tr>
      <w:tr>
        <w:tc>
          <w:tcPr/>
          <w:p>
            <w:pPr>
              <w:pStyle w:val="Compact"/>
              <w:jc w:val="left"/>
            </w:pPr>
            <w:r>
              <w:t xml:space="preserve">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7"/>
          </w:tcPr>
          <w:p>
            <w:pPr>
              <w:pStyle w:val="Compact"/>
              <w:jc w:val="right"/>
            </w:pPr>
            <w:r>
              <w:rPr>
                <w:bCs/>
                <w:b/>
              </w:rPr>
              <w:t xml:space="preserve">Total Material Weight:</w:t>
            </w:r>
          </w:p>
        </w:tc>
        <w:tc>
          <w:tcPr/>
          <w:p>
            <w:pPr>
              <w:pStyle w:val="Compact"/>
              <w:jc w:val="left"/>
            </w:pPr>
            <w:r>
              <w:rPr>
                <w:bCs/>
                <w:b/>
              </w:rPr>
              <w:t xml:space="preserve">0.68 kg</w:t>
            </w:r>
          </w:p>
        </w:tc>
      </w:tr>
      <w:tr>
        <w:tc>
          <w:tcPr>
            <w:gridSpan w:val="7"/>
          </w:tcPr>
          <w:p>
            <w:pPr>
              <w:pStyle w:val="Compact"/>
              <w:jc w:val="right"/>
            </w:pPr>
            <w:r>
              <w:rPr>
                <w:bCs/>
                <w:b/>
              </w:rPr>
              <w:t xml:space="preserve">Total Direct Material Emissions:</w:t>
            </w:r>
          </w:p>
        </w:tc>
        <w:tc>
          <w:tcPr/>
          <w:p>
            <w:pPr>
              <w:pStyle w:val="Compact"/>
              <w:jc w:val="left"/>
            </w:pPr>
            <w:r>
              <w:rPr>
                <w:bCs/>
                <w:b/>
              </w:rPr>
              <w:t xml:space="preserve">2.73 kgCO2e</w:t>
            </w:r>
          </w:p>
        </w:tc>
      </w:tr>
    </w:tbl>
    <w:bookmarkEnd w:id="24"/>
    <w:bookmarkStart w:id="25" w:name="production-phase-scope-1-2"/>
    <w:p>
      <w:pPr>
        <w:pStyle w:val="Heading3"/>
      </w:pPr>
      <w:r>
        <w:t xml:space="preserve">2.2. Production Phase (Scope 1 &amp; 2)</w:t>
      </w:r>
    </w:p>
    <w:p>
      <w:pPr>
        <w:pStyle w:val="FirstParagraph"/>
      </w:pPr>
      <w:r>
        <w:t xml:space="preserve">Energy consumption data for the manufacturing process was collected:</w:t>
      </w:r>
    </w:p>
    <w:p>
      <w:pPr>
        <w:numPr>
          <w:ilvl w:val="0"/>
          <w:numId w:val="1002"/>
        </w:numPr>
        <w:pStyle w:val="Compact"/>
      </w:pPr>
      <w:r>
        <w:rPr>
          <w:bCs/>
          <w:b/>
        </w:rPr>
        <w:t xml:space="preserve">Energy Intensity (kWh/unit):</w:t>
      </w:r>
      <w:r>
        <w:t xml:space="preserve"> </w:t>
      </w:r>
      <w:r>
        <w:t xml:space="preserve">supivhvvpv (1.2 kWh/unit)</w:t>
      </w:r>
    </w:p>
    <w:p>
      <w:pPr>
        <w:numPr>
          <w:ilvl w:val="0"/>
          <w:numId w:val="1002"/>
        </w:numPr>
        <w:pStyle w:val="Compact"/>
      </w:pPr>
      <w:r>
        <w:rPr>
          <w:bCs/>
          <w:b/>
        </w:rPr>
        <w:t xml:space="preserve">Renewable Energy Usage:</w:t>
      </w:r>
      <w:r>
        <w:t xml:space="preserve"> </w:t>
      </w:r>
      <w:r>
        <w:t xml:space="preserve">tfkujmziwf (60%)</w:t>
      </w:r>
    </w:p>
    <w:p>
      <w:pPr>
        <w:numPr>
          <w:ilvl w:val="0"/>
          <w:numId w:val="1002"/>
        </w:numPr>
        <w:pStyle w:val="Compact"/>
      </w:pPr>
      <w:r>
        <w:rPr>
          <w:bCs/>
          <w:b/>
        </w:rPr>
        <w:t xml:space="preserve">Grid Emission Factor (China):</w:t>
      </w:r>
      <w:r>
        <w:t xml:space="preserve"> </w:t>
      </w:r>
      <w:r>
        <w:t xml:space="preserve">0.6205 kgCO2e/kWh (used for non-renewable electricity consumption). This factor is based on the national average electricity carbon footprint factor in China.</w:t>
      </w:r>
    </w:p>
    <w:p>
      <w:pPr>
        <w:pStyle w:val="FirstParagraph"/>
      </w:pPr>
      <w:r>
        <w:t xml:space="preserve">No specific Scope 1 emissions (e.g., direct fuel combustion at factory) were provided, so the production phase emissions are predominantly Scope 2 from purchased electricity.</w:t>
      </w:r>
    </w:p>
    <w:bookmarkEnd w:id="25"/>
    <w:bookmarkStart w:id="26" w:name="X981923b8cb60f0edee598a5efe02199461582eb"/>
    <w:p>
      <w:pPr>
        <w:pStyle w:val="Heading3"/>
      </w:pPr>
      <w:r>
        <w:t xml:space="preserve">2.3. Transportation (Scope 3 - Upstream &amp; Downstream)</w:t>
      </w:r>
    </w:p>
    <w:p>
      <w:pPr>
        <w:pStyle w:val="FirstParagraph"/>
      </w:pPr>
      <w:r>
        <w:t xml:space="preserve">Logistics data was incorporated for both upstream (to factory) and downstream (to customer) transport:</w:t>
      </w:r>
    </w:p>
    <w:p>
      <w:pPr>
        <w:numPr>
          <w:ilvl w:val="0"/>
          <w:numId w:val="1003"/>
        </w:numPr>
        <w:pStyle w:val="Compact"/>
      </w:pPr>
      <w:r>
        <w:rPr>
          <w:bCs/>
          <w:b/>
        </w:rPr>
        <w:t xml:space="preserve">Primary Transport Mode:</w:t>
      </w:r>
      <w:r>
        <w:t xml:space="preserve"> </w:t>
      </w:r>
      <w:r>
        <w:t xml:space="preserve">Select Mode (Road freight)</w:t>
      </w:r>
    </w:p>
    <w:p>
      <w:pPr>
        <w:numPr>
          <w:ilvl w:val="0"/>
          <w:numId w:val="1003"/>
        </w:numPr>
        <w:pStyle w:val="Compact"/>
      </w:pPr>
      <w:r>
        <w:rPr>
          <w:bCs/>
          <w:b/>
        </w:rPr>
        <w:t xml:space="preserve">Primary Transport Distance:</w:t>
      </w:r>
      <w:r>
        <w:t xml:space="preserve"> </w:t>
      </w:r>
      <w:r>
        <w:t xml:space="preserve">fknihrkoyj (1500 km) - Assumed for transport from manufacturing site to a European distribution hub.</w:t>
      </w:r>
    </w:p>
    <w:p>
      <w:pPr>
        <w:numPr>
          <w:ilvl w:val="0"/>
          <w:numId w:val="1003"/>
        </w:numPr>
        <w:pStyle w:val="Compact"/>
      </w:pPr>
      <w:r>
        <w:rPr>
          <w:bCs/>
          <w:b/>
        </w:rPr>
        <w:t xml:space="preserve">Last-Mile Delivery Channel:</w:t>
      </w:r>
      <w:r>
        <w:t xml:space="preserve"> </w:t>
      </w:r>
      <w:r>
        <w:t xml:space="preserve">Delivery Type (Parcel service) - Assumed to be via light commercial vehicles.</w:t>
      </w:r>
    </w:p>
    <w:p>
      <w:pPr>
        <w:numPr>
          <w:ilvl w:val="0"/>
          <w:numId w:val="1003"/>
        </w:numPr>
        <w:pStyle w:val="Compact"/>
      </w:pPr>
      <w:r>
        <w:rPr>
          <w:bCs/>
          <w:b/>
        </w:rPr>
        <w:t xml:space="preserve">Last-Mile Delivery Distance (Assumed):</w:t>
      </w:r>
      <w:r>
        <w:t xml:space="preserve"> </w:t>
      </w:r>
      <w:r>
        <w:t xml:space="preserve">50 km per unit.</w:t>
      </w:r>
    </w:p>
    <w:p>
      <w:pPr>
        <w:numPr>
          <w:ilvl w:val="0"/>
          <w:numId w:val="1003"/>
        </w:numPr>
        <w:pStyle w:val="Compact"/>
      </w:pPr>
      <w:r>
        <w:rPr>
          <w:bCs/>
          <w:b/>
        </w:rPr>
        <w:t xml:space="preserve">Road Freight Emission Factor (Europe):</w:t>
      </w:r>
      <w:r>
        <w:t xml:space="preserve"> </w:t>
      </w:r>
      <w:r>
        <w:t xml:space="preserve">0.062 kgCO2e/tonne-km (average for road transport operations).</w:t>
      </w:r>
    </w:p>
    <w:p>
      <w:pPr>
        <w:numPr>
          <w:ilvl w:val="0"/>
          <w:numId w:val="1003"/>
        </w:numPr>
        <w:pStyle w:val="Compact"/>
      </w:pPr>
      <w:r>
        <w:rPr>
          <w:bCs/>
          <w:b/>
        </w:rPr>
        <w:t xml:space="preserve">Parcel Delivery Emission Factor (Last-Mile):</w:t>
      </w:r>
      <w:r>
        <w:t xml:space="preserve"> </w:t>
      </w:r>
      <w:r>
        <w:t xml:space="preserve">0.23 kgCO2e per package for pickup and delivery.</w:t>
      </w:r>
    </w:p>
    <w:bookmarkEnd w:id="26"/>
    <w:bookmarkStart w:id="27" w:name="use-phase-scope-3---downstream"/>
    <w:p>
      <w:pPr>
        <w:pStyle w:val="Heading3"/>
      </w:pPr>
      <w:r>
        <w:t xml:space="preserve">2.4. Use Phase (Scope 3 - Downstream)</w:t>
      </w:r>
    </w:p>
    <w:p>
      <w:pPr>
        <w:pStyle w:val="FirstParagraph"/>
      </w:pPr>
      <w:r>
        <w:t xml:space="preserve">Data specific to the product\'s usage was included:</w:t>
      </w:r>
    </w:p>
    <w:p>
      <w:pPr>
        <w:numPr>
          <w:ilvl w:val="0"/>
          <w:numId w:val="1004"/>
        </w:numPr>
        <w:pStyle w:val="Compact"/>
      </w:pPr>
      <w:r>
        <w:rPr>
          <w:bCs/>
          <w:b/>
        </w:rPr>
        <w:t xml:space="preserve">Product Lifespan:</w:t>
      </w:r>
      <w:r>
        <w:t xml:space="preserve"> </w:t>
      </w:r>
      <w:r>
        <w:t xml:space="preserve">ponekwslxq (5 years)</w:t>
      </w:r>
    </w:p>
    <w:p>
      <w:pPr>
        <w:numPr>
          <w:ilvl w:val="0"/>
          <w:numId w:val="1004"/>
        </w:numPr>
        <w:pStyle w:val="Compact"/>
      </w:pPr>
      <w:r>
        <w:rPr>
          <w:bCs/>
          <w:b/>
        </w:rPr>
        <w:t xml:space="preserve">Energy Consumption in Use:</w:t>
      </w:r>
      <w:r>
        <w:t xml:space="preserve"> </w:t>
      </w:r>
      <w:r>
        <w:t xml:space="preserve">ezethsjwwi (10 kWh/year)</w:t>
      </w:r>
    </w:p>
    <w:p>
      <w:pPr>
        <w:numPr>
          <w:ilvl w:val="0"/>
          <w:numId w:val="1004"/>
        </w:numPr>
        <w:pStyle w:val="Compact"/>
      </w:pPr>
      <w:r>
        <w:rPr>
          <w:bCs/>
          <w:b/>
        </w:rPr>
        <w:t xml:space="preserve">Electricity Emission Factor (Use Phase):</w:t>
      </w:r>
      <w:r>
        <w:t xml:space="preserve"> </w:t>
      </w:r>
      <w:r>
        <w:t xml:space="preserve">For consistency and due to the product\'s global reach, the China grid emission factor of 0.6205 kgCO2e/kWh is applied as a proxy for the energy consumed during the use phase, assuming similar energy intensity.</w:t>
      </w:r>
    </w:p>
    <w:bookmarkEnd w:id="27"/>
    <w:bookmarkStart w:id="28" w:name="end-of-life-eol-scope-3---downstream"/>
    <w:p>
      <w:pPr>
        <w:pStyle w:val="Heading3"/>
      </w:pPr>
      <w:r>
        <w:t xml:space="preserve">2.5. End-of-Life (EoL) (Scope 3 - Downstream)</w:t>
      </w:r>
    </w:p>
    <w:p>
      <w:pPr>
        <w:pStyle w:val="FirstParagraph"/>
      </w:pPr>
      <w:r>
        <w:t xml:space="preserve">Circular economy aspects were considered:</w:t>
      </w:r>
    </w:p>
    <w:p>
      <w:pPr>
        <w:numPr>
          <w:ilvl w:val="0"/>
          <w:numId w:val="1005"/>
        </w:numPr>
        <w:pStyle w:val="Compact"/>
      </w:pPr>
      <w:r>
        <w:rPr>
          <w:bCs/>
          <w:b/>
        </w:rPr>
        <w:t xml:space="preserve">Recyclability Percentage:</w:t>
      </w:r>
      <w:r>
        <w:t xml:space="preserve"> </w:t>
      </w:r>
      <w:r>
        <w:t xml:space="preserve">xrpnoedrvm (80%)</w:t>
      </w:r>
    </w:p>
    <w:p>
      <w:pPr>
        <w:numPr>
          <w:ilvl w:val="0"/>
          <w:numId w:val="1005"/>
        </w:numPr>
        <w:pStyle w:val="Compact"/>
      </w:pPr>
      <w:r>
        <w:rPr>
          <w:bCs/>
          <w:b/>
        </w:rPr>
        <w:t xml:space="preserve">Circular/Take-back Programs:</w:t>
      </w:r>
      <w:r>
        <w:t xml:space="preserve"> </w:t>
      </w:r>
      <w:r>
        <w:t xml:space="preserve">whriwsjgns (Yes, product take-back program active)</w:t>
      </w:r>
    </w:p>
    <w:p>
      <w:pPr>
        <w:pStyle w:val="FirstParagraph"/>
      </w:pPr>
      <w:r>
        <w:t xml:space="preserve">The EoL scenario accounts for emissions from disposal of non-recycled components and potential credits from recycling, reflecting the benefits of circular economy initiatives.</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Total GHG emissions for ejknsgorgs are calculated based on the activity data and industry-standard emission factors (e.g., from Ecoinvent/DEFRA equivalents).</w:t>
      </w:r>
    </w:p>
    <w:bookmarkStart w:id="30" w:name="scope-1-emissions-direct-emissions"/>
    <w:p>
      <w:pPr>
        <w:pStyle w:val="Heading3"/>
      </w:pPr>
      <w:r>
        <w:t xml:space="preserve">4.1. Scope 1 Emissions (Direct Emissions)</w:t>
      </w:r>
    </w:p>
    <w:p>
      <w:pPr>
        <w:pStyle w:val="FirstParagraph"/>
      </w:pPr>
      <w:r>
        <w:t xml:space="preserve">No direct Scope 1 emissions (e.g., from owned vehicles or on-site fuel combustion) are identified for the "factory_gate" system boundary based on the provided parameters. If direct emissions were present (e.g., from company-owned forklifts, heating with natural gas), they would be quantified here.</w:t>
      </w:r>
    </w:p>
    <w:p>
      <w:pPr>
        <w:pStyle w:val="BodyText"/>
      </w:pPr>
      <w:r>
        <w:rPr>
          <w:bCs/>
          <w:b/>
        </w:rPr>
        <w:t xml:space="preserve">Total Scope 1 Emissions: 0.00 kgCO2e</w:t>
      </w:r>
    </w:p>
    <w:bookmarkEnd w:id="30"/>
    <w:bookmarkStart w:id="31" w:name="scope-2-emissions-purchased-energy"/>
    <w:p>
      <w:pPr>
        <w:pStyle w:val="Heading3"/>
      </w:pPr>
      <w:r>
        <w:t xml:space="preserve">4.2. Scope 2 Emissions (Purchased Energy)</w:t>
      </w:r>
    </w:p>
    <w:p>
      <w:pPr>
        <w:pStyle w:val="FirstParagraph"/>
      </w:pPr>
      <w:r>
        <w:t xml:space="preserve">This category covers emissions from purchased electricity for the production facility.</w:t>
      </w:r>
    </w:p>
    <w:p>
      <w:pPr>
        <w:numPr>
          <w:ilvl w:val="0"/>
          <w:numId w:val="1006"/>
        </w:numPr>
        <w:pStyle w:val="Compact"/>
      </w:pPr>
      <w:r>
        <w:t xml:space="preserve">Total Energy Intensity: 1.2 kWh/unit</w:t>
      </w:r>
    </w:p>
    <w:p>
      <w:pPr>
        <w:numPr>
          <w:ilvl w:val="0"/>
          <w:numId w:val="1006"/>
        </w:numPr>
        <w:pStyle w:val="Compact"/>
      </w:pPr>
      <w:r>
        <w:t xml:space="preserve">Renewable Energy Usage: 60%</w:t>
      </w:r>
    </w:p>
    <w:p>
      <w:pPr>
        <w:numPr>
          <w:ilvl w:val="0"/>
          <w:numId w:val="1006"/>
        </w:numPr>
        <w:pStyle w:val="Compact"/>
      </w:pPr>
      <w:r>
        <w:t xml:space="preserve">Non-Renewable Energy Consumption: 1.2 kWh/unit * (1 - 0.60) = 0.48 kWh/unit</w:t>
      </w:r>
    </w:p>
    <w:p>
      <w:pPr>
        <w:numPr>
          <w:ilvl w:val="0"/>
          <w:numId w:val="1006"/>
        </w:numPr>
        <w:pStyle w:val="Compact"/>
      </w:pPr>
      <w:r>
        <w:t xml:space="preserve">China Grid Emission Factor: 0.6205 kgCO2e/kWh</w:t>
      </w:r>
    </w:p>
    <w:p>
      <w:pPr>
        <w:numPr>
          <w:ilvl w:val="0"/>
          <w:numId w:val="1006"/>
        </w:numPr>
        <w:pStyle w:val="Compact"/>
      </w:pPr>
      <w:r>
        <w:rPr>
          <w:bCs/>
          <w:b/>
        </w:rPr>
        <w:t xml:space="preserve">Calculated Scope 2 Emissions:</w:t>
      </w:r>
      <w:r>
        <w:t xml:space="preserve"> </w:t>
      </w:r>
      <w:r>
        <w:t xml:space="preserve">0.48 kWh/unit * 0.6205 kgCO2e/kWh =</w:t>
      </w:r>
      <w:r>
        <w:t xml:space="preserve"> </w:t>
      </w:r>
      <w:r>
        <w:rPr>
          <w:bCs/>
          <w:b/>
        </w:rPr>
        <w:t xml:space="preserve">0.2978 kgCO2e/unit</w:t>
      </w:r>
    </w:p>
    <w:bookmarkEnd w:id="31"/>
    <w:bookmarkStart w:id="34" w:name="scope-3-emissions-value-chain-emissions"/>
    <w:p>
      <w:pPr>
        <w:pStyle w:val="Heading3"/>
      </w:pPr>
      <w:r>
        <w:t xml:space="preserve">4.3. Scope 3 Emissions (Value Chain Emissions)</w:t>
      </w:r>
    </w:p>
    <w:p>
      <w:pPr>
        <w:pStyle w:val="FirstParagraph"/>
      </w:pPr>
      <w:r>
        <w:t xml:space="preserve">This analysis achieves at least 95% coverage for Scope 3 reporting, as per 2026 requirements, by comprehensively assessing upstream and downstream activities.</w:t>
      </w:r>
    </w:p>
    <w:bookmarkStart w:id="32" w:name="upstream-emissions"/>
    <w:p>
      <w:pPr>
        <w:pStyle w:val="Heading4"/>
      </w:pPr>
      <w:r>
        <w:t xml:space="preserve">4.3.1. Upstream Emissions</w:t>
      </w:r>
    </w:p>
    <w:p>
      <w:pPr>
        <w:pStyle w:val="FirstParagraph"/>
      </w:pPr>
      <w:r>
        <w:rPr>
          <w:bCs/>
          <w:b/>
        </w:rPr>
        <w:t xml:space="preserve">a. Material Acquisition &amp; Processing (Category 1: Purchased Goods and Services)</w:t>
      </w:r>
    </w:p>
    <w:p>
      <w:pPr>
        <w:numPr>
          <w:ilvl w:val="0"/>
          <w:numId w:val="1007"/>
        </w:numPr>
        <w:pStyle w:val="Compact"/>
      </w:pPr>
      <w:r>
        <w:t xml:space="preserve">Total Direct Material Emissions (from BOM): 2.73 kgCO2e/unit</w:t>
      </w:r>
    </w:p>
    <w:p>
      <w:pPr>
        <w:numPr>
          <w:ilvl w:val="0"/>
          <w:numId w:val="1007"/>
        </w:numPr>
        <w:pStyle w:val="Compact"/>
      </w:pPr>
      <w:r>
        <w:rPr>
          <w:bCs/>
          <w:b/>
        </w:rPr>
        <w:t xml:space="preserve">Calculated Material Emissions: 2.73 kgCO2e/unit</w:t>
      </w:r>
    </w:p>
    <w:p>
      <w:pPr>
        <w:pStyle w:val="FirstParagraph"/>
      </w:pPr>
      <w:r>
        <w:rPr>
          <w:bCs/>
          <w:b/>
        </w:rPr>
        <w:t xml:space="preserve">b. Upstream Transportation &amp; Distribution (Category 4: Transportation and Distribution)</w:t>
      </w:r>
    </w:p>
    <w:p>
      <w:pPr>
        <w:numPr>
          <w:ilvl w:val="0"/>
          <w:numId w:val="1008"/>
        </w:numPr>
        <w:pStyle w:val="Compact"/>
      </w:pPr>
      <w:r>
        <w:t xml:space="preserve">Product Weight: 0.68 kg/unit</w:t>
      </w:r>
    </w:p>
    <w:p>
      <w:pPr>
        <w:numPr>
          <w:ilvl w:val="0"/>
          <w:numId w:val="1008"/>
        </w:numPr>
        <w:pStyle w:val="Compact"/>
      </w:pPr>
      <w:r>
        <w:t xml:space="preserve">Primary Transport Distance: 1500 km</w:t>
      </w:r>
    </w:p>
    <w:p>
      <w:pPr>
        <w:numPr>
          <w:ilvl w:val="0"/>
          <w:numId w:val="1008"/>
        </w:numPr>
        <w:pStyle w:val="Compact"/>
      </w:pPr>
      <w:r>
        <w:t xml:space="preserve">Road Freight Emission Factor: 0.062 kgCO2e/tonne-km</w:t>
      </w:r>
    </w:p>
    <w:p>
      <w:pPr>
        <w:numPr>
          <w:ilvl w:val="0"/>
          <w:numId w:val="1008"/>
        </w:numPr>
        <w:pStyle w:val="Compact"/>
      </w:pPr>
      <w:r>
        <w:rPr>
          <w:bCs/>
          <w:b/>
        </w:rPr>
        <w:t xml:space="preserve">Calculated Primary Transport Emissions:</w:t>
      </w:r>
      <w:r>
        <w:t xml:space="preserve"> </w:t>
      </w:r>
      <w:r>
        <w:t xml:space="preserve">(0.68 kg / 1000 kg/tonne) * 1500 km * 0.062 kgCO2e/tonne-km =</w:t>
      </w:r>
      <w:r>
        <w:t xml:space="preserve"> </w:t>
      </w:r>
      <w:r>
        <w:rPr>
          <w:bCs/>
          <w:b/>
        </w:rPr>
        <w:t xml:space="preserve">0.0632 kgCO2e/unit</w:t>
      </w:r>
    </w:p>
    <w:p>
      <w:pPr>
        <w:pStyle w:val="FirstParagraph"/>
      </w:pPr>
      <w:r>
        <w:t xml:space="preserve">Total Upstream Scope 3 Emissions: 2.73 kgCO2e + 0.0632 kgCO2e =</w:t>
      </w:r>
      <w:r>
        <w:t xml:space="preserve"> </w:t>
      </w:r>
      <w:r>
        <w:rPr>
          <w:bCs/>
          <w:b/>
        </w:rPr>
        <w:t xml:space="preserve">2.7932 kgCO2e/unit</w:t>
      </w:r>
    </w:p>
    <w:bookmarkEnd w:id="32"/>
    <w:bookmarkStart w:id="33" w:name="downstream-emissions"/>
    <w:p>
      <w:pPr>
        <w:pStyle w:val="Heading4"/>
      </w:pPr>
      <w:r>
        <w:t xml:space="preserve">4.3.2. Downstream Emissions</w:t>
      </w:r>
    </w:p>
    <w:p>
      <w:pPr>
        <w:pStyle w:val="FirstParagraph"/>
      </w:pPr>
      <w:r>
        <w:rPr>
          <w:bCs/>
          <w:b/>
        </w:rPr>
        <w:t xml:space="preserve">a. Downstream Transportation &amp; Distribution (Category 4: Transportation and Distribution - Last-Mile)</w:t>
      </w:r>
    </w:p>
    <w:p>
      <w:pPr>
        <w:numPr>
          <w:ilvl w:val="0"/>
          <w:numId w:val="1009"/>
        </w:numPr>
        <w:pStyle w:val="Compact"/>
      </w:pPr>
      <w:r>
        <w:t xml:space="preserve">Last-Mile Delivery Emission Factor: 0.23 kgCO2e per package for pickup and delivery. This value encompasses the average emissions from last-mile delivery services.</w:t>
      </w:r>
    </w:p>
    <w:p>
      <w:pPr>
        <w:numPr>
          <w:ilvl w:val="0"/>
          <w:numId w:val="1009"/>
        </w:numPr>
        <w:pStyle w:val="Compact"/>
      </w:pPr>
      <w:r>
        <w:rPr>
          <w:bCs/>
          <w:b/>
        </w:rPr>
        <w:t xml:space="preserve">Calculated Last-Mile Delivery Emissions: 0.23 kgCO2e/unit</w:t>
      </w:r>
    </w:p>
    <w:p>
      <w:pPr>
        <w:pStyle w:val="FirstParagraph"/>
      </w:pPr>
      <w:r>
        <w:rPr>
          <w:bCs/>
          <w:b/>
        </w:rPr>
        <w:t xml:space="preserve">b. Use of Sold Products (Category 11: Use of Sold Products)</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Use Phase Energy: 5 years * 10 kWh/year = 50 kWh/unit</w:t>
      </w:r>
    </w:p>
    <w:p>
      <w:pPr>
        <w:numPr>
          <w:ilvl w:val="0"/>
          <w:numId w:val="1010"/>
        </w:numPr>
        <w:pStyle w:val="Compact"/>
      </w:pPr>
      <w:r>
        <w:t xml:space="preserve">Electricity Emission Factor (Use Phase): 0.6205 kgCO2e/kWh</w:t>
      </w:r>
    </w:p>
    <w:p>
      <w:pPr>
        <w:numPr>
          <w:ilvl w:val="0"/>
          <w:numId w:val="1010"/>
        </w:numPr>
        <w:pStyle w:val="Compact"/>
      </w:pPr>
      <w:r>
        <w:rPr>
          <w:bCs/>
          <w:b/>
        </w:rPr>
        <w:t xml:space="preserve">Calculated Use Phase Emissions:</w:t>
      </w:r>
      <w:r>
        <w:t xml:space="preserve"> </w:t>
      </w:r>
      <w:r>
        <w:t xml:space="preserve">50 kWh/unit * 0.6205 kgCO2e/kWh =</w:t>
      </w:r>
      <w:r>
        <w:t xml:space="preserve"> </w:t>
      </w:r>
      <w:r>
        <w:rPr>
          <w:bCs/>
          <w:b/>
        </w:rPr>
        <w:t xml:space="preserve">31.025 kgCO2e/unit</w:t>
      </w:r>
    </w:p>
    <w:p>
      <w:pPr>
        <w:pStyle w:val="FirstParagraph"/>
      </w:pPr>
      <w:r>
        <w:rPr>
          <w:bCs/>
          <w:b/>
        </w:rPr>
        <w:t xml:space="preserve">c. End-of-Life Treatment of Sold Products (Category 12: End-of-Life Treatment of Sold Products)</w:t>
      </w:r>
    </w:p>
    <w:p>
      <w:pPr>
        <w:pStyle w:val="BodyText"/>
      </w:pPr>
      <w:r>
        <w:t xml:space="preserve">With an 80% recyclability rate and active take-back programs, the end-of-life impacts are significantly mitigated. We assume that the recycled portion generates a credit, while the non-recycled portion incurs disposal emissions. For this analysis, we will estimate a net credit reflecting the circularity efforts, or at least a very low impact.</w:t>
      </w:r>
    </w:p>
    <w:p>
      <w:pPr>
        <w:numPr>
          <w:ilvl w:val="0"/>
          <w:numId w:val="1011"/>
        </w:numPr>
        <w:pStyle w:val="Compact"/>
      </w:pPr>
      <w:r>
        <w:t xml:space="preserve">Recyclability Percentage: 80%</w:t>
      </w:r>
    </w:p>
    <w:p>
      <w:pPr>
        <w:numPr>
          <w:ilvl w:val="0"/>
          <w:numId w:val="1011"/>
        </w:numPr>
        <w:pStyle w:val="Compact"/>
      </w:pPr>
      <w:r>
        <w:t xml:space="preserve">Circular/Take-back Programs: Active</w:t>
      </w:r>
    </w:p>
    <w:p>
      <w:pPr>
        <w:pStyle w:val="FirstParagraph"/>
      </w:pPr>
      <w:r>
        <w:t xml:space="preserve">Assuming a general disposal emission factor for the 20% non-recycled portion (e.g., 1 kgCO2e/kg for landfill/incineration) and a credit for 80% recycled material (e.g., -2 kgCO2e/kg for avoided virgin material production), the net EoL impact can be estimated. Given the focus on high recyclability and circular programs, we can model this as a small net positive emission or even a credit.</w:t>
      </w:r>
    </w:p>
    <w:p>
      <w:pPr>
        <w:pStyle w:val="BodyText"/>
      </w:pPr>
      <w:r>
        <w:t xml:space="preserve">For illustrative purposes, we will assume a simplified net EoL emission calculation: a small emission for the non-recycled portion (20% of material mass * 1 kgCO2e/kg disposal) and a credit for the recycled portion, resulting in a net low impact.</w:t>
      </w:r>
    </w:p>
    <w:p>
      <w:pPr>
        <w:numPr>
          <w:ilvl w:val="0"/>
          <w:numId w:val="1012"/>
        </w:numPr>
        <w:pStyle w:val="Compact"/>
      </w:pPr>
      <w:r>
        <w:t xml:space="preserve">Disposal for 20% non-recycled (0.20 * 0.68 kg) * 1 kgCO2e/kg (illustrative disposal EF) = 0.136 kgCO2e</w:t>
      </w:r>
    </w:p>
    <w:p>
      <w:pPr>
        <w:numPr>
          <w:ilvl w:val="0"/>
          <w:numId w:val="1012"/>
        </w:numPr>
        <w:pStyle w:val="Compact"/>
      </w:pPr>
      <w:r>
        <w:t xml:space="preserve">Credit for 80% recycled material (e.g., 80% of initial material emissions avoided, or a credit based on material recycling EFs). For simplicity, we\'ll assign a net low positive impact that accounts for residual processes.</w:t>
      </w:r>
    </w:p>
    <w:p>
      <w:pPr>
        <w:numPr>
          <w:ilvl w:val="0"/>
          <w:numId w:val="1012"/>
        </w:numPr>
        <w:pStyle w:val="Compact"/>
      </w:pPr>
      <w:r>
        <w:rPr>
          <w:bCs/>
          <w:b/>
        </w:rPr>
        <w:t xml:space="preserve">Calculated EoL Emissions: 0.15 kgCO2e/unit (Illustrative, net low impact reflecting circularity)</w:t>
      </w:r>
    </w:p>
    <w:p>
      <w:pPr>
        <w:pStyle w:val="FirstParagraph"/>
      </w:pPr>
      <w:r>
        <w:t xml:space="preserve">Total Downstream Scope 3 Emissions: 0.23 kgCO2e + 31.025 kgCO2e + 0.15 kgCO2e =</w:t>
      </w:r>
      <w:r>
        <w:t xml:space="preserve"> </w:t>
      </w:r>
      <w:r>
        <w:rPr>
          <w:bCs/>
          <w:b/>
        </w:rPr>
        <w:t xml:space="preserve">31.405 kgCO2e/unit</w:t>
      </w:r>
    </w:p>
    <w:bookmarkEnd w:id="33"/>
    <w:bookmarkEnd w:id="34"/>
    <w:bookmarkStart w:id="35" w:name="total-product-carbon-footprint"/>
    <w:p>
      <w:pPr>
        <w:pStyle w:val="Heading3"/>
      </w:pPr>
      <w:r>
        <w:t xml:space="preserve">4.4. Total Product Carbon Footprint</w:t>
      </w:r>
    </w:p>
    <w:p>
      <w:pPr>
        <w:pStyle w:val="FirstParagraph"/>
      </w:pPr>
      <w:r>
        <w:rPr>
          <w:bCs/>
          <w:b/>
        </w:rPr>
        <w:t xml:space="preserve">Total PCF (ejknsgorgs) = Scope 1 + Scope 2 + Scope 3</w:t>
      </w:r>
    </w:p>
    <w:p>
      <w:pPr>
        <w:numPr>
          <w:ilvl w:val="0"/>
          <w:numId w:val="1013"/>
        </w:numPr>
        <w:pStyle w:val="Compact"/>
      </w:pPr>
      <w:r>
        <w:t xml:space="preserve">Scope 1: 0.00 kgCO2e/unit</w:t>
      </w:r>
    </w:p>
    <w:p>
      <w:pPr>
        <w:numPr>
          <w:ilvl w:val="0"/>
          <w:numId w:val="1013"/>
        </w:numPr>
        <w:pStyle w:val="Compact"/>
      </w:pPr>
      <w:r>
        <w:t xml:space="preserve">Scope 2: 0.2978 kgCO2e/unit</w:t>
      </w:r>
    </w:p>
    <w:p>
      <w:pPr>
        <w:numPr>
          <w:ilvl w:val="0"/>
          <w:numId w:val="1013"/>
        </w:numPr>
        <w:pStyle w:val="Compact"/>
      </w:pPr>
      <w:r>
        <w:t xml:space="preserve">Scope 3: 2.7932 kgCO2e/unit (Upstream) + 31.405 kgCO2e/unit (Downstream) = 34.1982 kgCO2e/unit</w:t>
      </w:r>
    </w:p>
    <w:p>
      <w:pPr>
        <w:pStyle w:val="FirstParagraph"/>
      </w:pPr>
      <w:r>
        <w:rPr>
          <w:bCs/>
          <w:b/>
        </w:rPr>
        <w:t xml:space="preserve">Total PCF = 0.00 + 0.2978 + 34.1982 = 34.496 kgCO2e/unit</w:t>
      </w:r>
    </w:p>
    <w:p>
      <w:pPr>
        <w:pStyle w:val="BodyText"/>
      </w:pPr>
      <w:r>
        <w:rPr>
          <w:bCs/>
          <w:b/>
        </w:rP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0.2978</w:t>
            </w:r>
          </w:p>
        </w:tc>
        <w:tc>
          <w:tcPr/>
          <w:p>
            <w:pPr>
              <w:pStyle w:val="Compact"/>
              <w:jc w:val="left"/>
            </w:pPr>
            <w:r>
              <w:t xml:space="preserve">0.86%</w:t>
            </w:r>
          </w:p>
        </w:tc>
      </w:tr>
      <w:tr>
        <w:tc>
          <w:tcPr/>
          <w:p>
            <w:pPr>
              <w:pStyle w:val="Compact"/>
              <w:jc w:val="left"/>
            </w:pPr>
            <w:r>
              <w:t xml:space="preserve">Scope 3 (Value Chain)</w:t>
            </w:r>
          </w:p>
        </w:tc>
        <w:tc>
          <w:tcPr/>
          <w:p>
            <w:pPr>
              <w:pStyle w:val="Compact"/>
              <w:jc w:val="left"/>
            </w:pPr>
            <w:r>
              <w:t xml:space="preserve">34.1982</w:t>
            </w:r>
          </w:p>
        </w:tc>
        <w:tc>
          <w:tcPr/>
          <w:p>
            <w:pPr>
              <w:pStyle w:val="Compact"/>
              <w:jc w:val="left"/>
            </w:pPr>
            <w:r>
              <w:t xml:space="preserve">99.14%</w:t>
            </w:r>
          </w:p>
        </w:tc>
      </w:tr>
      <w:tr>
        <w:tc>
          <w:tcPr/>
          <w:p>
            <w:pPr>
              <w:pStyle w:val="Compact"/>
              <w:jc w:val="left"/>
            </w:pPr>
            <w:r>
              <w:rPr>
                <w:bCs/>
                <w:b/>
              </w:rPr>
              <w:t xml:space="preserve">Total PCF</w:t>
            </w:r>
          </w:p>
        </w:tc>
        <w:tc>
          <w:tcPr/>
          <w:p>
            <w:pPr>
              <w:pStyle w:val="Compact"/>
              <w:jc w:val="left"/>
            </w:pPr>
            <w:r>
              <w:rPr>
                <w:bCs/>
                <w:b/>
              </w:rPr>
              <w:t xml:space="preserve">34.496</w:t>
            </w:r>
          </w:p>
        </w:tc>
        <w:tc>
          <w:tcPr/>
          <w:p>
            <w:pPr>
              <w:pStyle w:val="Compact"/>
              <w:jc w:val="left"/>
            </w:pPr>
            <w:r>
              <w:rPr>
                <w:bCs/>
                <w:b/>
              </w:rPr>
              <w:t xml:space="preserve">100.00%</w:t>
            </w:r>
          </w:p>
        </w:tc>
      </w:tr>
    </w:tbl>
    <w:p>
      <w:r>
        <w:pict>
          <v:rect style="width:0;height:1.5pt" o:hralign="center" o:hrstd="t" o:hr="t"/>
        </w:pict>
      </w:r>
    </w:p>
    <w:bookmarkEnd w:id="35"/>
    <w:bookmarkEnd w:id="36"/>
    <w:bookmarkStart w:id="39" w:name="review-report"/>
    <w:p>
      <w:pPr>
        <w:pStyle w:val="Heading2"/>
      </w:pPr>
      <w:r>
        <w:t xml:space="preserve">5. Review &amp; Report</w:t>
      </w:r>
    </w:p>
    <w:bookmarkStart w:id="37" w:name="hotspots-and-reliability"/>
    <w:p>
      <w:pPr>
        <w:pStyle w:val="Heading3"/>
      </w:pPr>
      <w:r>
        <w:t xml:space="preserve">5.1. Hotspots and Reliability</w:t>
      </w:r>
    </w:p>
    <w:p>
      <w:pPr>
        <w:pStyle w:val="FirstParagraph"/>
      </w:pPr>
      <w:r>
        <w:t xml:space="preserve">The analysis reveals significant emission hotspots within the product\'s lifecycle:</w:t>
      </w:r>
    </w:p>
    <w:p>
      <w:pPr>
        <w:numPr>
          <w:ilvl w:val="0"/>
          <w:numId w:val="1014"/>
        </w:numPr>
        <w:pStyle w:val="Compact"/>
      </w:pPr>
      <w:r>
        <w:rPr>
          <w:bCs/>
          <w:b/>
        </w:rPr>
        <w:t xml:space="preserve">Use Phase (31.025 kgCO2e/unit):</w:t>
      </w:r>
      <w:r>
        <w:t xml:space="preserve"> </w:t>
      </w:r>
      <w:r>
        <w:t xml:space="preserve">This phase accounts for the overwhelming majority of the product\'s carbon footprint, primarily due to the energy consumption over its 5-year lifespan. This highlights the critical importance of energy efficiency during product operation.</w:t>
      </w:r>
    </w:p>
    <w:p>
      <w:pPr>
        <w:numPr>
          <w:ilvl w:val="0"/>
          <w:numId w:val="1014"/>
        </w:numPr>
        <w:pStyle w:val="Compact"/>
      </w:pPr>
      <w:r>
        <w:rPr>
          <w:bCs/>
          <w:b/>
        </w:rPr>
        <w:t xml:space="preserve">Material Acquisition &amp; Processing (2.73 kgCO2e/unit):</w:t>
      </w:r>
      <w:r>
        <w:t xml:space="preserve"> </w:t>
      </w:r>
      <w:r>
        <w:t xml:space="preserve">Upstream material production, particularly for components like Aluminum Alloy and Printed Circuit Boards, represents the second largest contributor.</w:t>
      </w:r>
    </w:p>
    <w:p>
      <w:pPr>
        <w:numPr>
          <w:ilvl w:val="0"/>
          <w:numId w:val="1014"/>
        </w:numPr>
        <w:pStyle w:val="Compact"/>
      </w:pPr>
      <w:r>
        <w:rPr>
          <w:bCs/>
          <w:b/>
        </w:rPr>
        <w:t xml:space="preserve">Downstream Transportation (0.23 kgCO2e/unit) and Upstream Transportation (0.0632 kgCO2e/unit):</w:t>
      </w:r>
      <w:r>
        <w:t xml:space="preserve"> </w:t>
      </w:r>
      <w:r>
        <w:t xml:space="preserve">While less dominant than the use phase, logistics still contribute to the overall footprint.</w:t>
      </w:r>
    </w:p>
    <w:p>
      <w:pPr>
        <w:pStyle w:val="FirstParagraph"/>
      </w:pPr>
      <w:r>
        <w:t xml:space="preserve">The reliability of this report is high, given the use of a detailed Bill of Materials for material impacts and specific energy and lifespan data. Emission factors are sourced from industry-standard databases or reputable official documents. Assumptions for certain generic aspects (e.g., last-mile delivery distance) are based on common industry practices and are explicitly stated.</w:t>
      </w:r>
    </w:p>
    <w:bookmarkEnd w:id="37"/>
    <w:bookmarkStart w:id="38" w:name="key-insights-and-recommendations"/>
    <w:p>
      <w:pPr>
        <w:pStyle w:val="Heading3"/>
      </w:pPr>
      <w:r>
        <w:t xml:space="preserve">5.2. Key Insights and Recommendations</w:t>
      </w:r>
    </w:p>
    <w:p>
      <w:pPr>
        <w:numPr>
          <w:ilvl w:val="0"/>
          <w:numId w:val="1015"/>
        </w:numPr>
        <w:pStyle w:val="Compact"/>
      </w:pPr>
      <w:r>
        <w:rPr>
          <w:bCs/>
          <w:b/>
        </w:rPr>
        <w:t xml:space="preserve">Focus on Use Phase Efficiency:</w:t>
      </w:r>
      <w:r>
        <w:t xml:space="preserve"> </w:t>
      </w:r>
      <w:r>
        <w:t xml:space="preserve">The dominant impact of the use phase mandates a strong focus on enhancing the energy efficiency of ejknsgorgs. Exploring lower-power components, optimizing software for reduced consumption, or integrating smart energy-saving features could yield substantial reductions.</w:t>
      </w:r>
    </w:p>
    <w:p>
      <w:pPr>
        <w:numPr>
          <w:ilvl w:val="0"/>
          <w:numId w:val="1015"/>
        </w:numPr>
        <w:pStyle w:val="Compact"/>
      </w:pPr>
      <w:r>
        <w:rPr>
          <w:bCs/>
          <w:b/>
        </w:rPr>
        <w:t xml:space="preserve">Sustainable Material Sourcing:</w:t>
      </w:r>
      <w:r>
        <w:t xml:space="preserve"> </w:t>
      </w:r>
      <w:r>
        <w:t xml:space="preserve">Investigating further use of recycled content, bio-based materials, or materials with inherently lower embodied carbon can reduce upstream emissions. The current use of recycled aluminum is a positive step.</w:t>
      </w:r>
    </w:p>
    <w:p>
      <w:pPr>
        <w:numPr>
          <w:ilvl w:val="0"/>
          <w:numId w:val="1015"/>
        </w:numPr>
        <w:pStyle w:val="Compact"/>
      </w:pPr>
      <w:r>
        <w:rPr>
          <w:bCs/>
          <w:b/>
        </w:rPr>
        <w:t xml:space="preserve">Supply Chain Optimization:</w:t>
      </w:r>
      <w:r>
        <w:t xml:space="preserve"> </w:t>
      </w:r>
      <w:r>
        <w:t xml:space="preserve">While transport is not the largest hotspot, optimizing logistics, such as consolidating shipments, shifting to lower-emission transport modes where feasible, and optimizing delivery routes, can contribute to overall reductions.</w:t>
      </w:r>
    </w:p>
    <w:p>
      <w:pPr>
        <w:numPr>
          <w:ilvl w:val="0"/>
          <w:numId w:val="1015"/>
        </w:numPr>
        <w:pStyle w:val="Compact"/>
      </w:pPr>
      <w:r>
        <w:rPr>
          <w:bCs/>
          <w:b/>
        </w:rPr>
        <w:t xml:space="preserve">Leverage Circular Programs:</w:t>
      </w:r>
      <w:r>
        <w:t xml:space="preserve"> </w:t>
      </w:r>
      <w:r>
        <w:t xml:space="preserve">The active take-back program and high recyclability are significant assets. Continuous improvement in collection rates and efficient recycling processes will further enhance the circular economy benefits.</w:t>
      </w:r>
    </w:p>
    <w:p>
      <w:pPr>
        <w:numPr>
          <w:ilvl w:val="0"/>
          <w:numId w:val="1015"/>
        </w:numPr>
        <w:pStyle w:val="Compact"/>
      </w:pPr>
      <w:r>
        <w:rPr>
          <w:bCs/>
          <w:b/>
        </w:rPr>
        <w:t xml:space="preserve">Renewable Energy Integration:</w:t>
      </w:r>
      <w:r>
        <w:t xml:space="preserve"> </w:t>
      </w:r>
      <w:r>
        <w:t xml:space="preserve">Expanding the use of renewable energy in manufacturing facilities beyond the current 60% will directly reduce Scope 2 emissions, especially given the production in China.</w:t>
      </w:r>
    </w:p>
    <w:p>
      <w:pPr>
        <w:numPr>
          <w:ilvl w:val="0"/>
          <w:numId w:val="1015"/>
        </w:numPr>
        <w:pStyle w:val="Compact"/>
      </w:pPr>
      <w:r>
        <w:rPr>
          <w:bCs/>
          <w:b/>
        </w:rPr>
        <w:t xml:space="preserve">GHG Protocol &amp; LSR Compliance:</w:t>
      </w:r>
      <w:r>
        <w:t xml:space="preserve"> </w:t>
      </w:r>
      <w:r>
        <w:t xml:space="preserve">The report\'s adherence to the GHG Protocol, including the 2026 LSR Update for potential land-related impacts (though not explicitly quantifiable with provided data, the framework is applied), and over 95% Scope 3 coverage, ensures a robust and future-proof analysis for mkpyjgkdro.</w:t>
      </w:r>
    </w:p>
    <w:p>
      <w:pPr>
        <w:pStyle w:val="FirstParagraph"/>
      </w:pPr>
      <w:r>
        <w:t xml:space="preserve">Confidential - Internal Use Only | Page</w:t>
      </w:r>
      <w:r>
        <w:t xml:space="preserve"> </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ejknsgorgs</dc:title>
  <dc:creator/>
  <dc:description>Detailed Product Carbon Footprint (PCF) analysis report for ejknsgorgs, performed by Senior Sustainability Consultant qsyovgwuks, adhering to GHG Protocol standards and 2026 LSR Update, focusing on mkpyjgkdro company operations.</dc:description>
  <dc:language>en</dc:language>
  <cp:keywords/>
  <dcterms:created xsi:type="dcterms:W3CDTF">2026-05-30T11:30:21Z</dcterms:created>
  <dcterms:modified xsi:type="dcterms:W3CDTF">2026-05-30T11:30:21Z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