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eiqejoswlq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eiqejoswlq</w:t>
      </w:r>
    </w:p>
    <w:p>
      <w:pPr>
        <w:pStyle w:val="BodyText"/>
      </w:pPr>
      <w:r>
        <w:t xml:space="preserve">Company: pgudvrlrvx</w:t>
      </w:r>
    </w:p>
    <w:p>
      <w:pPr>
        <w:pStyle w:val="BodyText"/>
      </w:pPr>
      <w:r>
        <w:t xml:space="preserve">Senior Sustainability Consultant: qpqfufwdlw</w:t>
      </w:r>
    </w:p>
    <w:p>
      <w:pPr>
        <w:pStyle w:val="BodyText"/>
      </w:pPr>
      <w:r>
        <w:t xml:space="preserve">Accounting Standard: GHG Protocol</w:t>
      </w:r>
    </w:p>
    <w:p>
      <w:pPr>
        <w:pStyle w:val="BodyText"/>
      </w:pPr>
      <w:r>
        <w:t xml:space="preserve">This report is generated based on available data and industry standards for illustrative purposes. For precise, auditable reporting, primary data collection and validated emission factors are essential.</w:t>
      </w:r>
    </w:p>
    <w:bookmarkEnd w:id="20"/>
    <w:bookmarkStart w:id="46" w:name="X3d0c14cb0cf106da4ae0bb62f4ddff79216b415"/>
    <w:p>
      <w:pPr>
        <w:pStyle w:val="Heading1"/>
      </w:pPr>
      <w:r>
        <w:t xml:space="preserve">Product Carbon Footprint (PCF) Analysis Report for eiqejoswlq</w:t>
      </w:r>
    </w:p>
    <w:p>
      <w:pPr>
        <w:pStyle w:val="FirstParagraph"/>
      </w:pPr>
      <w:r>
        <w:rPr>
          <w:bCs/>
          <w:b/>
        </w:rPr>
        <w:t xml:space="preserve">Generated Date:</w:t>
      </w:r>
      <w:r>
        <w:t xml:space="preserve"> </w:t>
      </w:r>
      <w:r>
        <w:t xml:space="preserve">June 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"eiqejoswlq" manufactured by "pgudvrlrvx". Conducted by qpqfufwdlw, a Senior Sustainability Consultant specializing in GHG Protocol, this analysis quantifies the greenhouse gas (GHG) emissions across the product\'s lifecycle. The methodology strictly adheres to the GHG Protocol standards, incorporating the latest 2026 updates for the Land Sector and Removals (LSR) Standard and Scope 3 reporting requirements. The analysis identifies key emission hotspots, primarily within the raw material acquisition, manufacturing, and use phases, and provides recommendations for emissions reduction.</w:t>
      </w:r>
    </w:p>
    <w:bookmarkEnd w:id="21"/>
    <w:bookmarkStart w:id="22" w:name="introduction"/>
    <w:p>
      <w:pPr>
        <w:pStyle w:val="Heading2"/>
      </w:pPr>
      <w:r>
        <w:t xml:space="preserve">1. Introduction</w:t>
      </w:r>
    </w:p>
    <w:p>
      <w:pPr>
        <w:pStyle w:val="FirstParagraph"/>
      </w:pPr>
      <w:r>
        <w:t xml:space="preserve">The purpose of this Product Carbon Footprint (PCF) analysis is to assess the environmental impact of "eiqejoswlq" by quantifying its associated greenhouse gas (GHG) emissions throughout its lifecycle. This assessment is critical for "pgudvrlrvx" to understand its environmental performance, identify hotspots for reduction, and inform strategic sustainability initiatives. The analysis is performed by qpqfufwdlw, a Senior Sustainability Consultant, in strict accordance with the Greenhouse Gas (GHG) Protocol.</w:t>
      </w:r>
    </w:p>
    <w:bookmarkEnd w:id="22"/>
    <w:bookmarkStart w:id="40" w:name="methodology"/>
    <w:p>
      <w:pPr>
        <w:pStyle w:val="Heading2"/>
      </w:pPr>
      <w:r>
        <w:t xml:space="preserve">2. Methodology</w:t>
      </w:r>
    </w:p>
    <w:p>
      <w:pPr>
        <w:pStyle w:val="FirstParagraph"/>
      </w:pPr>
      <w:r>
        <w:t xml:space="preserve">The PCF analysis follows the five-step methodology prescribed by the GHG Protocol: Define Scope, Map Lifecycle, Collect Data, Calculate Emissions, and Review &amp; Report. Emissions are categorized into Scope 1 (direct emissions), Scope 2 (indirect emissions from purchased energy), and Scope 3 (other indirect emissions across the value chain) as defined by the GHG Protocol.</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1.0 unit of "eiqejoswlq".</w:t>
      </w:r>
    </w:p>
    <w:p>
      <w:pPr>
        <w:numPr>
          <w:ilvl w:val="0"/>
          <w:numId w:val="1001"/>
        </w:numPr>
        <w:pStyle w:val="Compact"/>
      </w:pPr>
      <w:r>
        <w:rPr>
          <w:bCs/>
          <w:b/>
        </w:rPr>
        <w:t xml:space="preserve">System Boundary:</w:t>
      </w:r>
      <w:r>
        <w:t xml:space="preserve"> </w:t>
      </w:r>
      <w:r>
        <w:t xml:space="preserve">While the primary system boundary specified is "factory_gate", the analysis extends to a "cradle-to-grave" approach to incorporate all requested parameters, including the Use Phase and End-of-Life scenarios. This broader scope provides a comprehensive understanding of the product\'s environmental impact beyond conventional factory-gate boundaries.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Greenhouse Gas (GHG) Protocol.</w:t>
      </w:r>
    </w:p>
    <w:p>
      <w:pPr>
        <w:numPr>
          <w:ilvl w:val="0"/>
          <w:numId w:val="1001"/>
        </w:numPr>
        <w:pStyle w:val="Compact"/>
      </w:pPr>
      <w:r>
        <w:rPr>
          <w:bCs/>
          <w:b/>
        </w:rPr>
        <w:t xml:space="preserve">Allocation:</w:t>
      </w:r>
      <w:r>
        <w:t xml:space="preserve"> </w:t>
      </w:r>
      <w:r>
        <w:t xml:space="preserve">Emissions are allocated on a mass-based approach where appropriate, given the absence of specific multi-functionality details.</w:t>
      </w:r>
    </w:p>
    <w:p>
      <w:pPr>
        <w:numPr>
          <w:ilvl w:val="0"/>
          <w:numId w:val="1001"/>
        </w:numPr>
        <w:pStyle w:val="Compact"/>
      </w:pPr>
      <w:r>
        <w:rPr>
          <w:bCs/>
          <w:b/>
        </w:rPr>
        <w:t xml:space="preserve">GHG Protocol Scopes:</w:t>
      </w:r>
      <w:r>
        <w:t xml:space="preserve"> </w:t>
      </w:r>
      <w:r>
        <w:t xml:space="preserve">The emissions are classified according to the GHG Protocol:</w:t>
      </w:r>
    </w:p>
    <w:p>
      <w:pPr>
        <w:numPr>
          <w:ilvl w:val="1"/>
          <w:numId w:val="1003"/>
        </w:numPr>
        <w:pStyle w:val="Compact"/>
      </w:pPr>
      <w:r>
        <w:rPr>
          <w:bCs/>
          <w:b/>
        </w:rPr>
        <w:t xml:space="preserve">Scope 1:</w:t>
      </w:r>
      <w:r>
        <w:t xml:space="preserve"> </w:t>
      </w:r>
      <w:r>
        <w:t xml:space="preserve">Direct GHG emissions from sources owned or controlled by pgudvrlrvx.</w:t>
      </w:r>
    </w:p>
    <w:p>
      <w:pPr>
        <w:numPr>
          <w:ilvl w:val="1"/>
          <w:numId w:val="1003"/>
        </w:numPr>
        <w:pStyle w:val="Compact"/>
      </w:pPr>
      <w:r>
        <w:rPr>
          <w:bCs/>
          <w:b/>
        </w:rPr>
        <w:t xml:space="preserve">Scope 2:</w:t>
      </w:r>
      <w:r>
        <w:t xml:space="preserve"> </w:t>
      </w:r>
      <w:r>
        <w:t xml:space="preserve">Indirect GHG emissions from the generation of purchased electricity, heat, or steam consumed by pgudvrlrvx.</w:t>
      </w:r>
    </w:p>
    <w:p>
      <w:pPr>
        <w:numPr>
          <w:ilvl w:val="1"/>
          <w:numId w:val="1003"/>
        </w:numPr>
        <w:pStyle w:val="Compact"/>
      </w:pPr>
      <w:r>
        <w:rPr>
          <w:bCs/>
          <w:b/>
        </w:rPr>
        <w:t xml:space="preserve">Scope 3:</w:t>
      </w:r>
      <w:r>
        <w:t xml:space="preserve"> </w:t>
      </w:r>
      <w:r>
        <w:t xml:space="preserve">All other indirect GHG emissions in the value chain, both upstream and downstream. This includes emissions from purchased goods and services, transportation and distribution, use of sold products, and end-of-life treatment of sold products.</w:t>
      </w:r>
    </w:p>
    <w:p>
      <w:pPr>
        <w:numPr>
          <w:ilvl w:val="0"/>
          <w:numId w:val="1001"/>
        </w:numPr>
        <w:pStyle w:val="Compact"/>
      </w:pPr>
      <w:r>
        <w:rPr>
          <w:bCs/>
          <w:b/>
        </w:rPr>
        <w:t xml:space="preserve">2026 LSR Update:</w:t>
      </w:r>
      <w:r>
        <w:t xml:space="preserve"> </w:t>
      </w:r>
      <w:r>
        <w:t xml:space="preserve">The analysis acknowledges and conceptually applies the GHG Protocol Land Sector and Removals (LSR) Standard, released on January 30, 2026, and effective January 1, 2027. This standard provides requirements for accounting and reporting land-related emissions and carbon removals. The accompanying guidance is expected in Q2 2026.</w:t>
      </w:r>
    </w:p>
    <w:p>
      <w:pPr>
        <w:numPr>
          <w:ilvl w:val="0"/>
          <w:numId w:val="1001"/>
        </w:numPr>
        <w:pStyle w:val="Compact"/>
      </w:pPr>
      <w:r>
        <w:rPr>
          <w:bCs/>
          <w:b/>
        </w:rPr>
        <w:t xml:space="preserve">Scope 3 Compliance:</w:t>
      </w:r>
      <w:r>
        <w:t xml:space="preserve"> </w:t>
      </w:r>
      <w:r>
        <w:t xml:space="preserve">In line with the 2026 GHG Protocol Scope 3 revision\'s proposed updates, this report aims for at least 95% coverage for Scope 3 reporting, ensuring that all significant value chain emissions are included. This aligns with the new minimum boundary rule to enhance completeness and transparency.</w:t>
      </w:r>
    </w:p>
    <w:bookmarkEnd w:id="23"/>
    <w:bookmarkStart w:id="24" w:name="map-lifecycle-lci-inventory-stages"/>
    <w:p>
      <w:pPr>
        <w:pStyle w:val="Heading3"/>
      </w:pPr>
      <w:r>
        <w:t xml:space="preserve">2.2. Map Lifecycle (LCI Inventory Stages)</w:t>
      </w:r>
    </w:p>
    <w:p>
      <w:pPr>
        <w:pStyle w:val="FirstParagraph"/>
      </w:pPr>
      <w:r>
        <w:t xml:space="preserve">The lifecycle of "eiqejoswlq" is mapped across five key stages:</w:t>
      </w:r>
    </w:p>
    <w:p>
      <w:pPr>
        <w:numPr>
          <w:ilvl w:val="0"/>
          <w:numId w:val="1004"/>
        </w:numPr>
        <w:pStyle w:val="Compact"/>
      </w:pPr>
      <w:r>
        <w:rPr>
          <w:bCs/>
          <w:b/>
        </w:rPr>
        <w:t xml:space="preserve">Raw Material Acquisition &amp; Pre-processing:</w:t>
      </w:r>
      <w:r>
        <w:t xml:space="preserve"> </w:t>
      </w:r>
      <w:r>
        <w:t xml:space="preserve">Extraction, production, and initial processing of all materials listed in the Detailed Bill of Materials (BOM).</w:t>
      </w:r>
    </w:p>
    <w:p>
      <w:pPr>
        <w:numPr>
          <w:ilvl w:val="0"/>
          <w:numId w:val="1004"/>
        </w:numPr>
        <w:pStyle w:val="Compact"/>
      </w:pPr>
      <w:r>
        <w:rPr>
          <w:bCs/>
          <w:b/>
        </w:rPr>
        <w:t xml:space="preserve">Manufacturing/Production:</w:t>
      </w:r>
      <w:r>
        <w:t xml:space="preserve"> </w:t>
      </w:r>
      <w:r>
        <w:t xml:space="preserve">Energy consumption and direct emissions during the assembly and production of "eiqejoswlq" at the pgudvrlrvx facility in China.</w:t>
      </w:r>
    </w:p>
    <w:p>
      <w:pPr>
        <w:numPr>
          <w:ilvl w:val="0"/>
          <w:numId w:val="1004"/>
        </w:numPr>
        <w:pStyle w:val="Compact"/>
      </w:pPr>
      <w:r>
        <w:rPr>
          <w:bCs/>
          <w:b/>
        </w:rPr>
        <w:t xml:space="preserve">Transport &amp; Distribution:</w:t>
      </w:r>
      <w:r>
        <w:t xml:space="preserve"> </w:t>
      </w:r>
      <w:r>
        <w:t xml:space="preserve">Upstream transportation of raw materials to the manufacturing facility and downstream transportation of the finished product to the customer, including last-mile delivery.</w:t>
      </w:r>
    </w:p>
    <w:p>
      <w:pPr>
        <w:numPr>
          <w:ilvl w:val="0"/>
          <w:numId w:val="1004"/>
        </w:numPr>
        <w:pStyle w:val="Compact"/>
      </w:pPr>
      <w:r>
        <w:rPr>
          <w:bCs/>
          <w:b/>
        </w:rPr>
        <w:t xml:space="preserve">Use Phase:</w:t>
      </w:r>
      <w:r>
        <w:t xml:space="preserve"> </w:t>
      </w:r>
      <w:r>
        <w:t xml:space="preserve">Energy consumption during the anticipated lifespan of the product by the end-user.</w:t>
      </w:r>
    </w:p>
    <w:p>
      <w:pPr>
        <w:numPr>
          <w:ilvl w:val="0"/>
          <w:numId w:val="1004"/>
        </w:numPr>
        <w:pStyle w:val="Compact"/>
      </w:pPr>
      <w:r>
        <w:rPr>
          <w:bCs/>
          <w:b/>
        </w:rPr>
        <w:t xml:space="preserve">End-of-Life (EoL):</w:t>
      </w:r>
      <w:r>
        <w:t xml:space="preserve"> </w:t>
      </w:r>
      <w:r>
        <w:t xml:space="preserve">Emissions or avoided emissions associated with the disposal or recycling of the product after its useful life.</w:t>
      </w:r>
    </w:p>
    <w:bookmarkEnd w:id="24"/>
    <w:bookmarkStart w:id="30" w:name="Xb57f50a89bf1f3f1837369be949d9d60d6c1272"/>
    <w:p>
      <w:pPr>
        <w:pStyle w:val="Heading3"/>
      </w:pPr>
      <w:r>
        <w:t xml:space="preserve">2.3. Collect Data (Primary/Secondary Data Points)</w:t>
      </w:r>
    </w:p>
    <w:p>
      <w:pPr>
        <w:pStyle w:val="FirstParagraph"/>
      </w:pPr>
      <w:r>
        <w:t xml:space="preserve">The following specific data points have been incorporated into the analysis:</w:t>
      </w:r>
    </w:p>
    <w:p>
      <w:pPr>
        <w:numPr>
          <w:ilvl w:val="0"/>
          <w:numId w:val="1005"/>
        </w:numPr>
        <w:pStyle w:val="Compact"/>
      </w:pPr>
      <w:r>
        <w:rPr>
          <w:bCs/>
          <w:b/>
        </w:rPr>
        <w:t xml:space="preserve">Detailed Bill of Materials (BOM):</w:t>
      </w:r>
      <w:r>
        <w:t xml:space="preserve"> </w:t>
      </w:r>
      <w:r>
        <w:t xml:space="preserve">The provided BOM "njqplong" serves as the basis for material impact calculation. For the purpose of this illustrative report, a hypothetical BOM based on the specified format is used.</w:t>
      </w:r>
    </w:p>
    <w:p>
      <w:pPr>
        <w:numPr>
          <w:ilvl w:val="0"/>
          <w:numId w:val="1005"/>
        </w:numPr>
        <w:pStyle w:val="Compact"/>
      </w:pPr>
      <w:r>
        <w:rPr>
          <w:bCs/>
          <w:b/>
        </w:rPr>
        <w:t xml:space="preserve">Transport Mode:</w:t>
      </w:r>
      <w:r>
        <w:t xml:space="preserve"> </w:t>
      </w:r>
      <w:r>
        <w:t xml:space="preserve">Select Mode (e.g., Ocean Freight, Road Transport)</w:t>
      </w:r>
    </w:p>
    <w:p>
      <w:pPr>
        <w:numPr>
          <w:ilvl w:val="0"/>
          <w:numId w:val="1005"/>
        </w:numPr>
        <w:pStyle w:val="Compact"/>
      </w:pPr>
      <w:r>
        <w:rPr>
          <w:bCs/>
          <w:b/>
        </w:rPr>
        <w:t xml:space="preserve">Transport Distance:</w:t>
      </w:r>
      <w:r>
        <w:t xml:space="preserve"> </w:t>
      </w:r>
      <w:r>
        <w:t xml:space="preserve">fszkuqxlki (e.g., 10,000 km for ocean, 500 km for road)</w:t>
      </w:r>
    </w:p>
    <w:p>
      <w:pPr>
        <w:numPr>
          <w:ilvl w:val="0"/>
          <w:numId w:val="1005"/>
        </w:numPr>
        <w:pStyle w:val="Compact"/>
      </w:pPr>
      <w:r>
        <w:rPr>
          <w:bCs/>
          <w:b/>
        </w:rPr>
        <w:t xml:space="preserve">Last-Mile Delivery Channel:</w:t>
      </w:r>
      <w:r>
        <w:t xml:space="preserve"> </w:t>
      </w:r>
      <w:r>
        <w:t xml:space="preserve">Delivery Type (e.g., Parcel Delivery by Van)</w:t>
      </w:r>
    </w:p>
    <w:p>
      <w:pPr>
        <w:numPr>
          <w:ilvl w:val="0"/>
          <w:numId w:val="1005"/>
        </w:numPr>
        <w:pStyle w:val="Compact"/>
      </w:pPr>
      <w:r>
        <w:rPr>
          <w:bCs/>
          <w:b/>
        </w:rPr>
        <w:t xml:space="preserve">Renewable Energy Usage (Production):</w:t>
      </w:r>
      <w:r>
        <w:t xml:space="preserve"> </w:t>
      </w:r>
      <w:r>
        <w:t xml:space="preserve">odvhqhlflm (e.g., 70% renewable electricity)</w:t>
      </w:r>
    </w:p>
    <w:p>
      <w:pPr>
        <w:numPr>
          <w:ilvl w:val="0"/>
          <w:numId w:val="1005"/>
        </w:numPr>
        <w:pStyle w:val="Compact"/>
      </w:pPr>
      <w:r>
        <w:rPr>
          <w:bCs/>
          <w:b/>
        </w:rPr>
        <w:t xml:space="preserve">Energy Intensity (Production):</w:t>
      </w:r>
      <w:r>
        <w:t xml:space="preserve"> </w:t>
      </w:r>
      <w:r>
        <w:t xml:space="preserve">eoiyypwzpu (e.g., 5.0 kWh/unit)</w:t>
      </w:r>
    </w:p>
    <w:p>
      <w:pPr>
        <w:numPr>
          <w:ilvl w:val="0"/>
          <w:numId w:val="1005"/>
        </w:numPr>
        <w:pStyle w:val="Compact"/>
      </w:pPr>
      <w:r>
        <w:rPr>
          <w:bCs/>
          <w:b/>
        </w:rPr>
        <w:t xml:space="preserve">Product Lifespan:</w:t>
      </w:r>
      <w:r>
        <w:t xml:space="preserve"> </w:t>
      </w:r>
      <w:r>
        <w:t xml:space="preserve">fveohjedmh (e.g., 5 years)</w:t>
      </w:r>
    </w:p>
    <w:p>
      <w:pPr>
        <w:numPr>
          <w:ilvl w:val="0"/>
          <w:numId w:val="1005"/>
        </w:numPr>
        <w:pStyle w:val="Compact"/>
      </w:pPr>
      <w:r>
        <w:rPr>
          <w:bCs/>
          <w:b/>
        </w:rPr>
        <w:t xml:space="preserve">Energy Consumption in Use:</w:t>
      </w:r>
      <w:r>
        <w:t xml:space="preserve"> </w:t>
      </w:r>
      <w:r>
        <w:t xml:space="preserve">zxlokpxvtw (e.g., 10 kWh/year)</w:t>
      </w:r>
    </w:p>
    <w:p>
      <w:pPr>
        <w:numPr>
          <w:ilvl w:val="0"/>
          <w:numId w:val="1005"/>
        </w:numPr>
        <w:pStyle w:val="Compact"/>
      </w:pPr>
      <w:r>
        <w:rPr>
          <w:bCs/>
          <w:b/>
        </w:rPr>
        <w:t xml:space="preserve">Recyclability Percentage:</w:t>
      </w:r>
      <w:r>
        <w:t xml:space="preserve"> </w:t>
      </w:r>
      <w:r>
        <w:t xml:space="preserve">qkooomlxtt (e.g., 60%)</w:t>
      </w:r>
    </w:p>
    <w:p>
      <w:pPr>
        <w:numPr>
          <w:ilvl w:val="0"/>
          <w:numId w:val="1005"/>
        </w:numPr>
        <w:pStyle w:val="Compact"/>
      </w:pPr>
      <w:r>
        <w:rPr>
          <w:bCs/>
          <w:b/>
        </w:rPr>
        <w:t xml:space="preserve">Circular/Take-back Programs:</w:t>
      </w:r>
      <w:r>
        <w:t xml:space="preserve"> </w:t>
      </w:r>
      <w:r>
        <w:t xml:space="preserve">fdtskehmkp (e.g., Yes, product take-back program in place)</w:t>
      </w:r>
    </w:p>
    <w:p>
      <w:pPr>
        <w:pStyle w:val="FirstParagraph"/>
      </w:pPr>
      <w:r>
        <w:t xml:space="preserve">Industry-standard emission factors are applied for materials, energy, and transportation, drawing illustratively from sources such as Ecoinvent and DEFRA.</w:t>
      </w:r>
    </w:p>
    <w:bookmarkStart w:id="25" w:name="X4663fb67515787bd527eb6697105a1bbcdaafac"/>
    <w:p>
      <w:pPr>
        <w:pStyle w:val="Heading4"/>
      </w:pPr>
      <w:r>
        <w:t xml:space="preserve">Detailed Bill of Materials (Hypothetical njqplong)</w:t>
      </w:r>
    </w:p>
    <w:p>
      <w:pPr>
        <w:pStyle w:val="FirstParagraph"/>
      </w:pPr>
      <w:r>
        <w:t xml:space="preserve">Below is a sample representation of the detailed Bill of Materials used for calculating upstream material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gridSpan w:val="7"/>
          </w:tcPr>
          <w:p>
            <w:pPr>
              <w:pStyle w:val="Compact"/>
              <w:jc w:val="right"/>
            </w:pPr>
            <w:r>
              <w:rPr>
                <w:bCs/>
                <w:b/>
              </w:rPr>
              <w:t xml:space="preserve">Subtotal Material Emissions:</w:t>
            </w:r>
          </w:p>
        </w:tc>
        <w:tc>
          <w:tcPr/>
          <w:p>
            <w:pPr>
              <w:pStyle w:val="Compact"/>
              <w:jc w:val="left"/>
            </w:pPr>
            <w:r>
              <w:rPr>
                <w:bCs/>
                <w:b/>
              </w:rPr>
              <w:t xml:space="preserve">3.31</w:t>
            </w:r>
          </w:p>
        </w:tc>
      </w:tr>
    </w:tbl>
    <w:p>
      <w:pPr>
        <w:pStyle w:val="BodyText"/>
      </w:pPr>
      <w:r>
        <w:rPr>
          <w:iCs/>
          <w:i/>
        </w:rPr>
        <w:t xml:space="preserve">Note: The emission factors and total carbon values provided in the table are illustrative for demonstration purposes. In a real-world scenario, precise, verified emission factors from databases like Ecoinvent or industry-specific sources would be used.</w:t>
      </w:r>
    </w:p>
    <w:bookmarkEnd w:id="25"/>
    <w:bookmarkStart w:id="26" w:name="energy-inputs-manufacturing-phase"/>
    <w:p>
      <w:pPr>
        <w:pStyle w:val="Heading4"/>
      </w:pPr>
      <w:r>
        <w:t xml:space="preserve">Energy Inputs (Manufacturing Phase)</w:t>
      </w:r>
    </w:p>
    <w:p>
      <w:pPr>
        <w:numPr>
          <w:ilvl w:val="0"/>
          <w:numId w:val="1006"/>
        </w:numPr>
        <w:pStyle w:val="Compact"/>
      </w:pPr>
      <w:r>
        <w:rPr>
          <w:bCs/>
          <w:b/>
        </w:rPr>
        <w:t xml:space="preserve">Total Energy Intensity:</w:t>
      </w:r>
      <w:r>
        <w:t xml:space="preserve"> </w:t>
      </w:r>
      <w:r>
        <w:t xml:space="preserve">eoiyypwzpu = 5.0 kWh/unit</w:t>
      </w:r>
    </w:p>
    <w:p>
      <w:pPr>
        <w:numPr>
          <w:ilvl w:val="0"/>
          <w:numId w:val="1006"/>
        </w:numPr>
        <w:pStyle w:val="Compact"/>
      </w:pPr>
      <w:r>
        <w:rPr>
          <w:bCs/>
          <w:b/>
        </w:rPr>
        <w:t xml:space="preserve">Renewable Energy Usage:</w:t>
      </w:r>
      <w:r>
        <w:t xml:space="preserve"> </w:t>
      </w:r>
      <w:r>
        <w:t xml:space="preserve">odvhqhlflm = 70%</w:t>
      </w:r>
    </w:p>
    <w:p>
      <w:pPr>
        <w:numPr>
          <w:ilvl w:val="0"/>
          <w:numId w:val="1006"/>
        </w:numPr>
        <w:pStyle w:val="Compact"/>
      </w:pPr>
      <w:r>
        <w:rPr>
          <w:bCs/>
          <w:b/>
        </w:rPr>
        <w:t xml:space="preserve">Non-Renewable Energy Usage:</w:t>
      </w:r>
      <w:r>
        <w:t xml:space="preserve"> </w:t>
      </w:r>
      <w:r>
        <w:t xml:space="preserve">30%</w:t>
      </w:r>
    </w:p>
    <w:p>
      <w:pPr>
        <w:numPr>
          <w:ilvl w:val="0"/>
          <w:numId w:val="1006"/>
        </w:numPr>
        <w:pStyle w:val="Compact"/>
      </w:pPr>
      <w:r>
        <w:rPr>
          <w:bCs/>
          <w:b/>
        </w:rPr>
        <w:t xml:space="preserve">Electricity Emission Factor (China Grid, illustrative 2025):</w:t>
      </w:r>
      <w:r>
        <w:t xml:space="preserve"> </w:t>
      </w:r>
      <w:r>
        <w:t xml:space="preserve">0.589 kg CO2e/kWh</w:t>
      </w:r>
    </w:p>
    <w:bookmarkEnd w:id="26"/>
    <w:bookmarkStart w:id="27" w:name="logistics-data"/>
    <w:p>
      <w:pPr>
        <w:pStyle w:val="Heading4"/>
      </w:pPr>
      <w:r>
        <w:t xml:space="preserve">Logistics Data</w:t>
      </w:r>
    </w:p>
    <w:p>
      <w:pPr>
        <w:numPr>
          <w:ilvl w:val="0"/>
          <w:numId w:val="1007"/>
        </w:numPr>
        <w:pStyle w:val="Compact"/>
      </w:pPr>
      <w:r>
        <w:rPr>
          <w:bCs/>
          <w:b/>
        </w:rPr>
        <w:t xml:space="preserve">Inbound Transport (Raw Materials from Europe to China):</w:t>
      </w:r>
    </w:p>
    <w:p>
      <w:pPr>
        <w:numPr>
          <w:ilvl w:val="1"/>
          <w:numId w:val="1008"/>
        </w:numPr>
        <w:pStyle w:val="Compact"/>
      </w:pPr>
      <w:r>
        <w:t xml:space="preserve">Mode: Select Mode (e.g., Ocean Freight)</w:t>
      </w:r>
    </w:p>
    <w:p>
      <w:pPr>
        <w:numPr>
          <w:ilvl w:val="1"/>
          <w:numId w:val="1008"/>
        </w:numPr>
        <w:pStyle w:val="Compact"/>
      </w:pPr>
      <w:r>
        <w:t xml:space="preserve">Distance: fszkuqxlki (e.g., 10,000 km)</w:t>
      </w:r>
    </w:p>
    <w:p>
      <w:pPr>
        <w:numPr>
          <w:ilvl w:val="1"/>
          <w:numId w:val="1008"/>
        </w:numPr>
        <w:pStyle w:val="Compact"/>
      </w:pPr>
      <w:r>
        <w:t xml:space="preserve">Assumed Material Weight (for inbound transport calculation): Based on BOM total, approx. 0.67 kg/unit (0.5 + 0.1 + 0.02 + 0.05).</w:t>
      </w:r>
    </w:p>
    <w:p>
      <w:pPr>
        <w:numPr>
          <w:ilvl w:val="1"/>
          <w:numId w:val="1008"/>
        </w:numPr>
        <w:pStyle w:val="Compact"/>
      </w:pPr>
      <w:r>
        <w:t xml:space="preserve">Illustrative Emission Factor (Ocean Freight): 0.01 kg CO2e/tonne-km</w:t>
      </w:r>
    </w:p>
    <w:p>
      <w:pPr>
        <w:numPr>
          <w:ilvl w:val="0"/>
          <w:numId w:val="1007"/>
        </w:numPr>
        <w:pStyle w:val="Compact"/>
      </w:pPr>
      <w:r>
        <w:rPr>
          <w:bCs/>
          <w:b/>
        </w:rPr>
        <w:t xml:space="preserve">Outbound Transport (Finished Product from China to Europe):</w:t>
      </w:r>
    </w:p>
    <w:p>
      <w:pPr>
        <w:numPr>
          <w:ilvl w:val="1"/>
          <w:numId w:val="1009"/>
        </w:numPr>
        <w:pStyle w:val="Compact"/>
      </w:pPr>
      <w:r>
        <w:t xml:space="preserve">Mode: Select Mode (e.g., Ocean Freight)</w:t>
      </w:r>
    </w:p>
    <w:p>
      <w:pPr>
        <w:numPr>
          <w:ilvl w:val="1"/>
          <w:numId w:val="1009"/>
        </w:numPr>
        <w:pStyle w:val="Compact"/>
      </w:pPr>
      <w:r>
        <w:t xml:space="preserve">Distance: fszkuqxlki (e.g., 10,000 km)</w:t>
      </w:r>
    </w:p>
    <w:p>
      <w:pPr>
        <w:numPr>
          <w:ilvl w:val="1"/>
          <w:numId w:val="1009"/>
        </w:numPr>
        <w:pStyle w:val="Compact"/>
      </w:pPr>
      <w:r>
        <w:t xml:space="preserve">Assumed Product Weight: ~0.67 kg/unit</w:t>
      </w:r>
    </w:p>
    <w:p>
      <w:pPr>
        <w:numPr>
          <w:ilvl w:val="1"/>
          <w:numId w:val="1009"/>
        </w:numPr>
        <w:pStyle w:val="Compact"/>
      </w:pPr>
      <w:r>
        <w:t xml:space="preserve">Illustrative Emission Factor (Ocean Freight): 0.01 kg CO2e/tonne-km</w:t>
      </w:r>
    </w:p>
    <w:p>
      <w:pPr>
        <w:numPr>
          <w:ilvl w:val="0"/>
          <w:numId w:val="1007"/>
        </w:numPr>
        <w:pStyle w:val="Compact"/>
      </w:pPr>
      <w:r>
        <w:rPr>
          <w:bCs/>
          <w:b/>
        </w:rPr>
        <w:t xml:space="preserve">Last-Mile Delivery (Europe):</w:t>
      </w:r>
    </w:p>
    <w:p>
      <w:pPr>
        <w:numPr>
          <w:ilvl w:val="1"/>
          <w:numId w:val="1010"/>
        </w:numPr>
        <w:pStyle w:val="Compact"/>
      </w:pPr>
      <w:r>
        <w:t xml:space="preserve">Channel: Delivery Type (e.g., Parcel Delivery by Van)</w:t>
      </w:r>
    </w:p>
    <w:p>
      <w:pPr>
        <w:numPr>
          <w:ilvl w:val="1"/>
          <w:numId w:val="1010"/>
        </w:numPr>
        <w:pStyle w:val="Compact"/>
      </w:pPr>
      <w:r>
        <w:t xml:space="preserve">Assumed Distance: 500 km (illustrative)</w:t>
      </w:r>
    </w:p>
    <w:p>
      <w:pPr>
        <w:numPr>
          <w:ilvl w:val="1"/>
          <w:numId w:val="1010"/>
        </w:numPr>
        <w:pStyle w:val="Compact"/>
      </w:pPr>
      <w:r>
        <w:t xml:space="preserve">Illustrative Emission Factor (Parcel Van): 0.15 kg CO2e/parcel-km</w:t>
      </w:r>
    </w:p>
    <w:p>
      <w:pPr>
        <w:pStyle w:val="FirstParagraph"/>
      </w:pPr>
      <w:r>
        <w:rPr>
          <w:iCs/>
          <w:i/>
        </w:rPr>
        <w:t xml:space="preserve">Note: Transport emission factors are highly dependent on specific vehicle types, fuel, and load factors. The values used are illustrative. DEFRA provides regularly updated conversion factors for transport activities.</w:t>
      </w:r>
    </w:p>
    <w:bookmarkEnd w:id="27"/>
    <w:bookmarkStart w:id="28" w:name="use-phase-data"/>
    <w:p>
      <w:pPr>
        <w:pStyle w:val="Heading4"/>
      </w:pPr>
      <w:r>
        <w:t xml:space="preserve">Use Phase Data</w:t>
      </w:r>
    </w:p>
    <w:p>
      <w:pPr>
        <w:numPr>
          <w:ilvl w:val="0"/>
          <w:numId w:val="1011"/>
        </w:numPr>
        <w:pStyle w:val="Compact"/>
      </w:pPr>
      <w:r>
        <w:rPr>
          <w:bCs/>
          <w:b/>
        </w:rPr>
        <w:t xml:space="preserve">Product Lifespan:</w:t>
      </w:r>
      <w:r>
        <w:t xml:space="preserve"> </w:t>
      </w:r>
      <w:r>
        <w:t xml:space="preserve">fveohjedmh = 5 years</w:t>
      </w:r>
    </w:p>
    <w:p>
      <w:pPr>
        <w:numPr>
          <w:ilvl w:val="0"/>
          <w:numId w:val="1011"/>
        </w:numPr>
        <w:pStyle w:val="Compact"/>
      </w:pPr>
      <w:r>
        <w:rPr>
          <w:bCs/>
          <w:b/>
        </w:rPr>
        <w:t xml:space="preserve">Energy Consumption in Use:</w:t>
      </w:r>
      <w:r>
        <w:t xml:space="preserve"> </w:t>
      </w:r>
      <w:r>
        <w:t xml:space="preserve">zxlokpxvtw = 10 kWh/year</w:t>
      </w:r>
    </w:p>
    <w:p>
      <w:pPr>
        <w:numPr>
          <w:ilvl w:val="0"/>
          <w:numId w:val="1011"/>
        </w:numPr>
        <w:pStyle w:val="Compact"/>
      </w:pPr>
      <w:r>
        <w:rPr>
          <w:bCs/>
          <w:b/>
        </w:rPr>
        <w:t xml:space="preserve">Total Use Phase Energy:</w:t>
      </w:r>
      <w:r>
        <w:t xml:space="preserve"> </w:t>
      </w:r>
      <w:r>
        <w:t xml:space="preserve">10 kWh/year * 5 years = 50 kWh/unit</w:t>
      </w:r>
    </w:p>
    <w:p>
      <w:pPr>
        <w:numPr>
          <w:ilvl w:val="0"/>
          <w:numId w:val="1011"/>
        </w:numPr>
        <w:pStyle w:val="Compact"/>
      </w:pPr>
      <w:r>
        <w:rPr>
          <w:bCs/>
          <w:b/>
        </w:rPr>
        <w:t xml:space="preserve">Electricity Emission Factor (Europe Average, illustrative):</w:t>
      </w:r>
      <w:r>
        <w:t xml:space="preserve"> </w:t>
      </w:r>
      <w:r>
        <w:t xml:space="preserve">0.25 kg CO2e/kWh (approximation for European grid mix, varies greatly by country).</w:t>
      </w:r>
    </w:p>
    <w:bookmarkEnd w:id="28"/>
    <w:bookmarkStart w:id="29" w:name="end-of-life-eol-scenarios"/>
    <w:p>
      <w:pPr>
        <w:pStyle w:val="Heading4"/>
      </w:pPr>
      <w:r>
        <w:t xml:space="preserve">End-of-Life (EoL) Scenarios</w:t>
      </w:r>
    </w:p>
    <w:p>
      <w:pPr>
        <w:numPr>
          <w:ilvl w:val="0"/>
          <w:numId w:val="1012"/>
        </w:numPr>
        <w:pStyle w:val="Compact"/>
      </w:pPr>
      <w:r>
        <w:rPr>
          <w:bCs/>
          <w:b/>
        </w:rPr>
        <w:t xml:space="preserve">Recyclability Percentage:</w:t>
      </w:r>
      <w:r>
        <w:t xml:space="preserve"> </w:t>
      </w:r>
      <w:r>
        <w:t xml:space="preserve">qkooomlxtt = 60%</w:t>
      </w:r>
    </w:p>
    <w:p>
      <w:pPr>
        <w:numPr>
          <w:ilvl w:val="0"/>
          <w:numId w:val="1012"/>
        </w:numPr>
        <w:pStyle w:val="Compact"/>
      </w:pPr>
      <w:r>
        <w:rPr>
          <w:bCs/>
          <w:b/>
        </w:rPr>
        <w:t xml:space="preserve">Disposal Percentage:</w:t>
      </w:r>
      <w:r>
        <w:t xml:space="preserve"> </w:t>
      </w:r>
      <w:r>
        <w:t xml:space="preserve">40% (100% - 60%)</w:t>
      </w:r>
    </w:p>
    <w:p>
      <w:pPr>
        <w:numPr>
          <w:ilvl w:val="0"/>
          <w:numId w:val="1012"/>
        </w:numPr>
        <w:pStyle w:val="Compact"/>
      </w:pPr>
      <w:r>
        <w:rPr>
          <w:bCs/>
          <w:b/>
        </w:rPr>
        <w:t xml:space="preserve">Circular/Take-back Programs:</w:t>
      </w:r>
      <w:r>
        <w:t xml:space="preserve"> </w:t>
      </w:r>
      <w:r>
        <w:t xml:space="preserve">fdtskehmkp = Yes, product take-back program in place.</w:t>
      </w:r>
    </w:p>
    <w:p>
      <w:pPr>
        <w:numPr>
          <w:ilvl w:val="0"/>
          <w:numId w:val="1012"/>
        </w:numPr>
        <w:pStyle w:val="Compact"/>
      </w:pPr>
      <w:r>
        <w:rPr>
          <w:bCs/>
          <w:b/>
        </w:rPr>
        <w:t xml:space="preserve">Illustrative Emission Factor (Recycling - avoided emissions):</w:t>
      </w:r>
      <w:r>
        <w:t xml:space="preserve"> </w:t>
      </w:r>
      <w:r>
        <w:t xml:space="preserve">-0.5 kg CO2e/kg (assuming 0.67 kg product weight).</w:t>
      </w:r>
    </w:p>
    <w:p>
      <w:pPr>
        <w:numPr>
          <w:ilvl w:val="0"/>
          <w:numId w:val="1012"/>
        </w:numPr>
        <w:pStyle w:val="Compact"/>
      </w:pPr>
      <w:r>
        <w:rPr>
          <w:bCs/>
          <w:b/>
        </w:rPr>
        <w:t xml:space="preserve">Illustrative Emission Factor (Disposal/Landfill):</w:t>
      </w:r>
      <w:r>
        <w:t xml:space="preserve"> </w:t>
      </w:r>
      <w:r>
        <w:t xml:space="preserve">0.5 kg CO2e/kg (assuming 0.67 kg product weight).</w:t>
      </w:r>
    </w:p>
    <w:bookmarkEnd w:id="29"/>
    <w:bookmarkEnd w:id="30"/>
    <w:bookmarkStart w:id="38" w:name="Xb404f6bea4a0013006ec7a9103609d9ea6643c1"/>
    <w:p>
      <w:pPr>
        <w:pStyle w:val="Heading3"/>
      </w:pPr>
      <w:r>
        <w:t xml:space="preserve">2.4. Calculate Emissions (Activity * Emission Factor = CO2e)</w:t>
      </w:r>
    </w:p>
    <w:p>
      <w:pPr>
        <w:pStyle w:val="FirstParagraph"/>
      </w:pPr>
      <w:r>
        <w:t xml:space="preserve">The calculations below present an illustrative PCF for "eiqejoswlq" based on the provided parameters and generic emission factors. All emissions are reported in kg CO2e (carbon dioxide equivalent).</w:t>
      </w:r>
    </w:p>
    <w:bookmarkStart w:id="31" w:name="Xff31e690bfe279af69cf88b9219fe5d56042afb"/>
    <w:p>
      <w:pPr>
        <w:pStyle w:val="Heading4"/>
      </w:pPr>
      <w:r>
        <w:t xml:space="preserve">2.4.1. Raw Material Acquisition &amp; Pre-processing (Scope 3 - Upstream)</w:t>
      </w:r>
    </w:p>
    <w:p>
      <w:pPr>
        <w:pStyle w:val="FirstParagraph"/>
      </w:pPr>
      <w:r>
        <w:t xml:space="preserve">This category includes emissions from the extraction, production, and initial processing of raw materials. Based on the hypothetical BOM:</w:t>
      </w:r>
    </w:p>
    <w:p>
      <w:pPr>
        <w:numPr>
          <w:ilvl w:val="0"/>
          <w:numId w:val="1013"/>
        </w:numPr>
        <w:pStyle w:val="Compact"/>
      </w:pPr>
      <w:r>
        <w:t xml:space="preserve">Total Material Emissions = 3.31 kg CO2e/unit</w:t>
      </w:r>
    </w:p>
    <w:bookmarkEnd w:id="31"/>
    <w:bookmarkStart w:id="32" w:name="X15417e14962fd5817cffcc38f2a7e1448d4803d"/>
    <w:p>
      <w:pPr>
        <w:pStyle w:val="Heading4"/>
      </w:pPr>
      <w:r>
        <w:t xml:space="preserve">2.4.2. Manufacturing/Production Phase (Scope 1, Scope 2, Scope 3 - Upstream)</w:t>
      </w:r>
    </w:p>
    <w:p>
      <w:pPr>
        <w:numPr>
          <w:ilvl w:val="0"/>
          <w:numId w:val="1014"/>
        </w:numPr>
        <w:pStyle w:val="Compact"/>
      </w:pPr>
      <w:r>
        <w:rPr>
          <w:bCs/>
          <w:b/>
        </w:rPr>
        <w:t xml:space="preserve">Scope 1 (Direct Emissions):</w:t>
      </w:r>
      <w:r>
        <w:t xml:space="preserve"> </w:t>
      </w:r>
      <w:r>
        <w:t xml:space="preserve">For a "factory_gate" system boundary, direct emissions (e.g., on-site fuel combustion for processes) would be included here. Assuming negligible direct process emissions for this product\'s manufacturing process (e.g., no on-site fossil fuel combustion for heating or machinery operation specific to the product line), or covered by Scope 3 for upstream fuel production.</w:t>
      </w:r>
    </w:p>
    <w:p>
      <w:pPr>
        <w:numPr>
          <w:ilvl w:val="0"/>
          <w:numId w:val="1014"/>
        </w:numPr>
        <w:pStyle w:val="Compact"/>
      </w:pPr>
      <w:r>
        <w:rPr>
          <w:bCs/>
          <w:b/>
        </w:rPr>
        <w:t xml:space="preserve">Scope 2 (Purchased Electricity):</w:t>
      </w:r>
    </w:p>
    <w:p>
      <w:pPr>
        <w:numPr>
          <w:ilvl w:val="1"/>
          <w:numId w:val="1015"/>
        </w:numPr>
        <w:pStyle w:val="Compact"/>
      </w:pPr>
      <w:r>
        <w:t xml:space="preserve">Total Electricity Consumed: 5.0 kWh/unit</w:t>
      </w:r>
    </w:p>
    <w:p>
      <w:pPr>
        <w:numPr>
          <w:ilvl w:val="1"/>
          <w:numId w:val="1015"/>
        </w:numPr>
        <w:pStyle w:val="Compact"/>
      </w:pPr>
      <w:r>
        <w:t xml:space="preserve">Non-Renewable Electricity: 5.0 kWh/unit * 30% = 1.5 kWh/unit</w:t>
      </w:r>
    </w:p>
    <w:p>
      <w:pPr>
        <w:numPr>
          <w:ilvl w:val="1"/>
          <w:numId w:val="1015"/>
        </w:numPr>
        <w:pStyle w:val="Compact"/>
      </w:pPr>
      <w:r>
        <w:t xml:space="preserve">Renewable Electricity: 5.0 kWh/unit * 70% = 3.5 kWh/unit</w:t>
      </w:r>
    </w:p>
    <w:p>
      <w:pPr>
        <w:numPr>
          <w:ilvl w:val="1"/>
          <w:numId w:val="1015"/>
        </w:numPr>
        <w:pStyle w:val="Compact"/>
      </w:pPr>
      <w:r>
        <w:t xml:space="preserve">Emissions from Non-Renewable Electricity = 1.5 kWh/unit * 0.589 kg CO2e/kWh = 0.884 kg CO2e/unit</w:t>
      </w:r>
    </w:p>
    <w:p>
      <w:pPr>
        <w:numPr>
          <w:ilvl w:val="1"/>
          <w:numId w:val="1015"/>
        </w:numPr>
        <w:pStyle w:val="Compact"/>
      </w:pPr>
      <w:r>
        <w:t xml:space="preserve">Emissions from Renewable Electricity = 3.5 kWh/unit * 0 kg CO2e/kWh (assuming zero-emission renewable source at point of generation) = 0 kg CO2e/unit</w:t>
      </w:r>
    </w:p>
    <w:p>
      <w:pPr>
        <w:numPr>
          <w:ilvl w:val="1"/>
          <w:numId w:val="1015"/>
        </w:numPr>
        <w:pStyle w:val="Compact"/>
      </w:pPr>
      <w:r>
        <w:rPr>
          <w:bCs/>
          <w:b/>
        </w:rPr>
        <w:t xml:space="preserve">Total Scope 2 Emissions = 0.884 kg CO2e/unit</w:t>
      </w:r>
    </w:p>
    <w:p>
      <w:pPr>
        <w:numPr>
          <w:ilvl w:val="0"/>
          <w:numId w:val="1014"/>
        </w:numPr>
        <w:pStyle w:val="Compact"/>
      </w:pPr>
      <w:r>
        <w:rPr>
          <w:bCs/>
          <w:b/>
        </w:rPr>
        <w:t xml:space="preserve">Scope 3 (Upstream - Purchased Goods and Services):</w:t>
      </w:r>
      <w:r>
        <w:t xml:space="preserve"> </w:t>
      </w:r>
      <w:r>
        <w:t xml:space="preserve">Emissions associated with the production of capital goods used in manufacturing (e.g., machinery, buildings) or any outsourced manufacturing steps. (Not explicitly quantified here due to lack of specific data, but acknowledged for completeness in Scope 3).</w:t>
      </w:r>
    </w:p>
    <w:bookmarkEnd w:id="32"/>
    <w:bookmarkStart w:id="33" w:name="Xc78fa9e95fdc5a4841e5055035e97eb6a5c3c11"/>
    <w:p>
      <w:pPr>
        <w:pStyle w:val="Heading4"/>
      </w:pPr>
      <w:r>
        <w:t xml:space="preserve">2.4.3. Transport &amp; Distribution (Scope 3 - Upstream &amp; Downstream)</w:t>
      </w:r>
    </w:p>
    <w:p>
      <w:pPr>
        <w:numPr>
          <w:ilvl w:val="0"/>
          <w:numId w:val="1016"/>
        </w:numPr>
        <w:pStyle w:val="Compact"/>
      </w:pPr>
      <w:r>
        <w:rPr>
          <w:bCs/>
          <w:b/>
        </w:rPr>
        <w:t xml:space="preserve">Upstream Transport (Raw Materials - Ocean Freight):</w:t>
      </w:r>
    </w:p>
    <w:p>
      <w:pPr>
        <w:numPr>
          <w:ilvl w:val="1"/>
          <w:numId w:val="1017"/>
        </w:numPr>
        <w:pStyle w:val="Compact"/>
      </w:pPr>
      <w:r>
        <w:t xml:space="preserve">Total Material Weight: 0.67 kg/unit = 0.00067 tonnes/unit</w:t>
      </w:r>
    </w:p>
    <w:p>
      <w:pPr>
        <w:numPr>
          <w:ilvl w:val="1"/>
          <w:numId w:val="1017"/>
        </w:numPr>
        <w:pStyle w:val="Compact"/>
      </w:pPr>
      <w:r>
        <w:t xml:space="preserve">Distance: 10,000 km</w:t>
      </w:r>
    </w:p>
    <w:p>
      <w:pPr>
        <w:numPr>
          <w:ilvl w:val="1"/>
          <w:numId w:val="1017"/>
        </w:numPr>
        <w:pStyle w:val="Compact"/>
      </w:pPr>
      <w:r>
        <w:t xml:space="preserve">Emissions = 0.00067 tonnes/unit * 10,000 km * 0.01 kg CO2e/tonne-km = 0.067 kg CO2e/unit</w:t>
      </w:r>
    </w:p>
    <w:p>
      <w:pPr>
        <w:numPr>
          <w:ilvl w:val="0"/>
          <w:numId w:val="1016"/>
        </w:numPr>
        <w:pStyle w:val="Compact"/>
      </w:pPr>
      <w:r>
        <w:rPr>
          <w:bCs/>
          <w:b/>
        </w:rPr>
        <w:t xml:space="preserve">Downstream Transport (Finished Product - Ocean Freight):</w:t>
      </w:r>
    </w:p>
    <w:p>
      <w:pPr>
        <w:numPr>
          <w:ilvl w:val="1"/>
          <w:numId w:val="1018"/>
        </w:numPr>
        <w:pStyle w:val="Compact"/>
      </w:pPr>
      <w:r>
        <w:t xml:space="preserve">Product Weight: 0.67 kg/unit = 0.00067 tonnes/unit</w:t>
      </w:r>
    </w:p>
    <w:p>
      <w:pPr>
        <w:numPr>
          <w:ilvl w:val="1"/>
          <w:numId w:val="1018"/>
        </w:numPr>
        <w:pStyle w:val="Compact"/>
      </w:pPr>
      <w:r>
        <w:t xml:space="preserve">Distance: 10,000 km</w:t>
      </w:r>
    </w:p>
    <w:p>
      <w:pPr>
        <w:numPr>
          <w:ilvl w:val="1"/>
          <w:numId w:val="1018"/>
        </w:numPr>
        <w:pStyle w:val="Compact"/>
      </w:pPr>
      <w:r>
        <w:t xml:space="preserve">Emissions = 0.00067 tonnes/unit * 10,000 km * 0.01 kg CO2e/tonne-km = 0.067 kg CO2e/unit</w:t>
      </w:r>
    </w:p>
    <w:p>
      <w:pPr>
        <w:numPr>
          <w:ilvl w:val="0"/>
          <w:numId w:val="1016"/>
        </w:numPr>
        <w:pStyle w:val="Compact"/>
      </w:pPr>
      <w:r>
        <w:rPr>
          <w:bCs/>
          <w:b/>
        </w:rPr>
        <w:t xml:space="preserve">Last-Mile Delivery (Parcel Delivery by Van):</w:t>
      </w:r>
    </w:p>
    <w:p>
      <w:pPr>
        <w:numPr>
          <w:ilvl w:val="1"/>
          <w:numId w:val="1019"/>
        </w:numPr>
        <w:pStyle w:val="Compact"/>
      </w:pPr>
      <w:r>
        <w:t xml:space="preserve">Distance: 500 km</w:t>
      </w:r>
    </w:p>
    <w:p>
      <w:pPr>
        <w:numPr>
          <w:ilvl w:val="1"/>
          <w:numId w:val="1019"/>
        </w:numPr>
        <w:pStyle w:val="Compact"/>
      </w:pPr>
      <w:r>
        <w:t xml:space="preserve">Emissions = 1 unit * 500 km * 0.15 kg CO2e/unit-km (assuming 1 parcel per unit, illustrative factor) = 75.0 kg CO2e/unit (This seems high for a product, indicating the need for specific parcel delivery factors or mass-distance for larger batches).</w:t>
      </w:r>
      <w:r>
        <w:t xml:space="preserve"> </w:t>
      </w:r>
      <w:r>
        <w:t xml:space="preserve">Let\'s re-evaluate for per-unit, per-km of delivery rather than per parcel-km. Assuming 0.15 kg CO2e/km for a van, and one delivery per unit, this would be an extremely high impact. A more realistic approach would be emissions per tonne-km for last-mile delivery, or an allocated share of a van\'s emissions. Given "Delivery Type" as a placeholder, I will use a conservative (potentially high) illustrative per-unit factor to highlight the potential impact.</w:t>
      </w:r>
      <w:r>
        <w:t xml:space="preserve"> </w:t>
      </w:r>
      <w:r>
        <w:t xml:space="preserve">Let\'s use a more reasonable illustrative factor for "Delivery Type" per product unit. Assuming 0.01 kg CO2e/km per kg of product, and 0.67 kg product and 500 km:</w:t>
      </w:r>
      <w:r>
        <w:t xml:space="preserve"> </w:t>
      </w:r>
      <w:r>
        <w:t xml:space="preserve">Emissions = 0.67 kg/unit * 500 km * 0.01 kg CO2e/kg-km = 3.35 kg CO2e/unit</w:t>
      </w:r>
    </w:p>
    <w:p>
      <w:pPr>
        <w:numPr>
          <w:ilvl w:val="0"/>
          <w:numId w:val="1016"/>
        </w:numPr>
        <w:pStyle w:val="Compact"/>
      </w:pPr>
      <w:r>
        <w:rPr>
          <w:bCs/>
          <w:b/>
        </w:rPr>
        <w:t xml:space="preserve">Total Transport &amp; Distribution Emissions = 0.067 (Inbound) + 0.067 (Outbound) + 3.35 (Last-Mile) = 3.484 kg CO2e/unit</w:t>
      </w:r>
    </w:p>
    <w:bookmarkEnd w:id="33"/>
    <w:bookmarkStart w:id="34" w:name="use-phase-scope-3---downstream"/>
    <w:p>
      <w:pPr>
        <w:pStyle w:val="Heading4"/>
      </w:pPr>
      <w:r>
        <w:t xml:space="preserve">2.4.4. Use Phase (Scope 3 - Downstream)</w:t>
      </w:r>
    </w:p>
    <w:p>
      <w:pPr>
        <w:numPr>
          <w:ilvl w:val="0"/>
          <w:numId w:val="1020"/>
        </w:numPr>
        <w:pStyle w:val="Compact"/>
      </w:pPr>
      <w:r>
        <w:t xml:space="preserve">Total Energy Consumption in Use: 50 kWh/unit</w:t>
      </w:r>
    </w:p>
    <w:p>
      <w:pPr>
        <w:numPr>
          <w:ilvl w:val="0"/>
          <w:numId w:val="1020"/>
        </w:numPr>
        <w:pStyle w:val="Compact"/>
      </w:pPr>
      <w:r>
        <w:t xml:space="preserve">Emissions = 50 kWh/unit * 0.25 kg CO2e/kWh (Europe average, illustrative) = 12.5 kg CO2e/unit</w:t>
      </w:r>
    </w:p>
    <w:bookmarkEnd w:id="34"/>
    <w:bookmarkStart w:id="35" w:name="end-of-life-eol-scope-3---downstream"/>
    <w:p>
      <w:pPr>
        <w:pStyle w:val="Heading4"/>
      </w:pPr>
      <w:r>
        <w:t xml:space="preserve">2.4.5. End-of-Life (EoL) (Scope 3 - Downstream)</w:t>
      </w:r>
    </w:p>
    <w:p>
      <w:pPr>
        <w:numPr>
          <w:ilvl w:val="0"/>
          <w:numId w:val="1021"/>
        </w:numPr>
        <w:pStyle w:val="Compact"/>
      </w:pPr>
      <w:r>
        <w:t xml:space="preserve">Product Weight: 0.67 kg/unit</w:t>
      </w:r>
    </w:p>
    <w:p>
      <w:pPr>
        <w:numPr>
          <w:ilvl w:val="0"/>
          <w:numId w:val="1021"/>
        </w:numPr>
        <w:pStyle w:val="Compact"/>
      </w:pPr>
      <w:r>
        <w:t xml:space="preserve">Recycled Portion: 0.67 kg/unit * 60% = 0.402 kg/unit</w:t>
      </w:r>
    </w:p>
    <w:p>
      <w:pPr>
        <w:numPr>
          <w:ilvl w:val="0"/>
          <w:numId w:val="1021"/>
        </w:numPr>
        <w:pStyle w:val="Compact"/>
      </w:pPr>
      <w:r>
        <w:t xml:space="preserve">Disposed Portion: 0.67 kg/unit * 40% = 0.268 kg/unit</w:t>
      </w:r>
    </w:p>
    <w:p>
      <w:pPr>
        <w:numPr>
          <w:ilvl w:val="0"/>
          <w:numId w:val="1021"/>
        </w:numPr>
        <w:pStyle w:val="Compact"/>
      </w:pPr>
      <w:r>
        <w:t xml:space="preserve">Emissions from Recycling (avoided): 0.402 kg/unit * (-0.5 kg CO2e/kg) = -0.201 kg CO2e/unit (assuming recycling avoids emissions from virgin material production)</w:t>
      </w:r>
    </w:p>
    <w:p>
      <w:pPr>
        <w:numPr>
          <w:ilvl w:val="0"/>
          <w:numId w:val="1021"/>
        </w:numPr>
        <w:pStyle w:val="Compact"/>
      </w:pPr>
      <w:r>
        <w:t xml:space="preserve">Emissions from Disposal: 0.268 kg/unit * 0.5 kg CO2e/kg = 0.134 kg CO2e/unit</w:t>
      </w:r>
    </w:p>
    <w:p>
      <w:pPr>
        <w:numPr>
          <w:ilvl w:val="0"/>
          <w:numId w:val="1021"/>
        </w:numPr>
        <w:pStyle w:val="Compact"/>
      </w:pPr>
      <w:r>
        <w:rPr>
          <w:bCs/>
          <w:b/>
        </w:rPr>
        <w:t xml:space="preserve">Total EoL Emissions = -0.201 + 0.134 = -0.067 kg CO2e/unit (Net Carbon Sink from EoL due to high recyclability assumed)</w:t>
      </w:r>
    </w:p>
    <w:bookmarkEnd w:id="35"/>
    <w:bookmarkStart w:id="36" w:name="X299a3717db401fbc63eac38de0814f3ad8939f4"/>
    <w:p>
      <w:pPr>
        <w:pStyle w:val="Heading4"/>
      </w:pPr>
      <w:r>
        <w:t xml:space="preserve">2.4.6.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3.310</w:t>
            </w:r>
          </w:p>
        </w:tc>
      </w:tr>
      <w:tr>
        <w:tc>
          <w:tcPr/>
          <w:p>
            <w:pPr>
              <w:pStyle w:val="Compact"/>
              <w:jc w:val="left"/>
            </w:pPr>
            <w:r>
              <w:t xml:space="preserve">Manufacturing (Scope 1 Direct)</w:t>
            </w:r>
          </w:p>
        </w:tc>
        <w:tc>
          <w:tcPr/>
          <w:p>
            <w:pPr>
              <w:pStyle w:val="Compact"/>
              <w:jc w:val="left"/>
            </w:pPr>
            <w:r>
              <w:t xml:space="preserve">Scope 1</w:t>
            </w:r>
          </w:p>
        </w:tc>
        <w:tc>
          <w:tcPr/>
          <w:p>
            <w:pPr>
              <w:pStyle w:val="Compact"/>
              <w:jc w:val="left"/>
            </w:pPr>
            <w:r>
              <w:t xml:space="preserve">0.000 (assumed negligible)</w:t>
            </w:r>
          </w:p>
        </w:tc>
      </w:tr>
      <w:tr>
        <w:tc>
          <w:tcPr/>
          <w:p>
            <w:pPr>
              <w:pStyle w:val="Compact"/>
              <w:jc w:val="left"/>
            </w:pPr>
            <w:r>
              <w:t xml:space="preserve">Manufacturing (Scope 2 Electricity)</w:t>
            </w:r>
          </w:p>
        </w:tc>
        <w:tc>
          <w:tcPr/>
          <w:p>
            <w:pPr>
              <w:pStyle w:val="Compact"/>
              <w:jc w:val="left"/>
            </w:pPr>
            <w:r>
              <w:t xml:space="preserve">Scope 2</w:t>
            </w:r>
          </w:p>
        </w:tc>
        <w:tc>
          <w:tcPr/>
          <w:p>
            <w:pPr>
              <w:pStyle w:val="Compact"/>
              <w:jc w:val="left"/>
            </w:pPr>
            <w:r>
              <w:t xml:space="preserve">0.884</w:t>
            </w:r>
          </w:p>
        </w:tc>
      </w:tr>
      <w:tr>
        <w:tc>
          <w:tcPr/>
          <w:p>
            <w:pPr>
              <w:pStyle w:val="Compact"/>
              <w:jc w:val="left"/>
            </w:pPr>
            <w:r>
              <w:t xml:space="preserve">Transport &amp; Distribution (Upstream)</w:t>
            </w:r>
          </w:p>
        </w:tc>
        <w:tc>
          <w:tcPr/>
          <w:p>
            <w:pPr>
              <w:pStyle w:val="Compact"/>
              <w:jc w:val="left"/>
            </w:pPr>
            <w:r>
              <w:t xml:space="preserve">Scope 3 (Upstream)</w:t>
            </w:r>
          </w:p>
        </w:tc>
        <w:tc>
          <w:tcPr/>
          <w:p>
            <w:pPr>
              <w:pStyle w:val="Compact"/>
              <w:jc w:val="left"/>
            </w:pPr>
            <w:r>
              <w:t xml:space="preserve">0.067</w:t>
            </w:r>
          </w:p>
        </w:tc>
      </w:tr>
      <w:tr>
        <w:tc>
          <w:tcPr/>
          <w:p>
            <w:pPr>
              <w:pStyle w:val="Compact"/>
              <w:jc w:val="left"/>
            </w:pPr>
            <w:r>
              <w:t xml:space="preserve">Transport &amp; Distribution (Downstream)</w:t>
            </w:r>
          </w:p>
        </w:tc>
        <w:tc>
          <w:tcPr/>
          <w:p>
            <w:pPr>
              <w:pStyle w:val="Compact"/>
              <w:jc w:val="left"/>
            </w:pPr>
            <w:r>
              <w:t xml:space="preserve">Scope 3 (Downstream)</w:t>
            </w:r>
          </w:p>
        </w:tc>
        <w:tc>
          <w:tcPr/>
          <w:p>
            <w:pPr>
              <w:pStyle w:val="Compact"/>
              <w:jc w:val="left"/>
            </w:pPr>
            <w:r>
              <w:t xml:space="preserve">3.417 (Outbound + Last-Mile)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-0.067</w:t>
            </w:r>
          </w:p>
        </w:tc>
      </w:tr>
      <w:tr>
        <w:tc>
          <w:tcPr>
            <w:gridSpan w:val="2"/>
          </w:tcPr>
          <w:p>
            <w:pPr>
              <w:pStyle w:val="Compact"/>
              <w:jc w:val="right"/>
            </w:pPr>
            <w:r>
              <w:rPr>
                <w:bCs/>
                <w:b/>
              </w:rPr>
              <w:t xml:space="preserve">TOTAL PCF:</w:t>
            </w:r>
          </w:p>
        </w:tc>
        <w:tc>
          <w:tcPr/>
          <w:p>
            <w:pPr>
              <w:pStyle w:val="Compact"/>
              <w:jc w:val="left"/>
            </w:pPr>
            <w:r>
              <w:rPr>
                <w:bCs/>
                <w:b/>
              </w:rPr>
              <w:t xml:space="preserve">19.111 kg CO2e/unit</w:t>
            </w:r>
          </w:p>
        </w:tc>
      </w:tr>
    </w:tbl>
    <w:bookmarkEnd w:id="36"/>
    <w:bookmarkStart w:id="37" w:name="emissions-by-ghg-protocol-scope"/>
    <w:p>
      <w:pPr>
        <w:pStyle w:val="Heading4"/>
      </w:pPr>
      <w:r>
        <w:t xml:space="preserve">2.4.7.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0.884</w:t>
            </w:r>
          </w:p>
        </w:tc>
        <w:tc>
          <w:tcPr/>
          <w:p>
            <w:pPr>
              <w:pStyle w:val="Compact"/>
              <w:jc w:val="left"/>
            </w:pPr>
            <w:r>
              <w:t xml:space="preserve">4.6%</w:t>
            </w:r>
          </w:p>
        </w:tc>
      </w:tr>
      <w:tr>
        <w:tc>
          <w:tcPr/>
          <w:p>
            <w:pPr>
              <w:pStyle w:val="Compact"/>
              <w:jc w:val="left"/>
            </w:pPr>
            <w:r>
              <w:t xml:space="preserve">Scope 3 (Value Chain - Upstream)</w:t>
            </w:r>
          </w:p>
        </w:tc>
        <w:tc>
          <w:tcPr/>
          <w:p>
            <w:pPr>
              <w:pStyle w:val="Compact"/>
              <w:jc w:val="left"/>
            </w:pPr>
            <w:r>
              <w:t xml:space="preserve">3.377</w:t>
            </w:r>
          </w:p>
        </w:tc>
        <w:tc>
          <w:tcPr/>
          <w:p>
            <w:pPr>
              <w:pStyle w:val="Compact"/>
              <w:jc w:val="left"/>
            </w:pPr>
            <w:r>
              <w:t xml:space="preserve">17.7%</w:t>
            </w:r>
          </w:p>
        </w:tc>
      </w:tr>
      <w:tr>
        <w:tc>
          <w:tcPr/>
          <w:p>
            <w:pPr>
              <w:pStyle w:val="Compact"/>
              <w:jc w:val="left"/>
            </w:pPr>
            <w:r>
              <w:t xml:space="preserve">Scope 3 (Value Chain - Downstream)</w:t>
            </w:r>
          </w:p>
        </w:tc>
        <w:tc>
          <w:tcPr/>
          <w:p>
            <w:pPr>
              <w:pStyle w:val="Compact"/>
              <w:jc w:val="left"/>
            </w:pPr>
            <w:r>
              <w:t xml:space="preserve">15.849</w:t>
            </w:r>
          </w:p>
        </w:tc>
        <w:tc>
          <w:tcPr/>
          <w:p>
            <w:pPr>
              <w:pStyle w:val="Compact"/>
              <w:jc w:val="left"/>
            </w:pPr>
            <w:r>
              <w:t xml:space="preserve">77.7%</w:t>
            </w:r>
          </w:p>
        </w:tc>
      </w:tr>
      <w:tr>
        <w:tc>
          <w:tcPr>
            <w:gridSpan w:val="2"/>
          </w:tcPr>
          <w:p>
            <w:pPr>
              <w:pStyle w:val="Compact"/>
              <w:jc w:val="right"/>
            </w:pPr>
            <w:r>
              <w:rPr>
                <w:bCs/>
                <w:b/>
              </w:rPr>
              <w:t xml:space="preserve">TOTAL PCF:</w:t>
            </w:r>
          </w:p>
        </w:tc>
        <w:tc>
          <w:tcPr/>
          <w:p>
            <w:pPr>
              <w:pStyle w:val="Compact"/>
              <w:jc w:val="left"/>
            </w:pPr>
            <w:r>
              <w:rPr>
                <w:bCs/>
                <w:b/>
              </w:rPr>
              <w:t xml:space="preserve">19.111 kg CO2e/unit</w:t>
            </w:r>
          </w:p>
        </w:tc>
      </w:tr>
    </w:tbl>
    <w:p>
      <w:pPr>
        <w:pStyle w:val="BodyText"/>
      </w:pPr>
      <w:r>
        <w:rPr>
          <w:iCs/>
          <w:i/>
        </w:rPr>
        <w:t xml:space="preserve">Note: Percentages may not sum to 100% due to rounding and the negative EoL value. Scope 3 accounts for a significant majority of the product\'s footprint, a common trend for manufactured goods.</w:t>
      </w:r>
    </w:p>
    <w:bookmarkEnd w:id="37"/>
    <w:bookmarkEnd w:id="38"/>
    <w:bookmarkStart w:id="39" w:name="review-report"/>
    <w:p>
      <w:pPr>
        <w:pStyle w:val="Heading3"/>
      </w:pPr>
      <w:r>
        <w:t xml:space="preserve">2.5. Review &amp; Report</w:t>
      </w:r>
    </w:p>
    <w:p>
      <w:pPr>
        <w:pStyle w:val="FirstParagraph"/>
      </w:pPr>
      <w:r>
        <w:t xml:space="preserve">The analysis provides a comprehensive overview of the product\'s carbon footprint. Hotspots are identified, and data reliability is discussed.</w:t>
      </w:r>
    </w:p>
    <w:bookmarkEnd w:id="39"/>
    <w:bookmarkEnd w:id="40"/>
    <w:bookmarkStart w:id="43" w:name="detailed-results-analysis"/>
    <w:p>
      <w:pPr>
        <w:pStyle w:val="Heading2"/>
      </w:pPr>
      <w:r>
        <w:t xml:space="preserve">3. Detailed Results &amp; Analysis</w:t>
      </w:r>
    </w:p>
    <w:bookmarkStart w:id="41" w:name="identified-hotspots"/>
    <w:p>
      <w:pPr>
        <w:pStyle w:val="Heading3"/>
      </w:pPr>
      <w:r>
        <w:t xml:space="preserve">3.1. Identified Hotspots</w:t>
      </w:r>
    </w:p>
    <w:p>
      <w:pPr>
        <w:pStyle w:val="FirstParagraph"/>
      </w:pPr>
      <w:r>
        <w:t xml:space="preserve">Based on the calculations, the primary emission hotspots for "eiqejoswlq" are:</w:t>
      </w:r>
    </w:p>
    <w:p>
      <w:pPr>
        <w:numPr>
          <w:ilvl w:val="0"/>
          <w:numId w:val="1022"/>
        </w:numPr>
        <w:pStyle w:val="Compact"/>
      </w:pPr>
      <w:r>
        <w:rPr>
          <w:bCs/>
          <w:b/>
        </w:rPr>
        <w:t xml:space="preserve">Use Phase (65.4%):</w:t>
      </w:r>
      <w:r>
        <w:t xml:space="preserve"> </w:t>
      </w:r>
      <w:r>
        <w:t xml:space="preserve">Energy consumption during the product\'s 5-year lifespan contributes the most significantly to the total PCF.</w:t>
      </w:r>
    </w:p>
    <w:p>
      <w:pPr>
        <w:numPr>
          <w:ilvl w:val="0"/>
          <w:numId w:val="1022"/>
        </w:numPr>
        <w:pStyle w:val="Compact"/>
      </w:pPr>
      <w:r>
        <w:rPr>
          <w:bCs/>
          <w:b/>
        </w:rPr>
        <w:t xml:space="preserve">Raw Material Acquisition &amp; Pre-processing (17.3%):</w:t>
      </w:r>
      <w:r>
        <w:t xml:space="preserve"> </w:t>
      </w:r>
      <w:r>
        <w:t xml:space="preserve">The production of materials like plastics, electronics (circuit board, battery), and metals contributes substantially.</w:t>
      </w:r>
    </w:p>
    <w:p>
      <w:pPr>
        <w:numPr>
          <w:ilvl w:val="0"/>
          <w:numId w:val="1022"/>
        </w:numPr>
        <w:pStyle w:val="Compact"/>
      </w:pPr>
      <w:r>
        <w:rPr>
          <w:bCs/>
          <w:b/>
        </w:rPr>
        <w:t xml:space="preserve">Downstream Transport &amp; Distribution (17.8%):</w:t>
      </w:r>
      <w:r>
        <w:t xml:space="preserve"> </w:t>
      </w:r>
      <w:r>
        <w:t xml:space="preserve">Last-mile delivery accounts for a notable portion, indicating the impact of product distribution.</w:t>
      </w:r>
    </w:p>
    <w:bookmarkEnd w:id="41"/>
    <w:bookmarkStart w:id="42" w:name="data-reliability-and-limitations"/>
    <w:p>
      <w:pPr>
        <w:pStyle w:val="Heading3"/>
      </w:pPr>
      <w:r>
        <w:t xml:space="preserve">3.2. Data Reliability and Limitations</w:t>
      </w:r>
    </w:p>
    <w:p>
      <w:pPr>
        <w:pStyle w:val="FirstParagraph"/>
      </w:pPr>
      <w:r>
        <w:t xml:space="preserve">The reliability of this PCF analysis is contingent on the accuracy and completeness of the input data. While specific parameters were provided, the emission factors used for materials, transport, and energy are illustrative, derived from publicly available data (e.g., IEA, generalized DEFRA-like values) and not from specific supplier-provided (primary) data or direct Ecoinvent/DEFRA database access. This introduces a level of uncertainty. For future, more precise reporting, pgudvrlrvx should prioritize collecting primary data from its supply chain partners. The GHG Protocol Scope 3 revisions in 2026 emphasize disaggregation of emissions data by type, moving away from estimates towards more evidence-based reporting.</w:t>
      </w:r>
    </w:p>
    <w:bookmarkEnd w:id="42"/>
    <w:bookmarkEnd w:id="43"/>
    <w:bookmarkStart w:id="44" w:name="recommendations"/>
    <w:p>
      <w:pPr>
        <w:pStyle w:val="Heading2"/>
      </w:pPr>
      <w:r>
        <w:t xml:space="preserve">4. Recommendations</w:t>
      </w:r>
    </w:p>
    <w:p>
      <w:pPr>
        <w:pStyle w:val="FirstParagraph"/>
      </w:pPr>
      <w:r>
        <w:t xml:space="preserve">As qpqfufwdlw, Senior Sustainability Consultant, I recommend the following actions for pgudvrlrvx to reduce the carbon footprint of "eiqejoswlq":</w:t>
      </w:r>
    </w:p>
    <w:p>
      <w:pPr>
        <w:numPr>
          <w:ilvl w:val="0"/>
          <w:numId w:val="1023"/>
        </w:numPr>
        <w:pStyle w:val="Compact"/>
      </w:pPr>
      <w:r>
        <w:rPr>
          <w:bCs/>
          <w:b/>
        </w:rPr>
        <w:t xml:space="preserve">Optimize Use Phase Efficiency:</w:t>
      </w:r>
    </w:p>
    <w:p>
      <w:pPr>
        <w:numPr>
          <w:ilvl w:val="1"/>
          <w:numId w:val="1024"/>
        </w:numPr>
        <w:pStyle w:val="Compact"/>
      </w:pPr>
      <w:r>
        <w:t xml:space="preserve">Invest in research and development to reduce the product\'s energy consumption during its use phase (zxlokpxvtw).</w:t>
      </w:r>
    </w:p>
    <w:p>
      <w:pPr>
        <w:numPr>
          <w:ilvl w:val="1"/>
          <w:numId w:val="1024"/>
        </w:numPr>
        <w:pStyle w:val="Compact"/>
      </w:pPr>
      <w:r>
        <w:t xml:space="preserve">Explore options for extending the product\'s lifespan (fveohjedmh) through modular design, repairability, or software updates, thereby amortizing production emissions over a longer period.</w:t>
      </w:r>
    </w:p>
    <w:p>
      <w:pPr>
        <w:numPr>
          <w:ilvl w:val="0"/>
          <w:numId w:val="1023"/>
        </w:numPr>
        <w:pStyle w:val="Compact"/>
      </w:pPr>
      <w:r>
        <w:rPr>
          <w:bCs/>
          <w:b/>
        </w:rPr>
        <w:t xml:space="preserve">Sustainable Material Sourcing:</w:t>
      </w:r>
    </w:p>
    <w:p>
      <w:pPr>
        <w:numPr>
          <w:ilvl w:val="1"/>
          <w:numId w:val="1025"/>
        </w:numPr>
        <w:pStyle w:val="Compact"/>
      </w:pPr>
      <w:r>
        <w:t xml:space="preserve">Engage with suppliers to source lower-carbon intensity materials, including those with higher recycled content.</w:t>
      </w:r>
    </w:p>
    <w:p>
      <w:pPr>
        <w:numPr>
          <w:ilvl w:val="1"/>
          <w:numId w:val="1025"/>
        </w:numPr>
        <w:pStyle w:val="Compact"/>
      </w:pPr>
      <w:r>
        <w:t xml:space="preserve">Investigate alternative materials for the plastic casing, circuit board, and battery components that have a lower inherent carbon footprint.</w:t>
      </w:r>
    </w:p>
    <w:p>
      <w:pPr>
        <w:numPr>
          <w:ilvl w:val="0"/>
          <w:numId w:val="1023"/>
        </w:numPr>
        <w:pStyle w:val="Compact"/>
      </w:pPr>
      <w:r>
        <w:rPr>
          <w:bCs/>
          <w:b/>
        </w:rPr>
        <w:t xml:space="preserve">Green Manufacturing Practices:</w:t>
      </w:r>
    </w:p>
    <w:p>
      <w:pPr>
        <w:numPr>
          <w:ilvl w:val="1"/>
          <w:numId w:val="1026"/>
        </w:numPr>
        <w:pStyle w:val="Compact"/>
      </w:pPr>
      <w:r>
        <w:t xml:space="preserve">Increase the percentage of renewable energy usage (odvhqhlflm) at the manufacturing facility beyond the current 70%.</w:t>
      </w:r>
    </w:p>
    <w:p>
      <w:pPr>
        <w:numPr>
          <w:ilvl w:val="1"/>
          <w:numId w:val="1026"/>
        </w:numPr>
        <w:pStyle w:val="Compact"/>
      </w:pPr>
      <w:r>
        <w:t xml:space="preserve">Implement energy efficiency measures to reduce overall energy intensity (eoiyypwzpu) in production.</w:t>
      </w:r>
    </w:p>
    <w:p>
      <w:pPr>
        <w:numPr>
          <w:ilvl w:val="0"/>
          <w:numId w:val="1023"/>
        </w:numPr>
        <w:pStyle w:val="Compact"/>
      </w:pPr>
      <w:r>
        <w:rPr>
          <w:bCs/>
          <w:b/>
        </w:rPr>
        <w:t xml:space="preserve">Logistics Optimization:</w:t>
      </w:r>
    </w:p>
    <w:p>
      <w:pPr>
        <w:numPr>
          <w:ilvl w:val="1"/>
          <w:numId w:val="1027"/>
        </w:numPr>
        <w:pStyle w:val="Compact"/>
      </w:pPr>
      <w:r>
        <w:t xml:space="preserve">Evaluate more efficient transport modes and routes for both inbound and outbound logistics, potentially leveraging rail or shorter sea routes where feasible for European distribution.</w:t>
      </w:r>
    </w:p>
    <w:p>
      <w:pPr>
        <w:numPr>
          <w:ilvl w:val="1"/>
          <w:numId w:val="1027"/>
        </w:numPr>
        <w:pStyle w:val="Compact"/>
      </w:pPr>
      <w:r>
        <w:t xml:space="preserve">Explore consolidated shipments and optimized delivery networks for last-mile delivery to reduce per-unit emissions.</w:t>
      </w:r>
    </w:p>
    <w:p>
      <w:pPr>
        <w:numPr>
          <w:ilvl w:val="0"/>
          <w:numId w:val="1023"/>
        </w:numPr>
        <w:pStyle w:val="Compact"/>
      </w:pPr>
      <w:r>
        <w:rPr>
          <w:bCs/>
          <w:b/>
        </w:rPr>
        <w:t xml:space="preserve">Enhance Circular Economy Initiatives:</w:t>
      </w:r>
    </w:p>
    <w:p>
      <w:pPr>
        <w:numPr>
          <w:ilvl w:val="1"/>
          <w:numId w:val="1028"/>
        </w:numPr>
        <w:pStyle w:val="Compact"/>
      </w:pPr>
      <w:r>
        <w:t xml:space="preserve">Strengthen existing circular/take-back programs (fdtskehmkp) to maximize product recovery and material recycling.</w:t>
      </w:r>
    </w:p>
    <w:p>
      <w:pPr>
        <w:numPr>
          <w:ilvl w:val="1"/>
          <w:numId w:val="1028"/>
        </w:numPr>
        <w:pStyle w:val="Compact"/>
      </w:pPr>
      <w:r>
        <w:t xml:space="preserve">Work towards increasing the recyclability percentage (qkooomlxtt) of the product components, and ensure proper infrastructure exists for recycling in key markets.</w:t>
      </w:r>
    </w:p>
    <w:p>
      <w:pPr>
        <w:numPr>
          <w:ilvl w:val="0"/>
          <w:numId w:val="1023"/>
        </w:numPr>
        <w:pStyle w:val="Compact"/>
      </w:pPr>
      <w:r>
        <w:rPr>
          <w:bCs/>
          <w:b/>
        </w:rPr>
        <w:t xml:space="preserve">Data Improvement:</w:t>
      </w:r>
    </w:p>
    <w:p>
      <w:pPr>
        <w:numPr>
          <w:ilvl w:val="1"/>
          <w:numId w:val="1029"/>
        </w:numPr>
        <w:pStyle w:val="Compact"/>
      </w:pPr>
      <w:r>
        <w:t xml:space="preserve">Prioritize collecting primary, activity-based data from upstream and downstream partners to improve the accuracy of future PCF analyses and ensure compliance with evolving GHG Protocol Scope 3 requirements for data disaggregation.</w:t>
      </w:r>
    </w:p>
    <w:bookmarkEnd w:id="44"/>
    <w:bookmarkStart w:id="45" w:name="disclaimer"/>
    <w:p>
      <w:pPr>
        <w:pStyle w:val="Heading2"/>
      </w:pPr>
      <w:r>
        <w:t xml:space="preserve">5. Disclaimer</w:t>
      </w:r>
    </w:p>
    <w:p>
      <w:pPr>
        <w:pStyle w:val="FirstParagraph"/>
      </w:pPr>
      <w:r>
        <w:t xml:space="preserve">This report is provided for informational and illustrative purposes only. The calculations and conclusions are based on the parameters and generalized emission factors provided or assumed for demonstration. While efforts have been made to adhere to GHG Protocol standards, specific, auditable, and verifiable reporting requires detailed primary data collection across the entire value chain and the application of validated, up-to-date emission factors from recognized databases (e.g., Ecoinvent, DEFRA). pgudvrlrvx should consult with qualified experts for official GHG inventory reporting and verification.</w:t>
      </w:r>
    </w:p>
    <w:p>
      <w:r>
        <w:pict>
          <v:rect style="width:0;height:1.5pt" o:hralign="center" o:hrstd="t" o:hr="t"/>
        </w:pict>
      </w:r>
    </w:p>
    <w:p>
      <w:pPr>
        <w:pStyle w:val="FirstParagraph"/>
      </w:pPr>
      <w:r>
        <w:t xml:space="preserve">Confidential - Internal Use Only</w:t>
      </w:r>
    </w:p>
    <w:p>
      <w:pPr>
        <w:pStyle w:val="BodyText"/>
      </w:pPr>
      <w:r>
        <w:t xml:space="preserve">© 2026 pgudvrlrvx. All rights reserved.</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eiqejoswlq</dc:title>
  <dc:creator/>
  <dc:description>Detailed Product Carbon Footprint (PCF) analysis report for eiqejoswlq, performed by Senior Sustainability Consultant qpqfufwdlw for pgudvrlrvx, adhering to GHG Protocol standards and 2026 updates.</dc:description>
  <dc:language>en</dc:language>
  <cp:keywords/>
  <dcterms:created xsi:type="dcterms:W3CDTF">2026-07-15T03:57:04Z</dcterms:created>
  <dcterms:modified xsi:type="dcterms:W3CDTF">2026-07-15T03:57:04Z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