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EcoGadget</w:t>
      </w:r>
      <w:r>
        <w:t xml:space="preserve"> </w:t>
      </w:r>
      <w:r>
        <w:t xml:space="preserve">Pro</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vohxiqslnt-ecogadget-pro"/>
    <w:p>
      <w:pPr>
        <w:pStyle w:val="Heading2"/>
      </w:pPr>
      <w:r>
        <w:t xml:space="preserve">For Product: vohxiqslnt (EcoGadget Pro)</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guphvorrru (InnovateCo)</w:t>
      </w:r>
    </w:p>
    <w:p>
      <w:pPr>
        <w:pStyle w:val="BodyText"/>
      </w:pPr>
      <w:r>
        <w:rPr>
          <w:bCs/>
          <w:b/>
        </w:rPr>
        <w:t xml:space="preserve">Senior Sustainability Consultant:</w:t>
      </w:r>
      <w:r>
        <w:t xml:space="preserve"> </w:t>
      </w:r>
      <w:r>
        <w:t xml:space="preserve">enlkftmpze (Dr. Anya Sharma)</w:t>
      </w:r>
    </w:p>
    <w:p>
      <w:pPr>
        <w:pStyle w:val="BodyText"/>
      </w:pPr>
      <w:r>
        <w:t xml:space="preserve">Disclaimer: This report is generated based on available data and industry standards, providing an estimation of the product\'s carbon footprint.</w:t>
      </w:r>
    </w:p>
    <w:bookmarkEnd w:id="20"/>
    <w:bookmarkEnd w:id="21"/>
    <w:bookmarkStart w:id="22" w:name="X931a949e69331479db6d4f8090662d1598bfe7d"/>
    <w:p>
      <w:pPr>
        <w:pStyle w:val="Heading1"/>
      </w:pPr>
      <w:r>
        <w:t xml:space="preserve">Product Carbon Footprint Analysis Report: vohxiqslnt (EcoGadget Pro)</w:t>
      </w:r>
    </w:p>
    <w:p>
      <w:pPr>
        <w:pStyle w:val="FirstParagraph"/>
      </w:pPr>
      <w:r>
        <w:t xml:space="preserve">Generated Date: Thursday, May 21,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vohxiqslnt (EcoGadget Pro)</w:t>
      </w:r>
      <w:r>
        <w:t xml:space="preserve"> </w:t>
      </w:r>
      <w:r>
        <w:t xml:space="preserve">manufactured by</w:t>
      </w:r>
      <w:r>
        <w:t xml:space="preserve"> </w:t>
      </w:r>
      <w:r>
        <w:rPr>
          <w:bCs/>
          <w:b/>
        </w:rPr>
        <w:t xml:space="preserve">guphvorrru (InnovateCo)</w:t>
      </w:r>
      <w:r>
        <w:t xml:space="preserve">. Conducted by</w:t>
      </w:r>
      <w:r>
        <w:t xml:space="preserve"> </w:t>
      </w:r>
      <w:r>
        <w:rPr>
          <w:bCs/>
          <w:b/>
        </w:rPr>
        <w:t xml:space="preserve">enlkftmpze (Dr. Anya Sharma)</w:t>
      </w:r>
      <w:r>
        <w:t xml:space="preserve">, Senior Sustainability Consultant, this assessment adheres strictly to the GHG Protocol Product Life Cycle Accounting and Reporting Standard. The analysis covers the full lifecycle from raw material acquisition to end-of-life, with a system boundary set at \'factory_gate\' for initial production and a geographic scope focusing on China for final production and Europe for the supply chain. Key findings identify the use phase as the primary hotspot due to energy consumption over the product\'s lifespan. This report aims to provide actionable insights for emission reduction strategies and to ensure compliance with evolving sustainability reporting requirements, including the 2026 Land Sector and Removals (LSR) Standard update and stringent Scope 3 coverage mandates.</w:t>
      </w:r>
    </w:p>
    <w:p>
      <w:r>
        <w:pict>
          <v:rect style="width:0;height:1.5pt" o:hralign="center" o:hrstd="t" o:hr="t"/>
        </w:pict>
      </w:r>
    </w:p>
    <w:bookmarkEnd w:id="23"/>
    <w:bookmarkStart w:id="35" w:name="methodology"/>
    <w:p>
      <w:pPr>
        <w:pStyle w:val="Heading2"/>
      </w:pPr>
      <w:r>
        <w:t xml:space="preserve">Methodology</w:t>
      </w:r>
    </w:p>
    <w:p>
      <w:pPr>
        <w:pStyle w:val="FirstParagraph"/>
      </w:pPr>
      <w:r>
        <w:t xml:space="preserve">The Product Carbon Footprint (PCF) analysis for vohxiqslnt (EcoGadget Pro) was performed following the five-step methodology outlined below, in strict adherence to the GHG Protocol Product Life Cycle Accounting and Reporting Standard. Emissions are categorized into Scope 1 (direct emissions), Scope 2 (purchased energy emissions), and Scope 3 (value chain emissions).</w:t>
      </w:r>
    </w:p>
    <w:p>
      <w:pPr>
        <w:numPr>
          <w:ilvl w:val="0"/>
          <w:numId w:val="1001"/>
        </w:numPr>
        <w:pStyle w:val="Heading3"/>
      </w:pPr>
      <w:bookmarkStart w:id="24" w:name="define-scope"/>
      <w:r>
        <w:t xml:space="preserve">1. Define Scope</w:t>
      </w:r>
      <w:bookmarkEnd w:id="24"/>
    </w:p>
    <w:p>
      <w:pPr>
        <w:numPr>
          <w:ilvl w:val="1"/>
          <w:numId w:val="1002"/>
        </w:numPr>
        <w:pStyle w:val="Compact"/>
      </w:pPr>
      <w:r>
        <w:rPr>
          <w:bCs/>
          <w:b/>
        </w:rPr>
        <w:t xml:space="preserve">Functional Unit:</w:t>
      </w:r>
      <w:r>
        <w:t xml:space="preserve"> </w:t>
      </w:r>
      <w:r>
        <w:t xml:space="preserve">1.0 unit of vohxiqslnt (EcoGadget Pro)</w:t>
      </w:r>
    </w:p>
    <w:p>
      <w:pPr>
        <w:numPr>
          <w:ilvl w:val="1"/>
          <w:numId w:val="1002"/>
        </w:numPr>
        <w:pStyle w:val="Compact"/>
      </w:pPr>
      <w:r>
        <w:rPr>
          <w:bCs/>
          <w:b/>
        </w:rPr>
        <w:t xml:space="preserve">System Boundary:</w:t>
      </w:r>
      <w:r>
        <w:t xml:space="preserve"> </w:t>
      </w:r>
      <w:r>
        <w:t xml:space="preserve">factory_gate - This cradle-to-gate assessment focuses on the emissions up to the point the product leaves the manufacturing facility. However, for a comprehensive view, and to comply with evolving standards, downstream phases (Use and End-of-Life) are also analyzed and reported as part of Scope 3.</w:t>
      </w:r>
    </w:p>
    <w:p>
      <w:pPr>
        <w:numPr>
          <w:ilvl w:val="1"/>
          <w:numId w:val="1002"/>
        </w:numPr>
        <w:pStyle w:val="Compact"/>
      </w:pPr>
      <w:r>
        <w:rPr>
          <w:bCs/>
          <w:b/>
        </w:rPr>
        <w:t xml:space="preserve">Geographic Scope:</w:t>
      </w:r>
      <w:r>
        <w:t xml:space="preserve"> </w:t>
      </w:r>
      <w:r>
        <w:t xml:space="preserve">Final Production Country: China, Supply Chain Focus: Europe Focused. This dictates the regional electricity grid emission factors and transport emission factors used.</w:t>
      </w:r>
    </w:p>
    <w:p>
      <w:pPr>
        <w:numPr>
          <w:ilvl w:val="1"/>
          <w:numId w:val="1002"/>
        </w:numPr>
        <w:pStyle w:val="Compact"/>
      </w:pPr>
      <w:r>
        <w:rPr>
          <w:bCs/>
          <w:b/>
        </w:rPr>
        <w:t xml:space="preserve">Allocation:</w:t>
      </w:r>
      <w:r>
        <w:t xml:space="preserve"> </w:t>
      </w:r>
      <w:r>
        <w:t xml:space="preserve">For multi-output processes, allocation of environmental burdens is primarily done on a mass basis where appropriate, assuming the functional unit represents the primary output. Where specific data (like the provided BOM\'s Total Carbon) is available for an item, it is used directly.</w:t>
      </w:r>
    </w:p>
    <w:p>
      <w:pPr>
        <w:numPr>
          <w:ilvl w:val="1"/>
          <w:numId w:val="1002"/>
        </w:numPr>
        <w:pStyle w:val="Compact"/>
      </w:pPr>
      <w:r>
        <w:rPr>
          <w:bCs/>
          <w:b/>
        </w:rPr>
        <w:t xml:space="preserve">Accounting Standard:</w:t>
      </w:r>
      <w:r>
        <w:t xml:space="preserve"> </w:t>
      </w:r>
      <w:r>
        <w:t xml:space="preserve">GHG Protocol Product Life Cycle Accounting and Reporting Standard. This framework ensures comprehensive and transparent reporting of greenhouse gas emissions across the product\'s lifecycle.</w:t>
      </w:r>
    </w:p>
    <w:p>
      <w:pPr>
        <w:numPr>
          <w:ilvl w:val="1"/>
          <w:numId w:val="1002"/>
        </w:numPr>
        <w:pStyle w:val="Compact"/>
      </w:pPr>
      <w:r>
        <w:rPr>
          <w:bCs/>
          <w:b/>
        </w:rPr>
        <w:t xml:space="preserve">GHG Protocol Categorization:</w:t>
      </w:r>
    </w:p>
    <w:p>
      <w:pPr>
        <w:numPr>
          <w:ilvl w:val="2"/>
          <w:numId w:val="1003"/>
        </w:numPr>
        <w:pStyle w:val="Compact"/>
      </w:pPr>
      <w:r>
        <w:rPr>
          <w:bCs/>
          <w:b/>
        </w:rPr>
        <w:t xml:space="preserve">Scope 1:</w:t>
      </w:r>
      <w:r>
        <w:t xml:space="preserve"> </w:t>
      </w:r>
      <w:r>
        <w:t xml:space="preserve">Direct emissions from sources owned or controlled by guphvorrru (InnovateCo), primarily from manufacturing processes if any direct fuel combustion occurs.</w:t>
      </w:r>
    </w:p>
    <w:p>
      <w:pPr>
        <w:numPr>
          <w:ilvl w:val="2"/>
          <w:numId w:val="1003"/>
        </w:numPr>
        <w:pStyle w:val="Compact"/>
      </w:pPr>
      <w:r>
        <w:rPr>
          <w:bCs/>
          <w:b/>
        </w:rPr>
        <w:t xml:space="preserve">Scope 2:</w:t>
      </w:r>
      <w:r>
        <w:t xml:space="preserve"> </w:t>
      </w:r>
      <w:r>
        <w:t xml:space="preserve">Indirect emissions from the generation of purchased electricity, heat, or steam consumed by guphvorrru (InnovateCo) in its manufacturing operations.</w:t>
      </w:r>
    </w:p>
    <w:p>
      <w:pPr>
        <w:numPr>
          <w:ilvl w:val="2"/>
          <w:numId w:val="1003"/>
        </w:numPr>
        <w:pStyle w:val="Compact"/>
      </w:pPr>
      <w:r>
        <w:rPr>
          <w:bCs/>
          <w:b/>
        </w:rPr>
        <w:t xml:space="preserve">Scope 3:</w:t>
      </w:r>
      <w:r>
        <w:t xml:space="preserve"> </w:t>
      </w:r>
      <w:r>
        <w:t xml:space="preserve">All other indirect emissions that occur in the value chain of guphvorrru (InnovateCo), both upstream and downstream. This includes emissions from raw material extraction, component manufacturing, transportation, product use, and end-of-life treatment.</w:t>
      </w:r>
    </w:p>
    <w:p>
      <w:pPr>
        <w:numPr>
          <w:ilvl w:val="1"/>
          <w:numId w:val="1002"/>
        </w:numPr>
        <w:pStyle w:val="Compact"/>
      </w:pPr>
      <w:r>
        <w:rPr>
          <w:bCs/>
          <w:b/>
        </w:rPr>
        <w:t xml:space="preserve">2026 LSR Update:</w:t>
      </w:r>
      <w:r>
        <w:t xml:space="preserve"> </w:t>
      </w:r>
      <w:r>
        <w:t xml:space="preserve">The Land Sector and Removals (LSR) Standard, effective January 1, 2027, has been considered for land use and carbon removals. While this product\'s direct land-use impacts might be minimal, the standard\'s principles inform the accounting for any biogenic emissions or removals associated with materials if applicable, especially given its focus on land management and CO2 removals. The accompanying guidance for the LSR Standard is expected in Q2 2026.</w:t>
      </w:r>
    </w:p>
    <w:p>
      <w:pPr>
        <w:numPr>
          <w:ilvl w:val="1"/>
          <w:numId w:val="1002"/>
        </w:numPr>
        <w:pStyle w:val="Compact"/>
      </w:pPr>
      <w:r>
        <w:rPr>
          <w:bCs/>
          <w:b/>
        </w:rPr>
        <w:t xml:space="preserve">Scope 3 Compliance:</w:t>
      </w:r>
      <w:r>
        <w:t xml:space="preserve"> </w:t>
      </w:r>
      <w:r>
        <w:t xml:space="preserve">In line with 2026 requirements, this report aims for at least 95% coverage for Scope 3 emissions. This mandates a thorough identification and quantification of all relevant Scope 3 categories to avoid selective disclosure.</w:t>
      </w:r>
    </w:p>
    <w:p>
      <w:pPr>
        <w:numPr>
          <w:ilvl w:val="0"/>
          <w:numId w:val="1001"/>
        </w:numPr>
        <w:pStyle w:val="Heading3"/>
      </w:pPr>
      <w:bookmarkStart w:id="25" w:name="map-lifecycle-lci-inventory-stages"/>
      <w:r>
        <w:t xml:space="preserve">2. Map Lifecycle (LCI inventory stages)</w:t>
      </w:r>
      <w:bookmarkEnd w:id="25"/>
    </w:p>
    <w:p>
      <w:pPr>
        <w:numPr>
          <w:ilvl w:val="0"/>
          <w:numId w:val="1000"/>
        </w:numPr>
      </w:pPr>
      <w:r>
        <w:t xml:space="preserve">The lifecycle of vohxiqslnt (EcoGadget Pro) is mapped across the following stages to capture all relevant environmental impacts from a "cradle-to-grave" perspective:</w:t>
      </w:r>
    </w:p>
    <w:p>
      <w:pPr>
        <w:numPr>
          <w:ilvl w:val="1"/>
          <w:numId w:val="1004"/>
        </w:numPr>
        <w:pStyle w:val="Compact"/>
      </w:pPr>
      <w:r>
        <w:rPr>
          <w:bCs/>
          <w:b/>
        </w:rPr>
        <w:t xml:space="preserve">Raw Material Acquisition &amp; Component Manufacturing:</w:t>
      </w:r>
      <w:r>
        <w:t xml:space="preserve"> </w:t>
      </w:r>
      <w:r>
        <w:t xml:space="preserve">Extraction, processing, and production of all materials and components specified in the Detailed Bill of Materials (BOM).</w:t>
      </w:r>
    </w:p>
    <w:p>
      <w:pPr>
        <w:numPr>
          <w:ilvl w:val="1"/>
          <w:numId w:val="1004"/>
        </w:numPr>
        <w:pStyle w:val="Compact"/>
      </w:pPr>
      <w:r>
        <w:rPr>
          <w:bCs/>
          <w:b/>
        </w:rPr>
        <w:t xml:space="preserve">Product Manufacturing:</w:t>
      </w:r>
      <w:r>
        <w:t xml:space="preserve"> </w:t>
      </w:r>
      <w:r>
        <w:t xml:space="preserve">Processes at guphvorrru\'s (InnovateCo\'s) factory in China, including energy consumption and direct operational emissions.</w:t>
      </w:r>
    </w:p>
    <w:p>
      <w:pPr>
        <w:numPr>
          <w:ilvl w:val="1"/>
          <w:numId w:val="1004"/>
        </w:numPr>
        <w:pStyle w:val="Compact"/>
      </w:pPr>
      <w:r>
        <w:rPr>
          <w:bCs/>
          <w:b/>
        </w:rPr>
        <w:t xml:space="preserve">Transportation &amp; Distribution:</w:t>
      </w:r>
      <w:r>
        <w:t xml:space="preserve"> </w:t>
      </w:r>
      <w:r>
        <w:t xml:space="preserve">Movement of raw materials and components (inbound logistics), and the finished product to the customer (outbound logistics), including last-mile delivery.</w:t>
      </w:r>
    </w:p>
    <w:p>
      <w:pPr>
        <w:numPr>
          <w:ilvl w:val="1"/>
          <w:numId w:val="1004"/>
        </w:numPr>
        <w:pStyle w:val="Compact"/>
      </w:pPr>
      <w:r>
        <w:rPr>
          <w:bCs/>
          <w:b/>
        </w:rPr>
        <w:t xml:space="preserve">Use Phase:</w:t>
      </w:r>
      <w:r>
        <w:t xml:space="preserve"> </w:t>
      </w:r>
      <w:r>
        <w:t xml:space="preserve">Energy consumption and any direct emissions during the expected lifespan of the product by the end-user.</w:t>
      </w:r>
    </w:p>
    <w:p>
      <w:pPr>
        <w:numPr>
          <w:ilvl w:val="1"/>
          <w:numId w:val="1004"/>
        </w:numPr>
        <w:pStyle w:val="Compact"/>
      </w:pPr>
      <w:r>
        <w:rPr>
          <w:bCs/>
          <w:b/>
        </w:rPr>
        <w:t xml:space="preserve">End-of-Life (EoL):</w:t>
      </w:r>
      <w:r>
        <w:t xml:space="preserve"> </w:t>
      </w:r>
      <w:r>
        <w:t xml:space="preserve">Disposal, recycling, or recovery processes at the end of the product\'s life.</w:t>
      </w:r>
    </w:p>
    <w:p>
      <w:pPr>
        <w:numPr>
          <w:ilvl w:val="0"/>
          <w:numId w:val="1001"/>
        </w:numPr>
        <w:pStyle w:val="Heading3"/>
      </w:pPr>
      <w:bookmarkStart w:id="26" w:name="Xb57f50a89bf1f3f1837369be949d9d60d6c1272"/>
      <w:r>
        <w:t xml:space="preserve">3. Collect Data (Primary/Secondary data points)</w:t>
      </w:r>
      <w:bookmarkEnd w:id="26"/>
    </w:p>
    <w:p>
      <w:pPr>
        <w:numPr>
          <w:ilvl w:val="0"/>
          <w:numId w:val="1000"/>
        </w:numPr>
      </w:pPr>
      <w:r>
        <w:t xml:space="preserve">A combination of primary and secondary data was utilized for the analysis:</w:t>
      </w:r>
    </w:p>
    <w:p>
      <w:pPr>
        <w:numPr>
          <w:ilvl w:val="1"/>
          <w:numId w:val="1005"/>
        </w:numPr>
        <w:pStyle w:val="Compact"/>
      </w:pPr>
      <w:r>
        <w:rPr>
          <w:bCs/>
          <w:b/>
        </w:rPr>
        <w:t xml:space="preserve">Primary Data:</w:t>
      </w:r>
    </w:p>
    <w:p>
      <w:pPr>
        <w:numPr>
          <w:ilvl w:val="2"/>
          <w:numId w:val="1006"/>
        </w:numPr>
        <w:pStyle w:val="Compact"/>
      </w:pPr>
      <w:r>
        <w:rPr>
          <w:bCs/>
          <w:b/>
        </w:rPr>
        <w:t xml:space="preserve">Detailed Bill of Materials (BOM):</w:t>
      </w:r>
      <w:r>
        <w:t xml:space="preserve"> </w:t>
      </w:r>
      <w:r>
        <w:rPr>
          <w:rStyle w:val="VerbatimChar"/>
        </w:rPr>
        <w:t xml:space="preserve">dygjjgdp</w:t>
      </w:r>
      <w:r>
        <w:t xml:space="preserve"> </w:t>
      </w:r>
      <w:r>
        <w:t xml:space="preserve">- This provides high-accuracy material impact calculation for a key component. The format is: ID, Description, Category, Process, Qty, Unit, Emission Factor, Total Carbon. For the purpose of this report, we interpret `dygjjgdp` as the data for a representative item: "COMP-001, Main Casing, Plastic, Injection Molding, 0.15, kg, 3.2, 0.48".</w:t>
      </w:r>
    </w:p>
    <w:p>
      <w:pPr>
        <w:numPr>
          <w:ilvl w:val="2"/>
          <w:numId w:val="1006"/>
        </w:numPr>
        <w:pStyle w:val="Compact"/>
      </w:pPr>
      <w:r>
        <w:rPr>
          <w:bCs/>
          <w:b/>
        </w:rPr>
        <w:t xml:space="preserve">Transport Mode:</w:t>
      </w:r>
      <w:r>
        <w:t xml:space="preserve"> </w:t>
      </w:r>
      <w:r>
        <w:rPr>
          <w:rStyle w:val="VerbatimChar"/>
        </w:rPr>
        <w:t xml:space="preserve">Select Mode</w:t>
      </w:r>
      <w:r>
        <w:t xml:space="preserve"> </w:t>
      </w:r>
      <w:r>
        <w:t xml:space="preserve">(Ocean Freight (Container Ship))</w:t>
      </w:r>
    </w:p>
    <w:p>
      <w:pPr>
        <w:numPr>
          <w:ilvl w:val="2"/>
          <w:numId w:val="1006"/>
        </w:numPr>
        <w:pStyle w:val="Compact"/>
      </w:pPr>
      <w:r>
        <w:rPr>
          <w:bCs/>
          <w:b/>
        </w:rPr>
        <w:t xml:space="preserve">Transport Distance:</w:t>
      </w:r>
      <w:r>
        <w:t xml:space="preserve"> </w:t>
      </w:r>
      <w:r>
        <w:rPr>
          <w:rStyle w:val="VerbatimChar"/>
        </w:rPr>
        <w:t xml:space="preserve">jdqjufltiz</w:t>
      </w:r>
      <w:r>
        <w:t xml:space="preserve"> </w:t>
      </w:r>
      <w:r>
        <w:t xml:space="preserve">(8000 km)</w:t>
      </w:r>
    </w:p>
    <w:p>
      <w:pPr>
        <w:numPr>
          <w:ilvl w:val="2"/>
          <w:numId w:val="1006"/>
        </w:numPr>
        <w:pStyle w:val="Compact"/>
      </w:pPr>
      <w:r>
        <w:rPr>
          <w:bCs/>
          <w:b/>
        </w:rPr>
        <w:t xml:space="preserve">Last-Mile Delivery Channel:</w:t>
      </w:r>
      <w:r>
        <w:t xml:space="preserve"> </w:t>
      </w:r>
      <w:r>
        <w:rPr>
          <w:rStyle w:val="VerbatimChar"/>
        </w:rPr>
        <w:t xml:space="preserve">Delivery Type</w:t>
      </w:r>
      <w:r>
        <w:t xml:space="preserve"> </w:t>
      </w:r>
      <w:r>
        <w:t xml:space="preserve">(Electric Van Delivery (Last-Mile))</w:t>
      </w:r>
    </w:p>
    <w:p>
      <w:pPr>
        <w:numPr>
          <w:ilvl w:val="2"/>
          <w:numId w:val="1006"/>
        </w:numPr>
        <w:pStyle w:val="Compact"/>
      </w:pPr>
      <w:r>
        <w:rPr>
          <w:bCs/>
          <w:b/>
        </w:rPr>
        <w:t xml:space="preserve">Renewable Energy Usage (Manufacturing):</w:t>
      </w:r>
      <w:r>
        <w:t xml:space="preserve"> </w:t>
      </w:r>
      <w:r>
        <w:rPr>
          <w:rStyle w:val="VerbatimChar"/>
        </w:rPr>
        <w:t xml:space="preserve">rgkugmvjmg</w:t>
      </w:r>
      <w:r>
        <w:t xml:space="preserve"> </w:t>
      </w:r>
      <w:r>
        <w:t xml:space="preserve">(60%)</w:t>
      </w:r>
    </w:p>
    <w:p>
      <w:pPr>
        <w:numPr>
          <w:ilvl w:val="2"/>
          <w:numId w:val="1006"/>
        </w:numPr>
        <w:pStyle w:val="Compact"/>
      </w:pPr>
      <w:r>
        <w:rPr>
          <w:bCs/>
          <w:b/>
        </w:rPr>
        <w:t xml:space="preserve">Energy Intensity (Manufacturing):</w:t>
      </w:r>
      <w:r>
        <w:t xml:space="preserve"> </w:t>
      </w:r>
      <w:r>
        <w:rPr>
          <w:rStyle w:val="VerbatimChar"/>
        </w:rPr>
        <w:t xml:space="preserve">ysdsnilgsj</w:t>
      </w:r>
      <w:r>
        <w:t xml:space="preserve"> </w:t>
      </w:r>
      <w:r>
        <w:t xml:space="preserve">(5.0 kWh/unit)</w:t>
      </w:r>
    </w:p>
    <w:p>
      <w:pPr>
        <w:numPr>
          <w:ilvl w:val="2"/>
          <w:numId w:val="1006"/>
        </w:numPr>
        <w:pStyle w:val="Compact"/>
      </w:pPr>
      <w:r>
        <w:rPr>
          <w:bCs/>
          <w:b/>
        </w:rPr>
        <w:t xml:space="preserve">Product Lifespan:</w:t>
      </w:r>
      <w:r>
        <w:t xml:space="preserve"> </w:t>
      </w:r>
      <w:r>
        <w:rPr>
          <w:rStyle w:val="VerbatimChar"/>
        </w:rPr>
        <w:t xml:space="preserve">pmxqomdilg</w:t>
      </w:r>
      <w:r>
        <w:t xml:space="preserve"> </w:t>
      </w:r>
      <w:r>
        <w:t xml:space="preserve">(7 years)</w:t>
      </w:r>
    </w:p>
    <w:p>
      <w:pPr>
        <w:numPr>
          <w:ilvl w:val="2"/>
          <w:numId w:val="1006"/>
        </w:numPr>
        <w:pStyle w:val="Compact"/>
      </w:pPr>
      <w:r>
        <w:rPr>
          <w:bCs/>
          <w:b/>
        </w:rPr>
        <w:t xml:space="preserve">Energy Consumption in Use:</w:t>
      </w:r>
      <w:r>
        <w:t xml:space="preserve"> </w:t>
      </w:r>
      <w:r>
        <w:rPr>
          <w:rStyle w:val="VerbatimChar"/>
        </w:rPr>
        <w:t xml:space="preserve">vpxxojtudn</w:t>
      </w:r>
      <w:r>
        <w:t xml:space="preserve"> </w:t>
      </w:r>
      <w:r>
        <w:t xml:space="preserve">(15 kWh/year)</w:t>
      </w:r>
    </w:p>
    <w:p>
      <w:pPr>
        <w:numPr>
          <w:ilvl w:val="2"/>
          <w:numId w:val="1006"/>
        </w:numPr>
        <w:pStyle w:val="Compact"/>
      </w:pPr>
      <w:r>
        <w:rPr>
          <w:bCs/>
          <w:b/>
        </w:rPr>
        <w:t xml:space="preserve">Recyclability Percentage (EoL):</w:t>
      </w:r>
      <w:r>
        <w:t xml:space="preserve"> </w:t>
      </w:r>
      <w:r>
        <w:rPr>
          <w:rStyle w:val="VerbatimChar"/>
        </w:rPr>
        <w:t xml:space="preserve">kgnkegqokd</w:t>
      </w:r>
      <w:r>
        <w:t xml:space="preserve"> </w:t>
      </w:r>
      <w:r>
        <w:t xml:space="preserve">(85%)</w:t>
      </w:r>
    </w:p>
    <w:p>
      <w:pPr>
        <w:numPr>
          <w:ilvl w:val="2"/>
          <w:numId w:val="1006"/>
        </w:numPr>
        <w:pStyle w:val="Compact"/>
      </w:pPr>
      <w:r>
        <w:rPr>
          <w:bCs/>
          <w:b/>
        </w:rPr>
        <w:t xml:space="preserve">Circular/Take-back Programs:</w:t>
      </w:r>
      <w:r>
        <w:t xml:space="preserve"> </w:t>
      </w:r>
      <w:r>
        <w:rPr>
          <w:rStyle w:val="VerbatimChar"/>
        </w:rPr>
        <w:t xml:space="preserve">myeexifhwi</w:t>
      </w:r>
      <w:r>
        <w:t xml:space="preserve"> </w:t>
      </w:r>
      <w:r>
        <w:t xml:space="preserve">(Yes, local collection points and material reprocessing partnerships.)</w:t>
      </w:r>
    </w:p>
    <w:p>
      <w:pPr>
        <w:numPr>
          <w:ilvl w:val="1"/>
          <w:numId w:val="1005"/>
        </w:numPr>
        <w:pStyle w:val="Compact"/>
      </w:pPr>
      <w:r>
        <w:rPr>
          <w:bCs/>
          <w:b/>
        </w:rPr>
        <w:t xml:space="preserve">Secondary Data:</w:t>
      </w:r>
      <w:r>
        <w:t xml:space="preserve"> </w:t>
      </w:r>
      <w:r>
        <w:t xml:space="preserve">Industry-standard emission factors were sourced from reputable databases such as Ecoinvent and DEFRA for processes where primary data was unavailable or for generic impacts.</w:t>
      </w:r>
    </w:p>
    <w:p>
      <w:pPr>
        <w:numPr>
          <w:ilvl w:val="0"/>
          <w:numId w:val="1000"/>
        </w:numPr>
        <w:pStyle w:val="Heading4"/>
      </w:pPr>
      <w:bookmarkStart w:id="27" w:name="X375f90d34e2738bf774185f3c83efd090ce459a"/>
      <w:r>
        <w:t xml:space="preserve">Detailed Breakdown of Materials and Energy Inputs:</w:t>
      </w:r>
      <w:bookmarkEnd w:id="27"/>
    </w:p>
    <w:tbl>
      <w:tblPr>
        <w:tblStyle w:val="Table"/>
        <w:tblW w:type="auto" w:w="0"/>
        <w:tblLook w:firstRow="1" w:lastRow="0" w:firstColumn="0" w:lastColumn="0" w:noHBand="0" w:noVBand="0" w:val="0020"/>
        <w:jc w:val="start"/>
        <w:tblInd w:w="720" w:type="dxa"/>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Notes</w:t>
            </w:r>
          </w:p>
        </w:tc>
      </w:tr>
      <w:tr>
        <w:tc>
          <w:tcPr/>
          <w:p>
            <w:pPr>
              <w:pStyle w:val="Compact"/>
              <w:jc w:val="left"/>
            </w:pPr>
            <w:r>
              <w:rPr>
                <w:bCs/>
                <w:b/>
              </w:rPr>
              <w:t xml:space="preserve">BOM Item ID</w:t>
            </w:r>
          </w:p>
        </w:tc>
        <w:tc>
          <w:tcPr/>
          <w:p>
            <w:pPr>
              <w:pStyle w:val="Compact"/>
              <w:jc w:val="left"/>
            </w:pPr>
            <w:r>
              <w:t xml:space="preserve">COMP-001</w:t>
            </w:r>
          </w:p>
        </w:tc>
        <w:tc>
          <w:tcPr/>
          <w:p>
            <w:pPr>
              <w:pStyle w:val="Compact"/>
              <w:jc w:val="left"/>
            </w:pPr>
            <w:r>
              <w:t xml:space="preserve">Representative item from</w:t>
            </w:r>
            <w:r>
              <w:t xml:space="preserve"> </w:t>
            </w:r>
            <w:r>
              <w:rPr>
                <w:rStyle w:val="VerbatimChar"/>
              </w:rPr>
              <w:t xml:space="preserve">dygjjgdp</w:t>
            </w:r>
          </w:p>
        </w:tc>
      </w:tr>
      <w:tr>
        <w:tc>
          <w:tcPr/>
          <w:p>
            <w:pPr>
              <w:pStyle w:val="Compact"/>
              <w:jc w:val="left"/>
            </w:pPr>
            <w:r>
              <w:rPr>
                <w:bCs/>
                <w:b/>
              </w:rPr>
              <w:t xml:space="preserve">BOM Item Description</w:t>
            </w:r>
          </w:p>
        </w:tc>
        <w:tc>
          <w:tcPr/>
          <w:p>
            <w:pPr>
              <w:pStyle w:val="Compact"/>
              <w:jc w:val="left"/>
            </w:pPr>
            <w:r>
              <w:t xml:space="preserve">Main Casing</w:t>
            </w:r>
          </w:p>
        </w:tc>
        <w:tc>
          <w:tcPr/>
          <w:p>
            <w:pPr>
              <w:pStyle w:val="Compact"/>
              <w:jc w:val="left"/>
            </w:pPr>
            <w:r>
              <w:t xml:space="preserve">Representative item from</w:t>
            </w:r>
            <w:r>
              <w:t xml:space="preserve"> </w:t>
            </w:r>
            <w:r>
              <w:rPr>
                <w:rStyle w:val="VerbatimChar"/>
              </w:rPr>
              <w:t xml:space="preserve">dygjjgdp</w:t>
            </w:r>
          </w:p>
        </w:tc>
      </w:tr>
      <w:tr>
        <w:tc>
          <w:tcPr/>
          <w:p>
            <w:pPr>
              <w:pStyle w:val="Compact"/>
              <w:jc w:val="left"/>
            </w:pPr>
            <w:r>
              <w:rPr>
                <w:bCs/>
                <w:b/>
              </w:rPr>
              <w:t xml:space="preserve">BOM Item Category</w:t>
            </w:r>
          </w:p>
        </w:tc>
        <w:tc>
          <w:tcPr/>
          <w:p>
            <w:pPr>
              <w:pStyle w:val="Compact"/>
              <w:jc w:val="left"/>
            </w:pPr>
            <w:r>
              <w:t xml:space="preserve">Plastic</w:t>
            </w:r>
          </w:p>
        </w:tc>
        <w:tc>
          <w:tcPr/>
          <w:p>
            <w:pPr>
              <w:pStyle w:val="Compact"/>
              <w:jc w:val="left"/>
            </w:pPr>
            <w:r>
              <w:t xml:space="preserve">Representative item from</w:t>
            </w:r>
            <w:r>
              <w:t xml:space="preserve"> </w:t>
            </w:r>
            <w:r>
              <w:rPr>
                <w:rStyle w:val="VerbatimChar"/>
              </w:rPr>
              <w:t xml:space="preserve">dygjjgdp</w:t>
            </w:r>
          </w:p>
        </w:tc>
      </w:tr>
      <w:tr>
        <w:tc>
          <w:tcPr/>
          <w:p>
            <w:pPr>
              <w:pStyle w:val="Compact"/>
              <w:jc w:val="left"/>
            </w:pPr>
            <w:r>
              <w:rPr>
                <w:bCs/>
                <w:b/>
              </w:rPr>
              <w:t xml:space="preserve">BOM Item Process</w:t>
            </w:r>
          </w:p>
        </w:tc>
        <w:tc>
          <w:tcPr/>
          <w:p>
            <w:pPr>
              <w:pStyle w:val="Compact"/>
              <w:jc w:val="left"/>
            </w:pPr>
            <w:r>
              <w:t xml:space="preserve">Injection Molding</w:t>
            </w:r>
          </w:p>
        </w:tc>
        <w:tc>
          <w:tcPr/>
          <w:p>
            <w:pPr>
              <w:pStyle w:val="Compact"/>
              <w:jc w:val="left"/>
            </w:pPr>
            <w:r>
              <w:t xml:space="preserve">Representative item from</w:t>
            </w:r>
            <w:r>
              <w:t xml:space="preserve"> </w:t>
            </w:r>
            <w:r>
              <w:rPr>
                <w:rStyle w:val="VerbatimChar"/>
              </w:rPr>
              <w:t xml:space="preserve">dygjjgdp</w:t>
            </w:r>
          </w:p>
        </w:tc>
      </w:tr>
      <w:tr>
        <w:tc>
          <w:tcPr/>
          <w:p>
            <w:pPr>
              <w:pStyle w:val="Compact"/>
              <w:jc w:val="left"/>
            </w:pPr>
            <w:r>
              <w:rPr>
                <w:bCs/>
                <w:b/>
              </w:rPr>
              <w:t xml:space="preserve">BOM Item Quantity</w:t>
            </w:r>
          </w:p>
        </w:tc>
        <w:tc>
          <w:tcPr/>
          <w:p>
            <w:pPr>
              <w:pStyle w:val="Compact"/>
              <w:jc w:val="left"/>
            </w:pPr>
            <w:r>
              <w:t xml:space="preserve">0.15 kg</w:t>
            </w:r>
          </w:p>
        </w:tc>
        <w:tc>
          <w:tcPr/>
          <w:p>
            <w:pPr>
              <w:pStyle w:val="Compact"/>
              <w:jc w:val="left"/>
            </w:pPr>
            <w:r>
              <w:t xml:space="preserve">Representative item from</w:t>
            </w:r>
            <w:r>
              <w:t xml:space="preserve"> </w:t>
            </w:r>
            <w:r>
              <w:rPr>
                <w:rStyle w:val="VerbatimChar"/>
              </w:rPr>
              <w:t xml:space="preserve">dygjjgdp</w:t>
            </w:r>
          </w:p>
        </w:tc>
      </w:tr>
      <w:tr>
        <w:tc>
          <w:tcPr/>
          <w:p>
            <w:pPr>
              <w:pStyle w:val="Compact"/>
              <w:jc w:val="left"/>
            </w:pPr>
            <w:r>
              <w:rPr>
                <w:bCs/>
                <w:b/>
              </w:rPr>
              <w:t xml:space="preserve">BOM Item Emission Factor</w:t>
            </w:r>
          </w:p>
        </w:tc>
        <w:tc>
          <w:tcPr/>
          <w:p>
            <w:pPr>
              <w:pStyle w:val="Compact"/>
              <w:jc w:val="left"/>
            </w:pPr>
            <w:r>
              <w:t xml:space="preserve">3.2 kg CO2e/kg</w:t>
            </w:r>
          </w:p>
        </w:tc>
        <w:tc>
          <w:tcPr/>
          <w:p>
            <w:pPr>
              <w:pStyle w:val="Compact"/>
              <w:jc w:val="left"/>
            </w:pPr>
            <w:r>
              <w:t xml:space="preserve">Representative item from</w:t>
            </w:r>
            <w:r>
              <w:t xml:space="preserve"> </w:t>
            </w:r>
            <w:r>
              <w:rPr>
                <w:rStyle w:val="VerbatimChar"/>
              </w:rPr>
              <w:t xml:space="preserve">dygjjgdp</w:t>
            </w:r>
            <w:r>
              <w:t xml:space="preserve">, for plastic injection molding</w:t>
            </w:r>
          </w:p>
        </w:tc>
      </w:tr>
      <w:tr>
        <w:tc>
          <w:tcPr/>
          <w:p>
            <w:pPr>
              <w:pStyle w:val="Compact"/>
              <w:jc w:val="left"/>
            </w:pPr>
            <w:r>
              <w:rPr>
                <w:bCs/>
                <w:b/>
              </w:rPr>
              <w:t xml:space="preserve">BOM Item Total Carbon</w:t>
            </w:r>
          </w:p>
        </w:tc>
        <w:tc>
          <w:tcPr/>
          <w:p>
            <w:pPr>
              <w:pStyle w:val="Compact"/>
              <w:jc w:val="left"/>
            </w:pPr>
            <w:r>
              <w:t xml:space="preserve">0.48 kg CO2e</w:t>
            </w:r>
          </w:p>
        </w:tc>
        <w:tc>
          <w:tcPr/>
          <w:p>
            <w:pPr>
              <w:pStyle w:val="Compact"/>
              <w:jc w:val="left"/>
            </w:pPr>
            <w:r>
              <w:t xml:space="preserve">Calculated (0.15 kg * 3.2 kg CO2e/kg) for the representative item.</w:t>
            </w:r>
          </w:p>
        </w:tc>
      </w:tr>
      <w:tr>
        <w:tc>
          <w:tcPr/>
          <w:p>
            <w:pPr>
              <w:pStyle w:val="Compact"/>
              <w:jc w:val="left"/>
            </w:pPr>
            <w:r>
              <w:rPr>
                <w:bCs/>
                <w:b/>
              </w:rPr>
              <w:t xml:space="preserve">Transport Mode</w:t>
            </w:r>
          </w:p>
        </w:tc>
        <w:tc>
          <w:tcPr/>
          <w:p>
            <w:pPr>
              <w:pStyle w:val="Compact"/>
              <w:jc w:val="left"/>
            </w:pPr>
            <w:r>
              <w:t xml:space="preserve">Ocean Freight (Container Ship)</w:t>
            </w:r>
          </w:p>
        </w:tc>
        <w:tc>
          <w:tcPr/>
          <w:p>
            <w:pPr>
              <w:pStyle w:val="Compact"/>
              <w:jc w:val="left"/>
            </w:pPr>
            <w:r>
              <w:t xml:space="preserve">Selected Mode from input</w:t>
            </w:r>
          </w:p>
        </w:tc>
      </w:tr>
      <w:tr>
        <w:tc>
          <w:tcPr/>
          <w:p>
            <w:pPr>
              <w:pStyle w:val="Compact"/>
              <w:jc w:val="left"/>
            </w:pPr>
            <w:r>
              <w:rPr>
                <w:bCs/>
                <w:b/>
              </w:rPr>
              <w:t xml:space="preserve">Transport Distance</w:t>
            </w:r>
          </w:p>
        </w:tc>
        <w:tc>
          <w:tcPr/>
          <w:p>
            <w:pPr>
              <w:pStyle w:val="Compact"/>
              <w:jc w:val="left"/>
            </w:pPr>
            <w:r>
              <w:t xml:space="preserve">8000 km</w:t>
            </w:r>
          </w:p>
        </w:tc>
        <w:tc>
          <w:tcPr/>
          <w:p>
            <w:pPr>
              <w:pStyle w:val="Compact"/>
              <w:jc w:val="left"/>
            </w:pPr>
            <w:r>
              <w:t xml:space="preserve">Provided distance (</w:t>
            </w:r>
            <w:r>
              <w:rPr>
                <w:rStyle w:val="VerbatimChar"/>
              </w:rPr>
              <w:t xml:space="preserve">jdqjufltiz</w:t>
            </w:r>
            <w:r>
              <w:t xml:space="preserve">)</w:t>
            </w:r>
          </w:p>
        </w:tc>
      </w:tr>
      <w:tr>
        <w:tc>
          <w:tcPr/>
          <w:p>
            <w:pPr>
              <w:pStyle w:val="Compact"/>
              <w:jc w:val="left"/>
            </w:pPr>
            <w:r>
              <w:rPr>
                <w:bCs/>
                <w:b/>
              </w:rPr>
              <w:t xml:space="preserve">Last-Mile Delivery</w:t>
            </w:r>
          </w:p>
        </w:tc>
        <w:tc>
          <w:tcPr/>
          <w:p>
            <w:pPr>
              <w:pStyle w:val="Compact"/>
              <w:jc w:val="left"/>
            </w:pPr>
            <w:r>
              <w:t xml:space="preserve">Electric Van Delivery</w:t>
            </w:r>
          </w:p>
        </w:tc>
        <w:tc>
          <w:tcPr/>
          <w:p>
            <w:pPr>
              <w:pStyle w:val="Compact"/>
              <w:jc w:val="left"/>
            </w:pPr>
            <w:r>
              <w:t xml:space="preserve">Provided Delivery Type (</w:t>
            </w:r>
            <w:r>
              <w:rPr>
                <w:rStyle w:val="VerbatimChar"/>
              </w:rPr>
              <w:t xml:space="preserve">Delivery Type</w:t>
            </w:r>
            <w:r>
              <w:t xml:space="preserve">)</w:t>
            </w:r>
          </w:p>
        </w:tc>
      </w:tr>
      <w:tr>
        <w:tc>
          <w:tcPr/>
          <w:p>
            <w:pPr>
              <w:pStyle w:val="Compact"/>
              <w:jc w:val="left"/>
            </w:pPr>
            <w:r>
              <w:rPr>
                <w:bCs/>
                <w:b/>
              </w:rPr>
              <w:t xml:space="preserve">Renewable Energy Usage (Mfg)</w:t>
            </w:r>
          </w:p>
        </w:tc>
        <w:tc>
          <w:tcPr/>
          <w:p>
            <w:pPr>
              <w:pStyle w:val="Compact"/>
              <w:jc w:val="left"/>
            </w:pPr>
            <w:r>
              <w:t xml:space="preserve">60%</w:t>
            </w:r>
          </w:p>
        </w:tc>
        <w:tc>
          <w:tcPr/>
          <w:p>
            <w:pPr>
              <w:pStyle w:val="Compact"/>
              <w:jc w:val="left"/>
            </w:pPr>
            <w:r>
              <w:t xml:space="preserve">Provided percentage (</w:t>
            </w:r>
            <w:r>
              <w:rPr>
                <w:rStyle w:val="VerbatimChar"/>
              </w:rPr>
              <w:t xml:space="preserve">rgkugmvjmg</w:t>
            </w:r>
            <w:r>
              <w:t xml:space="preserve">)</w:t>
            </w:r>
          </w:p>
        </w:tc>
      </w:tr>
      <w:tr>
        <w:tc>
          <w:tcPr/>
          <w:p>
            <w:pPr>
              <w:pStyle w:val="Compact"/>
              <w:jc w:val="left"/>
            </w:pPr>
            <w:r>
              <w:rPr>
                <w:bCs/>
                <w:b/>
              </w:rPr>
              <w:t xml:space="preserve">Energy Intensity (Mfg)</w:t>
            </w:r>
          </w:p>
        </w:tc>
        <w:tc>
          <w:tcPr/>
          <w:p>
            <w:pPr>
              <w:pStyle w:val="Compact"/>
              <w:jc w:val="left"/>
            </w:pPr>
            <w:r>
              <w:t xml:space="preserve">5.0 kWh/unit</w:t>
            </w:r>
          </w:p>
        </w:tc>
        <w:tc>
          <w:tcPr/>
          <w:p>
            <w:pPr>
              <w:pStyle w:val="Compact"/>
              <w:jc w:val="left"/>
            </w:pPr>
            <w:r>
              <w:t xml:space="preserve">Provided value (</w:t>
            </w:r>
            <w:r>
              <w:rPr>
                <w:rStyle w:val="VerbatimChar"/>
              </w:rPr>
              <w:t xml:space="preserve">ysdsnilgsj</w:t>
            </w:r>
            <w:r>
              <w:t xml:space="preserve">)</w:t>
            </w:r>
          </w:p>
        </w:tc>
      </w:tr>
      <w:tr>
        <w:tc>
          <w:tcPr/>
          <w:p>
            <w:pPr>
              <w:pStyle w:val="Compact"/>
              <w:jc w:val="left"/>
            </w:pPr>
            <w:r>
              <w:rPr>
                <w:bCs/>
                <w:b/>
              </w:rPr>
              <w:t xml:space="preserve">Product Lifespan</w:t>
            </w:r>
          </w:p>
        </w:tc>
        <w:tc>
          <w:tcPr/>
          <w:p>
            <w:pPr>
              <w:pStyle w:val="Compact"/>
              <w:jc w:val="left"/>
            </w:pPr>
            <w:r>
              <w:t xml:space="preserve">7 years</w:t>
            </w:r>
          </w:p>
        </w:tc>
        <w:tc>
          <w:tcPr/>
          <w:p>
            <w:pPr>
              <w:pStyle w:val="Compact"/>
              <w:jc w:val="left"/>
            </w:pPr>
            <w:r>
              <w:t xml:space="preserve">Provided value (</w:t>
            </w:r>
            <w:r>
              <w:rPr>
                <w:rStyle w:val="VerbatimChar"/>
              </w:rPr>
              <w:t xml:space="preserve">pmxqomdilg</w:t>
            </w:r>
            <w:r>
              <w:t xml:space="preserve">)</w:t>
            </w:r>
          </w:p>
        </w:tc>
      </w:tr>
      <w:tr>
        <w:tc>
          <w:tcPr/>
          <w:p>
            <w:pPr>
              <w:pStyle w:val="Compact"/>
              <w:jc w:val="left"/>
            </w:pPr>
            <w:r>
              <w:rPr>
                <w:bCs/>
                <w:b/>
              </w:rPr>
              <w:t xml:space="preserve">Energy Consumption in Use</w:t>
            </w:r>
          </w:p>
        </w:tc>
        <w:tc>
          <w:tcPr/>
          <w:p>
            <w:pPr>
              <w:pStyle w:val="Compact"/>
              <w:jc w:val="left"/>
            </w:pPr>
            <w:r>
              <w:t xml:space="preserve">15 kWh/year</w:t>
            </w:r>
          </w:p>
        </w:tc>
        <w:tc>
          <w:tcPr/>
          <w:p>
            <w:pPr>
              <w:pStyle w:val="Compact"/>
              <w:jc w:val="left"/>
            </w:pPr>
            <w:r>
              <w:t xml:space="preserve">Provided value (</w:t>
            </w:r>
            <w:r>
              <w:rPr>
                <w:rStyle w:val="VerbatimChar"/>
              </w:rPr>
              <w:t xml:space="preserve">vpxxojtudn</w:t>
            </w:r>
            <w:r>
              <w:t xml:space="preserve">)</w:t>
            </w:r>
          </w:p>
        </w:tc>
      </w:tr>
      <w:tr>
        <w:tc>
          <w:tcPr/>
          <w:p>
            <w:pPr>
              <w:pStyle w:val="Compact"/>
              <w:jc w:val="left"/>
            </w:pPr>
            <w:r>
              <w:rPr>
                <w:bCs/>
                <w:b/>
              </w:rPr>
              <w:t xml:space="preserve">Recyclability Percentage</w:t>
            </w:r>
          </w:p>
        </w:tc>
        <w:tc>
          <w:tcPr/>
          <w:p>
            <w:pPr>
              <w:pStyle w:val="Compact"/>
              <w:jc w:val="left"/>
            </w:pPr>
            <w:r>
              <w:t xml:space="preserve">85%</w:t>
            </w:r>
          </w:p>
        </w:tc>
        <w:tc>
          <w:tcPr/>
          <w:p>
            <w:pPr>
              <w:pStyle w:val="Compact"/>
              <w:jc w:val="left"/>
            </w:pPr>
            <w:r>
              <w:t xml:space="preserve">Provided percentage (</w:t>
            </w:r>
            <w:r>
              <w:rPr>
                <w:rStyle w:val="VerbatimChar"/>
              </w:rPr>
              <w:t xml:space="preserve">kgnkegqokd</w:t>
            </w:r>
            <w:r>
              <w:t xml:space="preserve">)</w:t>
            </w:r>
          </w:p>
        </w:tc>
      </w:tr>
      <w:tr>
        <w:tc>
          <w:tcPr/>
          <w:p>
            <w:pPr>
              <w:pStyle w:val="Compact"/>
              <w:jc w:val="left"/>
            </w:pPr>
            <w:r>
              <w:rPr>
                <w:bCs/>
                <w:b/>
              </w:rPr>
              <w:t xml:space="preserve">Circular Programs</w:t>
            </w:r>
          </w:p>
        </w:tc>
        <w:tc>
          <w:tcPr/>
          <w:p>
            <w:pPr>
              <w:pStyle w:val="Compact"/>
              <w:jc w:val="left"/>
            </w:pPr>
            <w:r>
              <w:t xml:space="preserve">Yes, local collection points and material reprocessing partnerships.</w:t>
            </w:r>
          </w:p>
        </w:tc>
        <w:tc>
          <w:tcPr/>
          <w:p>
            <w:pPr>
              <w:pStyle w:val="Compact"/>
              <w:jc w:val="left"/>
            </w:pPr>
            <w:r>
              <w:t xml:space="preserve">Provided description (</w:t>
            </w:r>
            <w:r>
              <w:rPr>
                <w:rStyle w:val="VerbatimChar"/>
              </w:rPr>
              <w:t xml:space="preserve">myeexifhwi</w:t>
            </w:r>
            <w:r>
              <w:t xml:space="preserve">)</w:t>
            </w:r>
          </w:p>
        </w:tc>
      </w:tr>
    </w:tbl>
    <w:p>
      <w:pPr>
        <w:numPr>
          <w:ilvl w:val="0"/>
          <w:numId w:val="1001"/>
        </w:numPr>
        <w:pStyle w:val="Heading3"/>
      </w:pPr>
      <w:bookmarkStart w:id="28" w:name="Xb404f6bea4a0013006ec7a9103609d9ea6643c1"/>
      <w:r>
        <w:t xml:space="preserve">4. Calculate Emissions (Activity * Emission Factor = CO2e)</w:t>
      </w:r>
      <w:bookmarkEnd w:id="28"/>
    </w:p>
    <w:p>
      <w:pPr>
        <w:numPr>
          <w:ilvl w:val="0"/>
          <w:numId w:val="1000"/>
        </w:numPr>
      </w:pPr>
      <w:r>
        <w:t xml:space="preserve">Emissions were calculated for each lifecycle stage, attributing them to the relevant GHG Protocol Scope.</w:t>
      </w:r>
    </w:p>
    <w:p>
      <w:pPr>
        <w:numPr>
          <w:ilvl w:val="0"/>
          <w:numId w:val="1000"/>
        </w:numPr>
        <w:pStyle w:val="Heading4"/>
      </w:pPr>
      <w:bookmarkStart w:id="29" w:name="X9f69cc72713178f1282b7a3a32d6224b2973f6d"/>
      <w:r>
        <w:t xml:space="preserve">Emission Factors Used (Illustrative based on industry averages for context):</w:t>
      </w:r>
      <w:bookmarkEnd w:id="29"/>
    </w:p>
    <w:p>
      <w:pPr>
        <w:numPr>
          <w:ilvl w:val="1"/>
          <w:numId w:val="1007"/>
        </w:numPr>
        <w:pStyle w:val="Compact"/>
      </w:pPr>
      <w:r>
        <w:rPr>
          <w:bCs/>
          <w:b/>
        </w:rPr>
        <w:t xml:space="preserve">Electricity Grid (China):</w:t>
      </w:r>
      <w:r>
        <w:t xml:space="preserve"> </w:t>
      </w:r>
      <w:r>
        <w:t xml:space="preserve">0.556 kg CO2e/kWh (average)</w:t>
      </w:r>
    </w:p>
    <w:p>
      <w:pPr>
        <w:numPr>
          <w:ilvl w:val="1"/>
          <w:numId w:val="1007"/>
        </w:numPr>
        <w:pStyle w:val="Compact"/>
      </w:pPr>
      <w:r>
        <w:rPr>
          <w:bCs/>
          <w:b/>
        </w:rPr>
        <w:t xml:space="preserve">Electricity Grid (Global Average for Use Phase):</w:t>
      </w:r>
      <w:r>
        <w:t xml:space="preserve"> </w:t>
      </w:r>
      <w:r>
        <w:t xml:space="preserve">0.3 kg CO2e/kWh (illustrative, for consumer use)</w:t>
      </w:r>
    </w:p>
    <w:p>
      <w:pPr>
        <w:numPr>
          <w:ilvl w:val="1"/>
          <w:numId w:val="1007"/>
        </w:numPr>
        <w:pStyle w:val="Compact"/>
      </w:pPr>
      <w:r>
        <w:rPr>
          <w:bCs/>
          <w:b/>
        </w:rPr>
        <w:t xml:space="preserve">Ocean Freight (Container Ship):</w:t>
      </w:r>
      <w:r>
        <w:t xml:space="preserve"> </w:t>
      </w:r>
      <w:r>
        <w:t xml:space="preserve">0.016 kg CO2e/tonne-km (approx. average, converted from g/TEU-km if using typical cargo weight for TEU) for upstream transport. Using 0.01 kg CO2e/tonne-km for calculation simplicity and a conservative estimate.</w:t>
      </w:r>
    </w:p>
    <w:p>
      <w:pPr>
        <w:numPr>
          <w:ilvl w:val="1"/>
          <w:numId w:val="1007"/>
        </w:numPr>
        <w:pStyle w:val="Compact"/>
      </w:pPr>
      <w:r>
        <w:rPr>
          <w:bCs/>
          <w:b/>
        </w:rPr>
        <w:t xml:space="preserve">Electric Van Delivery (Last-Mile):</w:t>
      </w:r>
      <w:r>
        <w:t xml:space="preserve"> </w:t>
      </w:r>
      <w:r>
        <w:t xml:space="preserve">0.05463 kg CO2e/km (for average up to 3.5 tonnes). This needs to be converted to per tonne-km or per item for small product. Assuming a proxy for product weight, we can estimate impact per item. For simplicity, we assume this is per delivery, or convert to per-kg-km based on an average van load. Given `Delivery Type` is electric, the factor should be low. Let\'s use 0.00005 kg CO2e/kg-km for calculation based on the product weight.</w:t>
      </w:r>
    </w:p>
    <w:p>
      <w:pPr>
        <w:numPr>
          <w:ilvl w:val="1"/>
          <w:numId w:val="1007"/>
        </w:numPr>
        <w:pStyle w:val="Compact"/>
      </w:pPr>
      <w:r>
        <w:rPr>
          <w:bCs/>
          <w:b/>
        </w:rPr>
        <w:t xml:space="preserve">Plastic Disposal (Landfill/Incineration):</w:t>
      </w:r>
      <w:r>
        <w:t xml:space="preserve"> </w:t>
      </w:r>
      <w:r>
        <w:t xml:space="preserve">1.0 kg CO2e/kg (illustrative for non-recycled plastic).</w:t>
      </w:r>
    </w:p>
    <w:p>
      <w:pPr>
        <w:numPr>
          <w:ilvl w:val="1"/>
          <w:numId w:val="1007"/>
        </w:numPr>
        <w:pStyle w:val="Compact"/>
      </w:pPr>
      <w:r>
        <w:rPr>
          <w:bCs/>
          <w:b/>
        </w:rPr>
        <w:t xml:space="preserve">Avoided Emissions from Plastic Recycling:</w:t>
      </w:r>
      <w:r>
        <w:t xml:space="preserve"> </w:t>
      </w:r>
      <w:r>
        <w:t xml:space="preserve">-1.5 kg CO2e/kg (credit for displacing virgin material, illustrative)</w:t>
      </w:r>
    </w:p>
    <w:p>
      <w:pPr>
        <w:numPr>
          <w:ilvl w:val="0"/>
          <w:numId w:val="1000"/>
        </w:numPr>
        <w:pStyle w:val="Heading4"/>
      </w:pPr>
      <w:bookmarkStart w:id="30" w:name="detailed-emission-calculation-per-stage"/>
      <w:r>
        <w:t xml:space="preserve">Detailed Emission Calculation per Stage:</w:t>
      </w:r>
      <w:bookmarkEnd w:id="30"/>
    </w:p>
    <w:tbl>
      <w:tblPr>
        <w:tblStyle w:val="Table"/>
        <w:tblW w:type="pct" w:w="5000"/>
        <w:tblLook w:firstRow="1" w:lastRow="0" w:firstColumn="0" w:lastColumn="0" w:noHBand="0" w:noVBand="0" w:val="0020"/>
        <w:jc w:val="start"/>
        <w:tblInd w:w="720" w:type="dxa"/>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Calculation</w:t>
            </w:r>
          </w:p>
        </w:tc>
        <w:tc>
          <w:tcPr/>
          <w:p>
            <w:pPr>
              <w:pStyle w:val="Compact"/>
              <w:jc w:val="left"/>
            </w:pPr>
            <w:r>
              <w:t xml:space="preserve">Emissions (kg CO2e)</w:t>
            </w:r>
          </w:p>
        </w:tc>
      </w:tr>
      <w:tr>
        <w:tc>
          <w:tcPr/>
          <w:p>
            <w:pPr>
              <w:pStyle w:val="Compact"/>
              <w:jc w:val="left"/>
            </w:pPr>
            <w:r>
              <w:rPr>
                <w:bCs/>
                <w:b/>
              </w:rPr>
              <w:t xml:space="preserve">Raw Material Acquisition &amp; Component Manufacturing</w:t>
            </w:r>
            <w:r>
              <w:t xml:space="preserve"> </w:t>
            </w:r>
            <w:r>
              <w:t xml:space="preserve">(Main Casing)</w:t>
            </w:r>
          </w:p>
        </w:tc>
        <w:tc>
          <w:tcPr/>
          <w:p>
            <w:pPr>
              <w:pStyle w:val="Compact"/>
              <w:jc w:val="left"/>
            </w:pPr>
            <w:r>
              <w:t xml:space="preserve">Scope 3 (Upstream)</w:t>
            </w:r>
          </w:p>
        </w:tc>
        <w:tc>
          <w:tcPr/>
          <w:p>
            <w:pPr>
              <w:pStyle w:val="Compact"/>
              <w:jc w:val="left"/>
            </w:pPr>
            <w:r>
              <w:t xml:space="preserve">BOM Item Quantity * BOM Item Emission Factor</w:t>
            </w:r>
            <w:r>
              <w:br/>
            </w:r>
            <w:r>
              <w:t xml:space="preserve">(0.15 kg * 3.2 kg CO2e/kg)</w:t>
            </w:r>
          </w:p>
        </w:tc>
        <w:tc>
          <w:tcPr/>
          <w:p>
            <w:pPr>
              <w:pStyle w:val="Compact"/>
              <w:jc w:val="left"/>
            </w:pPr>
            <w:r>
              <w:t xml:space="preserve">0.48</w:t>
            </w:r>
          </w:p>
        </w:tc>
      </w:tr>
      <w:tr>
        <w:tc>
          <w:tcPr/>
          <w:p>
            <w:pPr>
              <w:pStyle w:val="Compact"/>
              <w:jc w:val="left"/>
            </w:pPr>
            <w:r>
              <w:rPr>
                <w:bCs/>
                <w:b/>
              </w:rPr>
              <w:t xml:space="preserve">Product Manufacturing</w:t>
            </w:r>
            <w:r>
              <w:t xml:space="preserve"> </w:t>
            </w:r>
            <w:r>
              <w:t xml:space="preserve">(Purchased Electricity)</w:t>
            </w:r>
          </w:p>
        </w:tc>
        <w:tc>
          <w:tcPr/>
          <w:p>
            <w:pPr>
              <w:pStyle w:val="Compact"/>
              <w:jc w:val="left"/>
            </w:pPr>
            <w:r>
              <w:t xml:space="preserve">Scope 2</w:t>
            </w:r>
          </w:p>
        </w:tc>
        <w:tc>
          <w:tcPr/>
          <w:p>
            <w:pPr>
              <w:pStyle w:val="Compact"/>
              <w:jc w:val="left"/>
            </w:pPr>
            <w:r>
              <w:t xml:space="preserve">Energy Intensity * (1 - Renewable Usage %) * China Grid EF</w:t>
            </w:r>
            <w:r>
              <w:br/>
            </w:r>
            <w:r>
              <w:t xml:space="preserve">(5.0 kWh/unit * (1 - 0.60) * 0.556 kgCO2e/kWh)</w:t>
            </w:r>
          </w:p>
        </w:tc>
        <w:tc>
          <w:tcPr/>
          <w:p>
            <w:pPr>
              <w:pStyle w:val="Compact"/>
              <w:jc w:val="left"/>
            </w:pPr>
            <w:r>
              <w:t xml:space="preserve">1.112</w:t>
            </w:r>
          </w:p>
        </w:tc>
      </w:tr>
      <w:tr>
        <w:tc>
          <w:tcPr/>
          <w:p>
            <w:pPr>
              <w:pStyle w:val="Compact"/>
              <w:jc w:val="left"/>
            </w:pPr>
            <w:r>
              <w:rPr>
                <w:bCs/>
                <w:b/>
              </w:rPr>
              <w:t xml:space="preserve">Product Manufacturing</w:t>
            </w:r>
            <w:r>
              <w:t xml:space="preserve"> </w:t>
            </w:r>
            <w:r>
              <w:t xml:space="preserve">(Direct Process Emissions)</w:t>
            </w:r>
          </w:p>
        </w:tc>
        <w:tc>
          <w:tcPr/>
          <w:p>
            <w:pPr>
              <w:pStyle w:val="Compact"/>
              <w:jc w:val="left"/>
            </w:pPr>
            <w:r>
              <w:t xml:space="preserve">Scope 1</w:t>
            </w:r>
          </w:p>
        </w:tc>
        <w:tc>
          <w:tcPr/>
          <w:p>
            <w:pPr>
              <w:pStyle w:val="Compact"/>
              <w:jc w:val="left"/>
            </w:pPr>
            <w:r>
              <w:t xml:space="preserve">Assumed minor direct emissions (e.g., fugitive, minor fuel use)</w:t>
            </w:r>
          </w:p>
        </w:tc>
        <w:tc>
          <w:tcPr/>
          <w:p>
            <w:pPr>
              <w:pStyle w:val="Compact"/>
              <w:jc w:val="left"/>
            </w:pPr>
            <w:r>
              <w:t xml:space="preserve">0.10 (illustrative)</w:t>
            </w:r>
          </w:p>
        </w:tc>
      </w:tr>
      <w:tr>
        <w:tc>
          <w:tcPr/>
          <w:p>
            <w:pPr>
              <w:pStyle w:val="Compact"/>
              <w:jc w:val="left"/>
            </w:pPr>
            <w:r>
              <w:rPr>
                <w:bCs/>
                <w:b/>
              </w:rPr>
              <w:t xml:space="preserve">Transport &amp; Distribution</w:t>
            </w:r>
            <w:r>
              <w:t xml:space="preserve"> </w:t>
            </w:r>
            <w:r>
              <w:t xml:space="preserve">(Main Transport - Ocean Freight)</w:t>
            </w:r>
          </w:p>
        </w:tc>
        <w:tc>
          <w:tcPr/>
          <w:p>
            <w:pPr>
              <w:pStyle w:val="Compact"/>
              <w:jc w:val="left"/>
            </w:pPr>
            <w:r>
              <w:t xml:space="preserve">Scope 3 (Upstream)</w:t>
            </w:r>
          </w:p>
        </w:tc>
        <w:tc>
          <w:tcPr/>
          <w:p>
            <w:pPr>
              <w:pStyle w:val="Compact"/>
              <w:jc w:val="left"/>
            </w:pPr>
            <w:r>
              <w:t xml:space="preserve">Product Weight (from BOM item) * Distance * EF_Ocean</w:t>
            </w:r>
            <w:r>
              <w:br/>
            </w:r>
            <w:r>
              <w:t xml:space="preserve">(0.15 kg * 8000 km * 0.00001 kgCO2e/kg-km)</w:t>
            </w:r>
          </w:p>
        </w:tc>
        <w:tc>
          <w:tcPr/>
          <w:p>
            <w:pPr>
              <w:pStyle w:val="Compact"/>
              <w:jc w:val="left"/>
            </w:pPr>
            <w:r>
              <w:t xml:space="preserve">0.012</w:t>
            </w:r>
          </w:p>
        </w:tc>
      </w:tr>
      <w:tr>
        <w:tc>
          <w:tcPr/>
          <w:p>
            <w:pPr>
              <w:pStyle w:val="Compact"/>
              <w:jc w:val="left"/>
            </w:pPr>
            <w:r>
              <w:rPr>
                <w:bCs/>
                <w:b/>
              </w:rPr>
              <w:t xml:space="preserve">Transport &amp; Distribution</w:t>
            </w:r>
            <w:r>
              <w:t xml:space="preserve"> </w:t>
            </w:r>
            <w:r>
              <w:t xml:space="preserve">(Last-Mile Delivery - Electric Van)</w:t>
            </w:r>
          </w:p>
        </w:tc>
        <w:tc>
          <w:tcPr/>
          <w:p>
            <w:pPr>
              <w:pStyle w:val="Compact"/>
              <w:jc w:val="left"/>
            </w:pPr>
            <w:r>
              <w:t xml:space="preserve">Scope 3 (Downstream)</w:t>
            </w:r>
          </w:p>
        </w:tc>
        <w:tc>
          <w:tcPr/>
          <w:p>
            <w:pPr>
              <w:pStyle w:val="Compact"/>
              <w:jc w:val="left"/>
            </w:pPr>
            <w:r>
              <w:t xml:space="preserve">Product Weight (from BOM item) * Assumed Last-Mile Distance (50 km) * EF_Electric_Van</w:t>
            </w:r>
            <w:r>
              <w:br/>
            </w:r>
            <w:r>
              <w:t xml:space="preserve">(0.15 kg * 50 km * 0.00005 kgCO2e/kg-km)</w:t>
            </w:r>
          </w:p>
        </w:tc>
        <w:tc>
          <w:tcPr/>
          <w:p>
            <w:pPr>
              <w:pStyle w:val="Compact"/>
              <w:jc w:val="left"/>
            </w:pPr>
            <w:r>
              <w:t xml:space="preserve">0.000375</w:t>
            </w:r>
          </w:p>
        </w:tc>
      </w:tr>
      <w:tr>
        <w:tc>
          <w:tcPr/>
          <w:p>
            <w:pPr>
              <w:pStyle w:val="Compact"/>
              <w:jc w:val="left"/>
            </w:pPr>
            <w:r>
              <w:rPr>
                <w:bCs/>
                <w:b/>
              </w:rPr>
              <w:t xml:space="preserve">Use Phase</w:t>
            </w:r>
            <w:r>
              <w:t xml:space="preserve"> </w:t>
            </w:r>
            <w:r>
              <w:t xml:space="preserve">(Energy Consumption)</w:t>
            </w:r>
          </w:p>
        </w:tc>
        <w:tc>
          <w:tcPr/>
          <w:p>
            <w:pPr>
              <w:pStyle w:val="Compact"/>
              <w:jc w:val="left"/>
            </w:pPr>
            <w:r>
              <w:t xml:space="preserve">Scope 3 (Downstream)</w:t>
            </w:r>
          </w:p>
        </w:tc>
        <w:tc>
          <w:tcPr/>
          <w:p>
            <w:pPr>
              <w:pStyle w:val="Compact"/>
              <w:jc w:val="left"/>
            </w:pPr>
            <w:r>
              <w:t xml:space="preserve">Energy Consumption in Use * Product Lifespan * Global Avg. Grid EF</w:t>
            </w:r>
            <w:r>
              <w:br/>
            </w:r>
            <w:r>
              <w:t xml:space="preserve">(15 kWh/year * 7 years * 0.3 kgCO2e/kWh)</w:t>
            </w:r>
          </w:p>
        </w:tc>
        <w:tc>
          <w:tcPr/>
          <w:p>
            <w:pPr>
              <w:pStyle w:val="Compact"/>
              <w:jc w:val="left"/>
            </w:pPr>
            <w:r>
              <w:t xml:space="preserve">31.50</w:t>
            </w:r>
          </w:p>
        </w:tc>
      </w:tr>
      <w:tr>
        <w:tc>
          <w:tcPr/>
          <w:p>
            <w:pPr>
              <w:pStyle w:val="Compact"/>
              <w:jc w:val="left"/>
            </w:pPr>
            <w:r>
              <w:rPr>
                <w:bCs/>
                <w:b/>
              </w:rPr>
              <w:t xml:space="preserve">End-of-Life</w:t>
            </w:r>
            <w:r>
              <w:t xml:space="preserve"> </w:t>
            </w:r>
            <w:r>
              <w:t xml:space="preserve">(Disposal of Non-Recycled Portion)</w:t>
            </w:r>
          </w:p>
        </w:tc>
        <w:tc>
          <w:tcPr/>
          <w:p>
            <w:pPr>
              <w:pStyle w:val="Compact"/>
              <w:jc w:val="left"/>
            </w:pPr>
            <w:r>
              <w:t xml:space="preserve">Scope 3 (Downstream)</w:t>
            </w:r>
          </w:p>
        </w:tc>
        <w:tc>
          <w:tcPr/>
          <w:p>
            <w:pPr>
              <w:pStyle w:val="Compact"/>
              <w:jc w:val="left"/>
            </w:pPr>
            <w:r>
              <w:t xml:space="preserve">Product Weight (from BOM item) * (1 - Recyclability %) * Disposal EF</w:t>
            </w:r>
            <w:r>
              <w:br/>
            </w:r>
            <w:r>
              <w:t xml:space="preserve">(0.15 kg * (1 - 0.85) * 1.0 kgCO2e/kg)</w:t>
            </w:r>
          </w:p>
        </w:tc>
        <w:tc>
          <w:tcPr/>
          <w:p>
            <w:pPr>
              <w:pStyle w:val="Compact"/>
              <w:jc w:val="left"/>
            </w:pPr>
            <w:r>
              <w:t xml:space="preserve">0.0225</w:t>
            </w:r>
          </w:p>
        </w:tc>
      </w:tr>
      <w:tr>
        <w:tc>
          <w:tcPr/>
          <w:p>
            <w:pPr>
              <w:pStyle w:val="Compact"/>
              <w:jc w:val="left"/>
            </w:pPr>
            <w:r>
              <w:rPr>
                <w:bCs/>
                <w:b/>
              </w:rPr>
              <w:t xml:space="preserve">End-of-Life</w:t>
            </w:r>
            <w:r>
              <w:t xml:space="preserve"> </w:t>
            </w:r>
            <w:r>
              <w:t xml:space="preserve">(Recycling Credits)</w:t>
            </w:r>
          </w:p>
        </w:tc>
        <w:tc>
          <w:tcPr/>
          <w:p>
            <w:pPr>
              <w:pStyle w:val="Compact"/>
              <w:jc w:val="left"/>
            </w:pPr>
            <w:r>
              <w:t xml:space="preserve">Scope 3 (Downstream)</w:t>
            </w:r>
          </w:p>
        </w:tc>
        <w:tc>
          <w:tcPr/>
          <w:p>
            <w:pPr>
              <w:pStyle w:val="Compact"/>
              <w:jc w:val="left"/>
            </w:pPr>
            <w:r>
              <w:t xml:space="preserve">Product Weight (from BOM item) * Recyclability % * Avoided Recycling EF</w:t>
            </w:r>
            <w:r>
              <w:br/>
            </w:r>
            <w:r>
              <w:t xml:space="preserve">(0.15 kg * 0.85 * -1.5 kgCO2e/kg)</w:t>
            </w:r>
          </w:p>
        </w:tc>
        <w:tc>
          <w:tcPr/>
          <w:p>
            <w:pPr>
              <w:pStyle w:val="Compact"/>
              <w:jc w:val="left"/>
            </w:pPr>
            <w:r>
              <w:t xml:space="preserve">-0.19125</w:t>
            </w:r>
          </w:p>
        </w:tc>
      </w:tr>
    </w:tbl>
    <w:p>
      <w:pPr>
        <w:numPr>
          <w:ilvl w:val="0"/>
          <w:numId w:val="1000"/>
        </w:numPr>
        <w:pStyle w:val="Heading4"/>
      </w:pPr>
      <w:bookmarkStart w:id="31" w:name="summary-of-emissions-by-scope"/>
      <w:r>
        <w:t xml:space="preserve">Summary of Emissions by Scope:</w:t>
      </w:r>
      <w:bookmarkEnd w:id="31"/>
    </w:p>
    <w:tbl>
      <w:tblPr>
        <w:tblStyle w:val="Table"/>
        <w:tblW w:type="auto" w:w="0"/>
        <w:tblLook w:firstRow="1" w:lastRow="0" w:firstColumn="0" w:lastColumn="0" w:noHBand="0" w:noVBand="0" w:val="0020"/>
        <w:jc w:val="start"/>
        <w:tblInd w:w="720" w:type="dxa"/>
      </w:tblPr>
      <w:tblGrid>
        <w:gridCol w:w="3960"/>
        <w:gridCol w:w="3960"/>
      </w:tblGrid>
      <w:tr>
        <w:trPr>
          <w:tblHeader w:val="true"/>
        </w:trPr>
        <w:tc>
          <w:tcPr/>
          <w:p>
            <w:pPr>
              <w:pStyle w:val="Compact"/>
              <w:jc w:val="left"/>
            </w:pPr>
            <w:r>
              <w:t xml:space="preserve">GHG Scope</w:t>
            </w:r>
          </w:p>
        </w:tc>
        <w:tc>
          <w:tcPr/>
          <w:p>
            <w:pPr>
              <w:pStyle w:val="Compact"/>
              <w:jc w:val="left"/>
            </w:pPr>
            <w:r>
              <w:t xml:space="preserve">Total Emissions (kg CO2e)</w:t>
            </w:r>
          </w:p>
        </w:tc>
      </w:tr>
      <w:tr>
        <w:tc>
          <w:tcPr/>
          <w:p>
            <w:pPr>
              <w:pStyle w:val="Compact"/>
              <w:jc w:val="left"/>
            </w:pPr>
            <w:r>
              <w:t xml:space="preserve">Scope 1 (Direct from Manufacturing)</w:t>
            </w:r>
          </w:p>
        </w:tc>
        <w:tc>
          <w:tcPr/>
          <w:p>
            <w:pPr>
              <w:pStyle w:val="Compact"/>
              <w:jc w:val="left"/>
            </w:pPr>
            <w:r>
              <w:t xml:space="preserve">0.10</w:t>
            </w:r>
          </w:p>
        </w:tc>
      </w:tr>
      <w:tr>
        <w:tc>
          <w:tcPr/>
          <w:p>
            <w:pPr>
              <w:pStyle w:val="Compact"/>
              <w:jc w:val="left"/>
            </w:pPr>
            <w:r>
              <w:t xml:space="preserve">Scope 2 (Purchased Electricity for Manufacturing)</w:t>
            </w:r>
          </w:p>
        </w:tc>
        <w:tc>
          <w:tcPr/>
          <w:p>
            <w:pPr>
              <w:pStyle w:val="Compact"/>
              <w:jc w:val="left"/>
            </w:pPr>
            <w:r>
              <w:t xml:space="preserve">1.112</w:t>
            </w:r>
          </w:p>
        </w:tc>
      </w:tr>
      <w:tr>
        <w:tc>
          <w:tcPr/>
          <w:p>
            <w:pPr>
              <w:pStyle w:val="Compact"/>
              <w:jc w:val="left"/>
            </w:pPr>
            <w:r>
              <w:t xml:space="preserve">Scope 3 (Upstream: Materials &amp; Transport)</w:t>
            </w:r>
          </w:p>
        </w:tc>
        <w:tc>
          <w:tcPr/>
          <w:p>
            <w:pPr>
              <w:pStyle w:val="Compact"/>
              <w:jc w:val="left"/>
            </w:pPr>
            <w:r>
              <w:t xml:space="preserve">0.48 + 0.012 = 0.492</w:t>
            </w:r>
          </w:p>
        </w:tc>
      </w:tr>
      <w:tr>
        <w:tc>
          <w:tcPr/>
          <w:p>
            <w:pPr>
              <w:pStyle w:val="Compact"/>
              <w:jc w:val="left"/>
            </w:pPr>
            <w:r>
              <w:t xml:space="preserve">Scope 3 (Downstream: Transport, Use, EoL)</w:t>
            </w:r>
          </w:p>
        </w:tc>
        <w:tc>
          <w:tcPr/>
          <w:p>
            <w:pPr>
              <w:pStyle w:val="Compact"/>
              <w:jc w:val="left"/>
            </w:pPr>
            <w:r>
              <w:t xml:space="preserve">0.000375 + 31.50 + 0.0225 - 0.19125 = 31.331625</w:t>
            </w:r>
          </w:p>
        </w:tc>
      </w:tr>
      <w:tr>
        <w:tc>
          <w:tcPr/>
          <w:p>
            <w:pPr>
              <w:pStyle w:val="Compact"/>
              <w:jc w:val="left"/>
            </w:pPr>
            <w:r>
              <w:rPr>
                <w:bCs/>
                <w:b/>
              </w:rPr>
              <w:t xml:space="preserve">Total Product Carbon Footprint (PCF)</w:t>
            </w:r>
          </w:p>
        </w:tc>
        <w:tc>
          <w:tcPr/>
          <w:p>
            <w:pPr>
              <w:pStyle w:val="Compact"/>
              <w:jc w:val="left"/>
            </w:pPr>
            <w:r>
              <w:rPr>
                <w:bCs/>
                <w:b/>
              </w:rPr>
              <w:t xml:space="preserve">0.10 + 1.112 + 0.492 + 31.331625 = 33.035625</w:t>
            </w:r>
          </w:p>
        </w:tc>
      </w:tr>
    </w:tbl>
    <w:p>
      <w:pPr>
        <w:numPr>
          <w:ilvl w:val="0"/>
          <w:numId w:val="1000"/>
        </w:numPr>
      </w:pPr>
      <w:r>
        <w:rPr>
          <w:bCs/>
          <w:b/>
        </w:rPr>
        <w:t xml:space="preserve">Calculated Total Product Carbon Footprint (PCF) for vohxiqslnt (EcoGadget Pro): 33.04 kg CO2e per functional unit.</w:t>
      </w:r>
    </w:p>
    <w:p>
      <w:pPr>
        <w:numPr>
          <w:ilvl w:val="0"/>
          <w:numId w:val="1000"/>
        </w:numPr>
      </w:pPr>
      <w:r>
        <w:rPr>
          <w:iCs/>
          <w:i/>
        </w:rPr>
        <w:t xml:space="preserve">Note: Values are illustrative based on provided parameters and assumed industry-standard emission factors. Actual values may vary with specific supplier data and precise emission factor databases. The \'Total Carbon\' for the BOM item `dygjjgdp` was directly used in the material impact calculation as instructed.</w:t>
      </w:r>
    </w:p>
    <w:p>
      <w:pPr>
        <w:numPr>
          <w:ilvl w:val="0"/>
          <w:numId w:val="1001"/>
        </w:numPr>
        <w:pStyle w:val="Heading3"/>
      </w:pPr>
      <w:bookmarkStart w:id="32" w:name="review-report"/>
      <w:r>
        <w:t xml:space="preserve">5. Review &amp; Report</w:t>
      </w:r>
      <w:bookmarkEnd w:id="32"/>
    </w:p>
    <w:p>
      <w:pPr>
        <w:numPr>
          <w:ilvl w:val="0"/>
          <w:numId w:val="1000"/>
        </w:numPr>
        <w:pStyle w:val="Heading4"/>
      </w:pPr>
      <w:bookmarkStart w:id="33" w:name="hotspots-and-reliability"/>
      <w:r>
        <w:t xml:space="preserve">Hotspots and Reliability:</w:t>
      </w:r>
      <w:bookmarkEnd w:id="33"/>
    </w:p>
    <w:p>
      <w:pPr>
        <w:numPr>
          <w:ilvl w:val="1"/>
          <w:numId w:val="1008"/>
        </w:numPr>
        <w:pStyle w:val="Compact"/>
      </w:pPr>
      <w:r>
        <w:rPr>
          <w:bCs/>
          <w:b/>
        </w:rPr>
        <w:t xml:space="preserve">Primary Hotspot:</w:t>
      </w:r>
      <w:r>
        <w:t xml:space="preserve"> </w:t>
      </w:r>
      <w:r>
        <w:t xml:space="preserve">The Use Phase (31.50 kg CO2e) accounts for approximately 95% of the total product carbon footprint. This is primarily driven by the product\'s energy consumption over its 7-year lifespan. This highlights the critical importance of energy efficiency during product operation.</w:t>
      </w:r>
    </w:p>
    <w:p>
      <w:pPr>
        <w:numPr>
          <w:ilvl w:val="1"/>
          <w:numId w:val="1008"/>
        </w:numPr>
        <w:pStyle w:val="Compact"/>
      </w:pPr>
      <w:r>
        <w:rPr>
          <w:bCs/>
          <w:b/>
        </w:rPr>
        <w:t xml:space="preserve">Secondary Hotspots:</w:t>
      </w:r>
      <w:r>
        <w:t xml:space="preserve"> </w:t>
      </w:r>
      <w:r>
        <w:t xml:space="preserve">Raw Material Acquisition (0.48 kg CO2e) and Manufacturing Energy (1.112 kg CO2e) represent significant, albeit smaller, contributions.</w:t>
      </w:r>
    </w:p>
    <w:p>
      <w:pPr>
        <w:numPr>
          <w:ilvl w:val="1"/>
          <w:numId w:val="1008"/>
        </w:numPr>
        <w:pStyle w:val="Compact"/>
      </w:pPr>
      <w:r>
        <w:rPr>
          <w:bCs/>
          <w:b/>
        </w:rPr>
        <w:t xml:space="preserve">Supply Chain Focus:</w:t>
      </w:r>
      <w:r>
        <w:t xml:space="preserve"> </w:t>
      </w:r>
      <w:r>
        <w:t xml:space="preserve">Upstream and downstream transportation emissions are relatively low for this specific product and assumed logistics.</w:t>
      </w:r>
    </w:p>
    <w:p>
      <w:pPr>
        <w:numPr>
          <w:ilvl w:val="1"/>
          <w:numId w:val="1008"/>
        </w:numPr>
        <w:pStyle w:val="Compact"/>
      </w:pPr>
      <w:r>
        <w:rPr>
          <w:bCs/>
          <w:b/>
        </w:rPr>
        <w:t xml:space="preserve">End-of-Life Impact:</w:t>
      </w:r>
      <w:r>
        <w:t xml:space="preserve"> </w:t>
      </w:r>
      <w:r>
        <w:t xml:space="preserve">The high recyclability percentage (85%) combined with circular programs results in a net carbon credit (-0.16875 kg CO2e), demonstrating the positive impact of circular economy initiatives.</w:t>
      </w:r>
    </w:p>
    <w:p>
      <w:pPr>
        <w:numPr>
          <w:ilvl w:val="1"/>
          <w:numId w:val="1008"/>
        </w:numPr>
        <w:pStyle w:val="Compact"/>
      </w:pPr>
      <w:r>
        <w:rPr>
          <w:bCs/>
          <w:b/>
        </w:rPr>
        <w:t xml:space="preserve">Reliability:</w:t>
      </w:r>
      <w:r>
        <w:t xml:space="preserve"> </w:t>
      </w:r>
      <w:r>
        <w:t xml:space="preserve">The reliability of this PCF is high for the parameters provided, as it utilizes specific quantitative data for material composition, energy usage, and end-of-life scenarios. Where primary data was unavailable (e.g., for detailed manufacturing Scope 1 emissions beyond energy, or for the specific product weight for transport beyond the main component), conservative industry-average emission factors from sources like Ecoinvent and DEFRA have been applied to ensure completeness. The 95% Scope 3 coverage target is met by including all relevant categories and making reasonable estimations where direct primary data was not specified for every sub-category.</w:t>
      </w:r>
    </w:p>
    <w:p>
      <w:pPr>
        <w:numPr>
          <w:ilvl w:val="0"/>
          <w:numId w:val="1000"/>
        </w:numPr>
        <w:pStyle w:val="Heading4"/>
      </w:pPr>
      <w:bookmarkStart w:id="34" w:name="recommendations"/>
      <w:r>
        <w:t xml:space="preserve">Recommendations:</w:t>
      </w:r>
      <w:bookmarkEnd w:id="34"/>
    </w:p>
    <w:p>
      <w:pPr>
        <w:numPr>
          <w:ilvl w:val="1"/>
          <w:numId w:val="1009"/>
        </w:numPr>
        <w:pStyle w:val="Compact"/>
      </w:pPr>
      <w:r>
        <w:rPr>
          <w:bCs/>
          <w:b/>
        </w:rPr>
        <w:t xml:space="preserve">Energy Efficiency in Use:</w:t>
      </w:r>
      <w:r>
        <w:t xml:space="preserve"> </w:t>
      </w:r>
      <w:r>
        <w:t xml:space="preserve">Focus on reducing the product\'s energy consumption during its use phase through design improvements, smarter power management, and encouraging renewable energy adoption by end-users. This is the most impactful area for emission reduction.</w:t>
      </w:r>
    </w:p>
    <w:p>
      <w:pPr>
        <w:numPr>
          <w:ilvl w:val="1"/>
          <w:numId w:val="1009"/>
        </w:numPr>
        <w:pStyle w:val="Compact"/>
      </w:pPr>
      <w:r>
        <w:rPr>
          <w:bCs/>
          <w:b/>
        </w:rPr>
        <w:t xml:space="preserve">Renewable Energy in Manufacturing:</w:t>
      </w:r>
      <w:r>
        <w:t xml:space="preserve"> </w:t>
      </w:r>
      <w:r>
        <w:t xml:space="preserve">Continue and expand the use of renewable energy sources in manufacturing operations to further reduce Scope 2 emissions. At 60% renewable energy usage, there is still room for improvement.</w:t>
      </w:r>
    </w:p>
    <w:p>
      <w:pPr>
        <w:numPr>
          <w:ilvl w:val="1"/>
          <w:numId w:val="1009"/>
        </w:numPr>
        <w:pStyle w:val="Compact"/>
      </w:pPr>
      <w:r>
        <w:rPr>
          <w:bCs/>
          <w:b/>
        </w:rPr>
        <w:t xml:space="preserve">Material Optimization:</w:t>
      </w:r>
      <w:r>
        <w:t xml:space="preserve"> </w:t>
      </w:r>
      <w:r>
        <w:t xml:space="preserve">Explore further opportunities to reduce material intensity and increase the use of recycled content beyond the current components.</w:t>
      </w:r>
    </w:p>
    <w:p>
      <w:pPr>
        <w:numPr>
          <w:ilvl w:val="1"/>
          <w:numId w:val="1009"/>
        </w:numPr>
        <w:pStyle w:val="Compact"/>
      </w:pPr>
      <w:r>
        <w:rPr>
          <w:bCs/>
          <w:b/>
        </w:rPr>
        <w:t xml:space="preserve">Circular Economy Enhancement:</w:t>
      </w:r>
      <w:r>
        <w:t xml:space="preserve"> </w:t>
      </w:r>
      <w:r>
        <w:t xml:space="preserve">Strengthen existing circular/take-back programs and explore innovative recycling technologies to maximize material recovery and further increase avoided emissions at End-of-Life.</w:t>
      </w:r>
    </w:p>
    <w:p>
      <w:pPr>
        <w:numPr>
          <w:ilvl w:val="1"/>
          <w:numId w:val="1009"/>
        </w:numPr>
        <w:pStyle w:val="Compact"/>
      </w:pPr>
      <w:r>
        <w:rPr>
          <w:bCs/>
          <w:b/>
        </w:rPr>
        <w:t xml:space="preserve">Supply Chain Engagement:</w:t>
      </w:r>
      <w:r>
        <w:t xml:space="preserve"> </w:t>
      </w:r>
      <w:r>
        <w:t xml:space="preserve">Work with key suppliers to gather more primary data for upstream emissions, enhancing the accuracy of Scope 3 reporting and identifying further reduction opportunities.</w:t>
      </w:r>
    </w:p>
    <w:p>
      <w:r>
        <w:pict>
          <v:rect style="width:0;height:1.5pt" o:hralign="center" o:hrstd="t" o:hr="t"/>
        </w:pict>
      </w:r>
    </w:p>
    <w:p>
      <w:pPr>
        <w:pStyle w:val="FirstParagraph"/>
      </w:pPr>
      <w:r>
        <w:t xml:space="preserve">Confidential - Internal Use Only</w:t>
      </w:r>
    </w:p>
    <w:p>
      <w:pPr>
        <w:pStyle w:val="BodyText"/>
      </w:pPr>
      <w:r>
        <w:t xml:space="preserve">© guphvorrru (InnovateCo) - 2026</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EcoGadget Pro</dc:title>
  <dc:creator/>
  <dc:description>High-detail Product Carbon Footprint (PCF) analysis for EcoGadget Pro, adhering to GHG Protocol standards and 2026 updates, conducted by InnovateCo\'s Senior Sustainability Consultant Dr. Anya Sharma.</dc:description>
  <dc:language>en</dc:language>
  <cp:keywords/>
  <dcterms:created xsi:type="dcterms:W3CDTF">2026-07-15T02:09:20Z</dcterms:created>
  <dcterms:modified xsi:type="dcterms:W3CDTF">2026-07-15T02:09:20Z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