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dyghxtffyh</w:t>
      </w:r>
      <w:r>
        <w:t xml:space="preserve"> </w:t>
      </w:r>
      <w:r>
        <w:t xml:space="preserve">-</w:t>
      </w:r>
      <w:r>
        <w:t xml:space="preserve"> </w:t>
      </w:r>
      <w:r>
        <w:t xml:space="preserve">xxkjqdkrje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dyghxtffyh</w:t>
      </w:r>
    </w:p>
    <w:p>
      <w:pPr>
        <w:pStyle w:val="BodyText"/>
      </w:pPr>
      <w:r>
        <w:rPr>
          <w:bCs/>
          <w:b/>
        </w:rPr>
        <w:t xml:space="preserve">Company:</w:t>
      </w:r>
      <w:r>
        <w:t xml:space="preserve"> </w:t>
      </w:r>
      <w:r>
        <w:t xml:space="preserve">xxkjqdkrje</w:t>
      </w:r>
    </w:p>
    <w:p>
      <w:pPr>
        <w:pStyle w:val="BodyText"/>
      </w:pPr>
      <w:r>
        <w:rPr>
          <w:bCs/>
          <w:b/>
        </w:rPr>
        <w:t xml:space="preserve">Senior Sustainability Consultant:</w:t>
      </w:r>
      <w:r>
        <w:t xml:space="preserve"> </w:t>
      </w:r>
      <w:r>
        <w:t xml:space="preserve">kulxxupwnh</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efforts have been made to ensure accuracy, actual emissions may vary depending on specific operational details and data quality.</w:t>
      </w:r>
    </w:p>
    <w:bookmarkEnd w:id="20"/>
    <w:bookmarkStart w:id="21" w:name="Xbc3995ea1622fb62b1bb74983b0a197574e8cb3"/>
    <w:p>
      <w:pPr>
        <w:pStyle w:val="Heading1"/>
      </w:pPr>
      <w:r>
        <w:t xml:space="preserve">Product Carbon Footprint Analysis Report: dyghxtffyh</w:t>
      </w:r>
    </w:p>
    <w:p>
      <w:pPr>
        <w:pStyle w:val="FirstParagraph"/>
      </w:pPr>
      <w:r>
        <w:t xml:space="preserve">Generated Date: May 31,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details a high-detail Product Carbon Footprint (PCF) analysis for the product</w:t>
      </w:r>
      <w:r>
        <w:t xml:space="preserve"> </w:t>
      </w:r>
      <w:r>
        <w:rPr>
          <w:bCs/>
          <w:b/>
        </w:rPr>
        <w:t xml:space="preserve">dyghxtffyh</w:t>
      </w:r>
      <w:r>
        <w:t xml:space="preserve">, manufactured by</w:t>
      </w:r>
      <w:r>
        <w:t xml:space="preserve"> </w:t>
      </w:r>
      <w:r>
        <w:rPr>
          <w:bCs/>
          <w:b/>
        </w:rPr>
        <w:t xml:space="preserve">xxkjqdkrje</w:t>
      </w:r>
      <w:r>
        <w:t xml:space="preserve">. As Senior Sustainability Consultant</w:t>
      </w:r>
      <w:r>
        <w:t xml:space="preserve"> </w:t>
      </w:r>
      <w:r>
        <w:rPr>
          <w:bCs/>
          <w:b/>
        </w:rPr>
        <w:t xml:space="preserve">kulxxupwnh</w:t>
      </w:r>
      <w:r>
        <w:t xml:space="preserve">, this analysis adheres to the Greenhouse Gas (GHG) Protocol, including the latest 2026 Land Sector and Removals (LSR) Standard updates and proposed Scope 3 reporting requirements for 95% coverage. The primary objective is to quantify the cradle-to-grave greenhouse gas emissions (CO2e) associated with the functional unit of 1.0 unit of dyghxtffyh, identify emission hotspots, and provide recommendations for reduction.</w:t>
      </w:r>
    </w:p>
    <w:p>
      <w:pPr>
        <w:pStyle w:val="BodyText"/>
      </w:pPr>
      <w:r>
        <w:t xml:space="preserve">The analysis encompasses all life cycle stages: materials acquisition and pre-processing, manufacturing, transportation, product use, and end-of-life treatment. Key findings indicate that the majority of emissions originate from upstream materials and the energy consumption during the product\'s use phase. Strategic interventions in these areas are crucial for significant emission reductions.</w:t>
      </w:r>
    </w:p>
    <w:bookmarkEnd w:id="22"/>
    <w:p>
      <w:r>
        <w:pict>
          <v:rect style="width:0;height:1.5pt" o:hralign="center" o:hrstd="t" o:hr="t"/>
        </w:pict>
      </w:r>
    </w:p>
    <w:bookmarkStart w:id="23" w:name="introduction"/>
    <w:p>
      <w:pPr>
        <w:pStyle w:val="Heading2"/>
      </w:pPr>
      <w:r>
        <w:t xml:space="preserve">1. Introduction</w:t>
      </w:r>
    </w:p>
    <w:p>
      <w:pPr>
        <w:pStyle w:val="FirstParagraph"/>
      </w:pPr>
      <w:r>
        <w:t xml:space="preserve">The growing imperative for businesses to understand and mitigate their environmental impact necessitates robust and transparent carbon accounting. This report provides a comprehensive Product Carbon Footprint (PCF) for</w:t>
      </w:r>
      <w:r>
        <w:t xml:space="preserve"> </w:t>
      </w:r>
      <w:r>
        <w:rPr>
          <w:bCs/>
          <w:b/>
        </w:rPr>
        <w:t xml:space="preserve">dyghxtffyh</w:t>
      </w:r>
      <w:r>
        <w:t xml:space="preserve">, following the rigorous guidelines set forth by the GHG Protocol. This analysis serves as a foundational step for</w:t>
      </w:r>
      <w:r>
        <w:t xml:space="preserve"> </w:t>
      </w:r>
      <w:r>
        <w:rPr>
          <w:bCs/>
          <w:b/>
        </w:rPr>
        <w:t xml:space="preserve">xxkjqdkrje</w:t>
      </w:r>
      <w:r>
        <w:t xml:space="preserve"> </w:t>
      </w:r>
      <w:r>
        <w:t xml:space="preserve">to identify emission reduction opportunities, inform sustainable design decisions, and meet evolving disclosure requirements.</w:t>
      </w:r>
    </w:p>
    <w:bookmarkEnd w:id="23"/>
    <w:p>
      <w:r>
        <w:pict>
          <v:rect style="width:0;height:1.5pt" o:hralign="center" o:hrstd="t" o:hr="t"/>
        </w:pict>
      </w:r>
    </w:p>
    <w:bookmarkStart w:id="34" w:name="methodology"/>
    <w:p>
      <w:pPr>
        <w:pStyle w:val="Heading2"/>
      </w:pPr>
      <w:r>
        <w:t xml:space="preserve">2. Methodology</w:t>
      </w:r>
    </w:p>
    <w:p>
      <w:pPr>
        <w:pStyle w:val="FirstParagraph"/>
      </w:pPr>
      <w:r>
        <w:t xml:space="preserve">The PCF analysis was conducted following the five-step methodology recommended by the GHG Protocol:</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1.0 unit of dyghxtffyh. This serves as the reference flow to which all inputs and outputs are normalized.</w:t>
      </w:r>
    </w:p>
    <w:p>
      <w:pPr>
        <w:numPr>
          <w:ilvl w:val="0"/>
          <w:numId w:val="1001"/>
        </w:numPr>
        <w:pStyle w:val="Compact"/>
      </w:pPr>
      <w:r>
        <w:rPr>
          <w:bCs/>
          <w:b/>
        </w:rPr>
        <w:t xml:space="preserve">System Boundary:</w:t>
      </w:r>
      <w:r>
        <w:t xml:space="preserve"> </w:t>
      </w:r>
      <w:r>
        <w:t xml:space="preserve">The defined system boundary for operational control is \'factory_gate\'. However, for a comprehensive Product Carbon Footprint (PCF) reflecting a \'cradle-to-grave\' perspective, this analysis extends beyond the factory gate to include upstream (materials, upstream transport) and downstream (downstream transport, use phase, end-of-life) stages of the product\'s lifecycle. Emissions associated with manufacturing fall within Scope 1 and 2, while upstream and downstream activities are classified as Scope 3.</w:t>
      </w:r>
    </w:p>
    <w:p>
      <w:pPr>
        <w:numPr>
          <w:ilvl w:val="0"/>
          <w:numId w:val="1001"/>
        </w:numPr>
        <w:pStyle w:val="Compact"/>
      </w:pPr>
      <w:r>
        <w:rPr>
          <w:bCs/>
          <w:b/>
        </w:rPr>
        <w:t xml:space="preserve">Geographic Scope:</w:t>
      </w:r>
      <w:r>
        <w:t xml:space="preserve"> </w:t>
      </w:r>
      <w:r>
        <w:t xml:space="preserve">Final production occurs in China, while the supply chain focus for upstream activities is primarily Europe-focused. The use phase is assumed to occur in Europe.</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 Corporate Accounting and Reporting Standard</w:t>
      </w:r>
      <w:r>
        <w:t xml:space="preserve"> </w:t>
      </w:r>
      <w:r>
        <w:t xml:space="preserve">and the</w:t>
      </w:r>
      <w:r>
        <w:t xml:space="preserve"> </w:t>
      </w:r>
      <w:r>
        <w:rPr>
          <w:bCs/>
          <w:b/>
        </w:rPr>
        <w:t xml:space="preserve">Corporate Value Chain (Scope 3) Accounting and Reporting Standard</w:t>
      </w:r>
      <w:r>
        <w:t xml:space="preserve">.</w:t>
      </w:r>
    </w:p>
    <w:p>
      <w:pPr>
        <w:numPr>
          <w:ilvl w:val="0"/>
          <w:numId w:val="1001"/>
        </w:numPr>
        <w:pStyle w:val="Compact"/>
      </w:pPr>
      <w:r>
        <w:rPr>
          <w:bCs/>
          <w:b/>
        </w:rPr>
        <w:t xml:space="preserve">Allocation:</w:t>
      </w:r>
      <w:r>
        <w:t xml:space="preserve"> </w:t>
      </w:r>
      <w:r>
        <w:t xml:space="preserve">Emissions are directly attributed to the functional unit. In cases of co-products or shared processes (not explicitly detailed for this product), mass-based allocation would be applied proportionally.</w:t>
      </w:r>
    </w:p>
    <w:p>
      <w:pPr>
        <w:numPr>
          <w:ilvl w:val="0"/>
          <w:numId w:val="1001"/>
        </w:numPr>
        <w:pStyle w:val="Compact"/>
      </w:pPr>
      <w:r>
        <w:rPr>
          <w:bCs/>
          <w:b/>
        </w:rPr>
        <w:t xml:space="preserve">GHG Protocol Scopes:</w:t>
      </w:r>
    </w:p>
    <w:p>
      <w:pPr>
        <w:numPr>
          <w:ilvl w:val="1"/>
          <w:numId w:val="1002"/>
        </w:numPr>
        <w:pStyle w:val="Compact"/>
      </w:pPr>
      <w:r>
        <w:rPr>
          <w:bCs/>
          <w:b/>
        </w:rPr>
        <w:t xml:space="preserve">Scope 1: Direct Emissions</w:t>
      </w:r>
      <w:r>
        <w:t xml:space="preserve"> </w:t>
      </w:r>
      <w:r>
        <w:t xml:space="preserve">– GHG emissions from sources owned or controlled by xxkjqdkrje. For this analysis, direct manufacturing emissions (e.g., from owned combustion sources) are assumed minimal or integrated into manufacturing process energy if primary data is not available.</w:t>
      </w:r>
    </w:p>
    <w:p>
      <w:pPr>
        <w:numPr>
          <w:ilvl w:val="1"/>
          <w:numId w:val="1002"/>
        </w:numPr>
        <w:pStyle w:val="Compact"/>
      </w:pPr>
      <w:r>
        <w:rPr>
          <w:bCs/>
          <w:b/>
        </w:rPr>
        <w:t xml:space="preserve">Scope 2: Indirect Emissions from Purchased Energy</w:t>
      </w:r>
      <w:r>
        <w:t xml:space="preserve"> </w:t>
      </w:r>
      <w:r>
        <w:t xml:space="preserve">– GHG emissions from the generation of purchased electricity, heat, or steam consumed by xxkjqdkrje\'s manufacturing facilities in China.</w:t>
      </w:r>
    </w:p>
    <w:p>
      <w:pPr>
        <w:numPr>
          <w:ilvl w:val="1"/>
          <w:numId w:val="1002"/>
        </w:numPr>
        <w:pStyle w:val="Compact"/>
      </w:pPr>
      <w:r>
        <w:rPr>
          <w:bCs/>
          <w:b/>
        </w:rPr>
        <w:t xml:space="preserve">Scope 3: Other Indirect Emissions (Value Chain Emissions)</w:t>
      </w:r>
      <w:r>
        <w:t xml:space="preserve"> </w:t>
      </w:r>
      <w:r>
        <w:t xml:space="preserve">– All other indirect emissions occurring in xxkjqdkrje\'s value chain, both upstream and downstream. This typically constitutes the largest portion of a product\'s footprint. This includes emissions from purchased goods and services, capital goods, fuel- and energy-related activities not included in Scope 1 or Scope 2, upstream and downstream transportation and distribution, waste generated in operations, business travel, employee commuting, leased assets, processing of sold products, use of sold products, and end-of-life treatment of sold products.</w:t>
      </w:r>
    </w:p>
    <w:p>
      <w:pPr>
        <w:numPr>
          <w:ilvl w:val="0"/>
          <w:numId w:val="1001"/>
        </w:numPr>
        <w:pStyle w:val="Compact"/>
      </w:pPr>
      <w:r>
        <w:rPr>
          <w:bCs/>
          <w:b/>
        </w:rPr>
        <w:t xml:space="preserve">2026 LSR Update:</w:t>
      </w:r>
      <w:r>
        <w:t xml:space="preserve"> </w:t>
      </w:r>
      <w:r>
        <w:t xml:space="preserve">The Land Sector and Removals (LSR) Standard, released by GHG Protocol on January 30, 2026, and effective January 1, 2027, provides requirements for accounting for land emissions, CO2 removals, and biogenic products. While specific land use data for dyghxtffyh\'s supply chain was not provided, xxkjqdkrje acknowledges the importance of this standard and commits to incorporating its detailed requirements for relevant land-based activities and carbon removals in future assessments, particularly as the accompanying guidance is published in Q2 2026.</w:t>
      </w:r>
    </w:p>
    <w:p>
      <w:pPr>
        <w:numPr>
          <w:ilvl w:val="0"/>
          <w:numId w:val="1001"/>
        </w:numPr>
        <w:pStyle w:val="Compact"/>
      </w:pPr>
      <w:r>
        <w:rPr>
          <w:bCs/>
          <w:b/>
        </w:rPr>
        <w:t xml:space="preserve">Scope 3 Compliance:</w:t>
      </w:r>
      <w:r>
        <w:t xml:space="preserve"> </w:t>
      </w:r>
      <w:r>
        <w:t xml:space="preserve">This analysis aims for at least 95% coverage of required Scope 3 emissions, in line with the proposed revisions to the GHG Protocol Scope 3 Standard from March 2026. This stringent completeness requirement necessitates comprehensive data collection across all relevant value chain categories, with any exclusions quantified, disclosed, and justified to not exceed 5% of required Scope 3 emissions.</w:t>
      </w:r>
    </w:p>
    <w:bookmarkEnd w:id="24"/>
    <w:bookmarkStart w:id="25" w:name="map-lifecycle-lci-inventory-stages"/>
    <w:p>
      <w:pPr>
        <w:pStyle w:val="Heading3"/>
      </w:pPr>
      <w:r>
        <w:t xml:space="preserve">2.2. Map Lifecycle (LCI Inventory Stages)</w:t>
      </w:r>
    </w:p>
    <w:p>
      <w:pPr>
        <w:pStyle w:val="FirstParagraph"/>
      </w:pPr>
      <w:r>
        <w:t xml:space="preserve">The lifecycle of dyghxtffyh was mapped to identify all relevant emission-generating activities. This includes:</w:t>
      </w:r>
    </w:p>
    <w:p>
      <w:pPr>
        <w:numPr>
          <w:ilvl w:val="0"/>
          <w:numId w:val="1003"/>
        </w:numPr>
        <w:pStyle w:val="Compact"/>
      </w:pPr>
      <w:r>
        <w:rPr>
          <w:bCs/>
          <w:b/>
        </w:rPr>
        <w:t xml:space="preserve">Materials Acquisition &amp; Pre-processing (Scope 3, Category 1):</w:t>
      </w:r>
      <w:r>
        <w:t xml:space="preserve"> </w:t>
      </w:r>
      <w:r>
        <w:t xml:space="preserve">Extraction of raw materials, processing, and manufacturing of components (e.g., plastics, metals, electronic components, packaging) as per the Detailed Bill of Materials (BOM).</w:t>
      </w:r>
    </w:p>
    <w:p>
      <w:pPr>
        <w:numPr>
          <w:ilvl w:val="0"/>
          <w:numId w:val="1003"/>
        </w:numPr>
        <w:pStyle w:val="Compact"/>
      </w:pPr>
      <w:r>
        <w:rPr>
          <w:bCs/>
          <w:b/>
        </w:rPr>
        <w:t xml:space="preserve">Production/Manufacturing (Scope 1, 2, 3):</w:t>
      </w:r>
      <w:r>
        <w:t xml:space="preserve"> </w:t>
      </w:r>
      <w:r>
        <w:t xml:space="preserve">Energy consumption at xxkjqdkrje\'s production facility in China, including electricity (Scope 2) and any direct fuel combustion (Scope 1, if applicable). Upstream fuel and energy-related emissions are Scope 3.</w:t>
      </w:r>
    </w:p>
    <w:p>
      <w:pPr>
        <w:numPr>
          <w:ilvl w:val="0"/>
          <w:numId w:val="1003"/>
        </w:numPr>
        <w:pStyle w:val="Compact"/>
      </w:pPr>
      <w:r>
        <w:rPr>
          <w:bCs/>
          <w:b/>
        </w:rPr>
        <w:t xml:space="preserve">Transportation (Scope 3, Categories 4 &amp; 9):</w:t>
      </w:r>
    </w:p>
    <w:p>
      <w:pPr>
        <w:numPr>
          <w:ilvl w:val="1"/>
          <w:numId w:val="1004"/>
        </w:numPr>
        <w:pStyle w:val="Compact"/>
      </w:pPr>
      <w:r>
        <w:rPr>
          <w:bCs/>
          <w:b/>
        </w:rPr>
        <w:t xml:space="preserve">Upstream Transportation:</w:t>
      </w:r>
      <w:r>
        <w:t xml:space="preserve"> </w:t>
      </w:r>
      <w:r>
        <w:t xml:space="preserve">Movement of raw materials and components from suppliers (Europe Focused) to the manufacturing plant in China.</w:t>
      </w:r>
    </w:p>
    <w:p>
      <w:pPr>
        <w:numPr>
          <w:ilvl w:val="1"/>
          <w:numId w:val="1004"/>
        </w:numPr>
        <w:pStyle w:val="Compact"/>
      </w:pPr>
      <w:r>
        <w:rPr>
          <w:bCs/>
          <w:b/>
        </w:rPr>
        <w:t xml:space="preserve">Downstream Transportation:</w:t>
      </w:r>
      <w:r>
        <w:t xml:space="preserve"> </w:t>
      </w:r>
      <w:r>
        <w:t xml:space="preserve">Movement of finished products from the manufacturing plant to distribution centers and ultimately to the end-customer (Last-Mile Delivery).</w:t>
      </w:r>
    </w:p>
    <w:p>
      <w:pPr>
        <w:numPr>
          <w:ilvl w:val="0"/>
          <w:numId w:val="1003"/>
        </w:numPr>
        <w:pStyle w:val="Compact"/>
      </w:pPr>
      <w:r>
        <w:rPr>
          <w:bCs/>
          <w:b/>
        </w:rPr>
        <w:t xml:space="preserve">Use Phase (Scope 3, Category 11):</w:t>
      </w:r>
      <w:r>
        <w:t xml:space="preserve"> </w:t>
      </w:r>
      <w:r>
        <w:t xml:space="preserve">Energy consumption by the end-user during the product\'s operational lifespan.</w:t>
      </w:r>
    </w:p>
    <w:p>
      <w:pPr>
        <w:numPr>
          <w:ilvl w:val="0"/>
          <w:numId w:val="1003"/>
        </w:numPr>
        <w:pStyle w:val="Compact"/>
      </w:pPr>
      <w:r>
        <w:rPr>
          <w:bCs/>
          <w:b/>
        </w:rPr>
        <w:t xml:space="preserve">End-of-Life (EoL) Treatment (Scope 3, Category 12):</w:t>
      </w:r>
      <w:r>
        <w:t xml:space="preserve"> </w:t>
      </w:r>
      <w:r>
        <w:t xml:space="preserve">Disposal or recycling of the product and its components at the end of its functional life.</w:t>
      </w:r>
    </w:p>
    <w:bookmarkEnd w:id="25"/>
    <w:bookmarkStart w:id="31" w:name="collect-data"/>
    <w:p>
      <w:pPr>
        <w:pStyle w:val="Heading3"/>
      </w:pPr>
      <w:r>
        <w:t xml:space="preserve">2.3. Collect Data</w:t>
      </w:r>
    </w:p>
    <w:p>
      <w:pPr>
        <w:pStyle w:val="FirstParagraph"/>
      </w:pPr>
      <w:r>
        <w:t xml:space="preserve">Data was collected from primary sources (provided parameters) and supplemented with secondary, industry-standard emission factors from reputable databases (e.g., Ecoinvent/DEFRA equivalents, IEA for grid mixes).</w:t>
      </w:r>
    </w:p>
    <w:bookmarkStart w:id="26" w:name="Xb061be53eb9d98095ea3d5b021e8cd9ef44d85f"/>
    <w:p>
      <w:pPr>
        <w:pStyle w:val="Heading4"/>
      </w:pPr>
      <w:r>
        <w:t xml:space="preserve">Detailed Bill of Materials (BOM) &amp; Upstream Emissions (enjwkqvs)</w:t>
      </w:r>
    </w:p>
    <w:p>
      <w:pPr>
        <w:pStyle w:val="FirstParagraph"/>
      </w:pPr>
      <w:r>
        <w:t xml:space="preserve">The following detailed Bill of Materials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2.79</w:t>
            </w:r>
          </w:p>
        </w:tc>
        <w:tc>
          <w:tcPr/>
          <w:p>
            <w:pPr>
              <w:pStyle w:val="Compact"/>
              <w:jc w:val="left"/>
            </w:pPr>
            <w:r>
              <w:t xml:space="preserve">1.395</w:t>
            </w:r>
          </w:p>
        </w:tc>
      </w:tr>
      <w:tr>
        <w:tc>
          <w:tcPr/>
          <w:p>
            <w:pPr>
              <w:pStyle w:val="Compact"/>
              <w:jc w:val="left"/>
            </w:pPr>
            <w:r>
              <w:t xml:space="preserve">M002</w:t>
            </w:r>
          </w:p>
        </w:tc>
        <w:tc>
          <w:tcPr/>
          <w:p>
            <w:pPr>
              <w:pStyle w:val="Compact"/>
              <w:jc w:val="left"/>
            </w:pPr>
            <w:r>
              <w:t xml:space="preserve">Steel Frame</w:t>
            </w:r>
          </w:p>
        </w:tc>
        <w:tc>
          <w:tcPr/>
          <w:p>
            <w:pPr>
              <w:pStyle w:val="Compact"/>
              <w:jc w:val="left"/>
            </w:pPr>
            <w:r>
              <w:t xml:space="preserve">Metals</w:t>
            </w:r>
          </w:p>
        </w:tc>
        <w:tc>
          <w:tcPr/>
          <w:p>
            <w:pPr>
              <w:pStyle w:val="Compact"/>
              <w:jc w:val="left"/>
            </w:pPr>
            <w:r>
              <w:t xml:space="preserve">Forming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0.500</w:t>
            </w:r>
          </w:p>
        </w:tc>
      </w:tr>
      <w:tr>
        <w:tc>
          <w:tcPr/>
          <w:p>
            <w:pPr>
              <w:pStyle w:val="Compact"/>
              <w:jc w:val="left"/>
            </w:pPr>
            <w:r>
              <w:t xml:space="preserve">M003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Paper/Fiber</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0.050</w:t>
            </w:r>
          </w:p>
        </w:tc>
      </w:tr>
      <w:tr>
        <w:tc>
          <w:tcPr>
            <w:gridSpan w:val="7"/>
          </w:tcPr>
          <w:p>
            <w:pPr>
              <w:pStyle w:val="Compact"/>
              <w:jc w:val="right"/>
            </w:pPr>
            <w:r>
              <w:rPr>
                <w:bCs/>
                <w:b/>
              </w:rPr>
              <w:t xml:space="preserve">Total Material Emissions:</w:t>
            </w:r>
          </w:p>
        </w:tc>
        <w:tc>
          <w:tcPr/>
          <w:p>
            <w:pPr>
              <w:pStyle w:val="Compact"/>
              <w:jc w:val="left"/>
            </w:pPr>
            <w:r>
              <w:rPr>
                <w:bCs/>
                <w:b/>
              </w:rPr>
              <w:t xml:space="preserve">3.445</w:t>
            </w:r>
          </w:p>
        </w:tc>
      </w:tr>
    </w:tbl>
    <w:p>
      <w:pPr>
        <w:pStyle w:val="BodyText"/>
      </w:pPr>
      <w:r>
        <w:rPr>
          <w:iCs/>
          <w:i/>
        </w:rPr>
        <w:t xml:space="preserve">*Note on Emission Factors: Values marked with an asterisk are illustrative, generic industry averages used for demonstration in the absence of specific Ecoinvent/DEFRA database access. The steel EF for China is set higher than global average due to higher carbon intensity in China\'s steel production. A real-world analysis would use precise, verified emission factors for each material and process.</w:t>
      </w:r>
    </w:p>
    <w:bookmarkEnd w:id="26"/>
    <w:bookmarkStart w:id="27" w:name="production-phase-energy-data"/>
    <w:p>
      <w:pPr>
        <w:pStyle w:val="Heading4"/>
      </w:pPr>
      <w:r>
        <w:t xml:space="preserve">Production Phase Energy Data</w:t>
      </w:r>
    </w:p>
    <w:p>
      <w:pPr>
        <w:numPr>
          <w:ilvl w:val="0"/>
          <w:numId w:val="1005"/>
        </w:numPr>
        <w:pStyle w:val="Compact"/>
      </w:pPr>
      <w:r>
        <w:rPr>
          <w:bCs/>
          <w:b/>
        </w:rPr>
        <w:t xml:space="preserve">Energy Intensity (kWh/unit):</w:t>
      </w:r>
      <w:r>
        <w:t xml:space="preserve"> </w:t>
      </w:r>
      <w:r>
        <w:t xml:space="preserve">rqnvvmsqtr (1.2 kWh/unit)</w:t>
      </w:r>
    </w:p>
    <w:p>
      <w:pPr>
        <w:numPr>
          <w:ilvl w:val="0"/>
          <w:numId w:val="1005"/>
        </w:numPr>
        <w:pStyle w:val="Compact"/>
      </w:pPr>
      <w:r>
        <w:rPr>
          <w:bCs/>
          <w:b/>
        </w:rPr>
        <w:t xml:space="preserve">Renewable Energy Usage:</w:t>
      </w:r>
      <w:r>
        <w:t xml:space="preserve"> </w:t>
      </w:r>
      <w:r>
        <w:t xml:space="preserve">xqtnkopmoq (75% Renewable Electricity)</w:t>
      </w:r>
    </w:p>
    <w:p>
      <w:pPr>
        <w:numPr>
          <w:ilvl w:val="0"/>
          <w:numId w:val="1005"/>
        </w:numPr>
        <w:pStyle w:val="Compact"/>
      </w:pPr>
      <w:r>
        <w:rPr>
          <w:bCs/>
          <w:b/>
        </w:rPr>
        <w:t xml:space="preserve">Non-Renewable Energy Percentage:</w:t>
      </w:r>
      <w:r>
        <w:t xml:space="preserve"> </w:t>
      </w:r>
      <w:r>
        <w:t xml:space="preserve">25%</w:t>
      </w:r>
    </w:p>
    <w:p>
      <w:pPr>
        <w:numPr>
          <w:ilvl w:val="0"/>
          <w:numId w:val="1005"/>
        </w:numPr>
        <w:pStyle w:val="Compact"/>
      </w:pPr>
      <w:r>
        <w:rPr>
          <w:bCs/>
          <w:b/>
        </w:rPr>
        <w:t xml:space="preserve">Final Production Country:</w:t>
      </w:r>
      <w:r>
        <w:t xml:space="preserve"> </w:t>
      </w:r>
      <w:r>
        <w:t xml:space="preserve">China</w:t>
      </w:r>
    </w:p>
    <w:p>
      <w:pPr>
        <w:numPr>
          <w:ilvl w:val="0"/>
          <w:numId w:val="1005"/>
        </w:numPr>
        <w:pStyle w:val="Compact"/>
      </w:pPr>
      <w:r>
        <w:rPr>
          <w:bCs/>
          <w:b/>
        </w:rPr>
        <w:t xml:space="preserve">China Electricity Grid Emission Factor:</w:t>
      </w:r>
      <w:r>
        <w:t xml:space="preserve"> </w:t>
      </w:r>
      <w:r>
        <w:t xml:space="preserve">0.581 kg CO2e/kWh (2023 average for China\'s electricity generation)</w:t>
      </w:r>
    </w:p>
    <w:bookmarkEnd w:id="27"/>
    <w:bookmarkStart w:id="28" w:name="logistics-data"/>
    <w:p>
      <w:pPr>
        <w:pStyle w:val="Heading4"/>
      </w:pPr>
      <w:r>
        <w:t xml:space="preserve">Logistics Data</w:t>
      </w:r>
    </w:p>
    <w:p>
      <w:pPr>
        <w:numPr>
          <w:ilvl w:val="0"/>
          <w:numId w:val="1006"/>
        </w:numPr>
        <w:pStyle w:val="Compact"/>
      </w:pPr>
      <w:r>
        <w:rPr>
          <w:bCs/>
          <w:b/>
        </w:rPr>
        <w:t xml:space="preserve">Total Product Weight for Transport:</w:t>
      </w:r>
      <w:r>
        <w:t xml:space="preserve"> </w:t>
      </w:r>
      <w:r>
        <w:t xml:space="preserve">Sum of BOM = 0.85 kg. For transport calculations, assuming a finished product mass of 1 kg per functional unit for simplicity and accounting for minor assembly/finishing weight.</w:t>
      </w:r>
    </w:p>
    <w:p>
      <w:pPr>
        <w:numPr>
          <w:ilvl w:val="0"/>
          <w:numId w:val="1006"/>
        </w:numPr>
        <w:pStyle w:val="Compact"/>
      </w:pPr>
      <w:r>
        <w:rPr>
          <w:bCs/>
          <w:b/>
        </w:rPr>
        <w:t xml:space="preserve">Main Transport Mode (China to Europe):</w:t>
      </w:r>
      <w:r>
        <w:t xml:space="preserve"> </w:t>
      </w:r>
      <w:r>
        <w:t xml:space="preserve">Select Mode (Ocean Freight)</w:t>
      </w:r>
    </w:p>
    <w:p>
      <w:pPr>
        <w:numPr>
          <w:ilvl w:val="0"/>
          <w:numId w:val="1006"/>
        </w:numPr>
        <w:pStyle w:val="Compact"/>
      </w:pPr>
      <w:r>
        <w:rPr>
          <w:bCs/>
          <w:b/>
        </w:rPr>
        <w:t xml:space="preserve">Transport Distance (Ocean):</w:t>
      </w:r>
      <w:r>
        <w:t xml:space="preserve"> </w:t>
      </w:r>
      <w:r>
        <w:t xml:space="preserve">vjjdemzqmy (15,000 km)</w:t>
      </w:r>
    </w:p>
    <w:p>
      <w:pPr>
        <w:numPr>
          <w:ilvl w:val="0"/>
          <w:numId w:val="1006"/>
        </w:numPr>
        <w:pStyle w:val="Compact"/>
      </w:pPr>
      <w:r>
        <w:rPr>
          <w:bCs/>
          <w:b/>
        </w:rPr>
        <w:t xml:space="preserve">Ocean Freight Emission Factor:</w:t>
      </w:r>
      <w:r>
        <w:t xml:space="preserve"> </w:t>
      </w:r>
      <w:r>
        <w:t xml:space="preserve">0.016 kg CO2e/tonne-km (average container ship)</w:t>
      </w:r>
    </w:p>
    <w:p>
      <w:pPr>
        <w:numPr>
          <w:ilvl w:val="0"/>
          <w:numId w:val="1006"/>
        </w:numPr>
        <w:pStyle w:val="Compact"/>
      </w:pPr>
      <w:r>
        <w:rPr>
          <w:bCs/>
          <w:b/>
        </w:rPr>
        <w:t xml:space="preserve">Intermodal Transport Mode (Europe):</w:t>
      </w:r>
      <w:r>
        <w:t xml:space="preserve"> </w:t>
      </w:r>
      <w:r>
        <w:t xml:space="preserve">Road Freight (Heavy Duty Truck)</w:t>
      </w:r>
    </w:p>
    <w:p>
      <w:pPr>
        <w:numPr>
          <w:ilvl w:val="0"/>
          <w:numId w:val="1006"/>
        </w:numPr>
        <w:pStyle w:val="Compact"/>
      </w:pPr>
      <w:r>
        <w:rPr>
          <w:bCs/>
          <w:b/>
        </w:rPr>
        <w:t xml:space="preserve">Transport Distance (Road - Europe):</w:t>
      </w:r>
      <w:r>
        <w:t xml:space="preserve"> </w:t>
      </w:r>
      <w:r>
        <w:t xml:space="preserve">500 km</w:t>
      </w:r>
    </w:p>
    <w:p>
      <w:pPr>
        <w:numPr>
          <w:ilvl w:val="0"/>
          <w:numId w:val="1006"/>
        </w:numPr>
        <w:pStyle w:val="Compact"/>
      </w:pPr>
      <w:r>
        <w:rPr>
          <w:bCs/>
          <w:b/>
        </w:rPr>
        <w:t xml:space="preserve">Road Freight Emission Factor (Heavy Duty Truck - Europe):</w:t>
      </w:r>
      <w:r>
        <w:t xml:space="preserve"> </w:t>
      </w:r>
      <w:r>
        <w:t xml:space="preserve">0.06 kg CO2e/tonne-km (average for long-haul in Europe)</w:t>
      </w:r>
    </w:p>
    <w:p>
      <w:pPr>
        <w:numPr>
          <w:ilvl w:val="0"/>
          <w:numId w:val="1006"/>
        </w:numPr>
        <w:pStyle w:val="Compact"/>
      </w:pPr>
      <w:r>
        <w:rPr>
          <w:bCs/>
          <w:b/>
        </w:rPr>
        <w:t xml:space="preserve">Last-Mile Delivery Channel:</w:t>
      </w:r>
      <w:r>
        <w:t xml:space="preserve"> </w:t>
      </w:r>
      <w:r>
        <w:t xml:space="preserve">Delivery Type (Electric Van)</w:t>
      </w:r>
    </w:p>
    <w:p>
      <w:pPr>
        <w:numPr>
          <w:ilvl w:val="0"/>
          <w:numId w:val="1006"/>
        </w:numPr>
        <w:pStyle w:val="Compact"/>
      </w:pPr>
      <w:r>
        <w:rPr>
          <w:bCs/>
          <w:b/>
        </w:rPr>
        <w:t xml:space="preserve">Last-Mile Delivery Distance:</w:t>
      </w:r>
      <w:r>
        <w:t xml:space="preserve"> </w:t>
      </w:r>
      <w:r>
        <w:t xml:space="preserve">50 km</w:t>
      </w:r>
    </w:p>
    <w:p>
      <w:pPr>
        <w:numPr>
          <w:ilvl w:val="0"/>
          <w:numId w:val="1006"/>
        </w:numPr>
        <w:pStyle w:val="Compact"/>
      </w:pPr>
      <w:r>
        <w:rPr>
          <w:bCs/>
          <w:b/>
        </w:rPr>
        <w:t xml:space="preserve">Electric Van Emission Factor (Europe):</w:t>
      </w:r>
      <w:r>
        <w:t xml:space="preserve"> </w:t>
      </w:r>
      <w:r>
        <w:t xml:space="preserve">0.055 kg CO2e/tonne-km (BEIS 2021 for average EV van, acknowledging electricity grid impact)</w:t>
      </w:r>
    </w:p>
    <w:bookmarkEnd w:id="28"/>
    <w:bookmarkStart w:id="29" w:name="use-phase-data"/>
    <w:p>
      <w:pPr>
        <w:pStyle w:val="Heading4"/>
      </w:pPr>
      <w:r>
        <w:t xml:space="preserve">Use Phase Data</w:t>
      </w:r>
    </w:p>
    <w:p>
      <w:pPr>
        <w:numPr>
          <w:ilvl w:val="0"/>
          <w:numId w:val="1007"/>
        </w:numPr>
        <w:pStyle w:val="Compact"/>
      </w:pPr>
      <w:r>
        <w:rPr>
          <w:bCs/>
          <w:b/>
        </w:rPr>
        <w:t xml:space="preserve">Product Lifespan:</w:t>
      </w:r>
      <w:r>
        <w:t xml:space="preserve"> </w:t>
      </w:r>
      <w:r>
        <w:t xml:space="preserve">iyixmloeyv (7 years)</w:t>
      </w:r>
    </w:p>
    <w:p>
      <w:pPr>
        <w:numPr>
          <w:ilvl w:val="0"/>
          <w:numId w:val="1007"/>
        </w:numPr>
        <w:pStyle w:val="Compact"/>
      </w:pPr>
      <w:r>
        <w:rPr>
          <w:bCs/>
          <w:b/>
        </w:rPr>
        <w:t xml:space="preserve">Energy Consumption in Use:</w:t>
      </w:r>
      <w:r>
        <w:t xml:space="preserve"> </w:t>
      </w:r>
      <w:r>
        <w:t xml:space="preserve">rjwhkrwpek (5 kWh/year)</w:t>
      </w:r>
    </w:p>
    <w:p>
      <w:pPr>
        <w:numPr>
          <w:ilvl w:val="0"/>
          <w:numId w:val="1007"/>
        </w:numPr>
        <w:pStyle w:val="Compact"/>
      </w:pPr>
      <w:r>
        <w:rPr>
          <w:bCs/>
          <w:b/>
        </w:rPr>
        <w:t xml:space="preserve">Assumed Use Location:</w:t>
      </w:r>
      <w:r>
        <w:t xml:space="preserve"> </w:t>
      </w:r>
      <w:r>
        <w:t xml:space="preserve">Europe (for grid mix calculation)</w:t>
      </w:r>
    </w:p>
    <w:p>
      <w:pPr>
        <w:numPr>
          <w:ilvl w:val="0"/>
          <w:numId w:val="1007"/>
        </w:numPr>
        <w:pStyle w:val="Compact"/>
      </w:pPr>
      <w:r>
        <w:rPr>
          <w:bCs/>
          <w:b/>
        </w:rPr>
        <w:t xml:space="preserve">Average EU Electricity Grid Emission Factor:</w:t>
      </w:r>
      <w:r>
        <w:t xml:space="preserve"> </w:t>
      </w:r>
      <w:r>
        <w:t xml:space="preserve">0.276 kg CO2e/kWh (illustrative average)</w:t>
      </w:r>
    </w:p>
    <w:bookmarkEnd w:id="29"/>
    <w:bookmarkStart w:id="30" w:name="end-of-life-eol-scenarios"/>
    <w:p>
      <w:pPr>
        <w:pStyle w:val="Heading4"/>
      </w:pPr>
      <w:r>
        <w:t xml:space="preserve">End-of-Life (EoL) Scenarios</w:t>
      </w:r>
    </w:p>
    <w:p>
      <w:pPr>
        <w:numPr>
          <w:ilvl w:val="0"/>
          <w:numId w:val="1008"/>
        </w:numPr>
        <w:pStyle w:val="Compact"/>
      </w:pPr>
      <w:r>
        <w:rPr>
          <w:bCs/>
          <w:b/>
        </w:rPr>
        <w:t xml:space="preserve">Recyclability Percentage:</w:t>
      </w:r>
      <w:r>
        <w:t xml:space="preserve"> </w:t>
      </w:r>
      <w:r>
        <w:t xml:space="preserve">puseuxzdms (85%)</w:t>
      </w:r>
    </w:p>
    <w:p>
      <w:pPr>
        <w:numPr>
          <w:ilvl w:val="0"/>
          <w:numId w:val="1008"/>
        </w:numPr>
        <w:pStyle w:val="Compact"/>
      </w:pPr>
      <w:r>
        <w:rPr>
          <w:bCs/>
          <w:b/>
        </w:rPr>
        <w:t xml:space="preserve">Circular/Take-back Programs:</w:t>
      </w:r>
      <w:r>
        <w:t xml:space="preserve"> </w:t>
      </w:r>
      <w:r>
        <w:t xml:space="preserve">xyzoxvjufw (Product take-back and refurbishment program)</w:t>
      </w:r>
    </w:p>
    <w:bookmarkEnd w:id="30"/>
    <w:bookmarkEnd w:id="31"/>
    <w:bookmarkStart w:id="32" w:name="calculate-emissions"/>
    <w:p>
      <w:pPr>
        <w:pStyle w:val="Heading3"/>
      </w:pPr>
      <w:r>
        <w:t xml:space="preserve">2.4. Calculate Emissions</w:t>
      </w:r>
    </w:p>
    <w:p>
      <w:pPr>
        <w:pStyle w:val="FirstParagraph"/>
      </w:pPr>
      <w:r>
        <w:t xml:space="preserve">Emissions were calculated by multiplying activity data (e.g., kg of material, kWh of energy, tonne-km of transport) by their respective emission factors (Activity * Emission Factor = CO2e). All emissions are reported in kilograms of CO2 equivalent (kgCO2e).</w:t>
      </w:r>
    </w:p>
    <w:bookmarkEnd w:id="32"/>
    <w:bookmarkStart w:id="33" w:name="review-report"/>
    <w:p>
      <w:pPr>
        <w:pStyle w:val="Heading3"/>
      </w:pPr>
      <w:r>
        <w:t xml:space="preserve">2.5. Review &amp; Report</w:t>
      </w:r>
    </w:p>
    <w:p>
      <w:pPr>
        <w:pStyle w:val="FirstParagraph"/>
      </w:pPr>
      <w:r>
        <w:t xml:space="preserve">The results identify emission hotspots across the product\'s lifecycle and inform recommendations for targeted reduction strategies. The reliability of the results is dependent on the quality and specificity of the input data.</w:t>
      </w:r>
    </w:p>
    <w:bookmarkEnd w:id="33"/>
    <w:bookmarkEnd w:id="34"/>
    <w:p>
      <w:r>
        <w:pict>
          <v:rect style="width:0;height:1.5pt" o:hralign="center" o:hrstd="t" o:hr="t"/>
        </w:pict>
      </w:r>
    </w:p>
    <w:bookmarkStart w:id="42" w:name="product-carbon-footprint-results"/>
    <w:p>
      <w:pPr>
        <w:pStyle w:val="Heading2"/>
      </w:pPr>
      <w:r>
        <w:t xml:space="preserve">3. Product Carbon Footprint Results</w:t>
      </w:r>
    </w:p>
    <w:bookmarkStart w:id="40" w:name="emissions-by-lifecycle-stage"/>
    <w:p>
      <w:pPr>
        <w:pStyle w:val="Heading3"/>
      </w:pPr>
      <w:r>
        <w:t xml:space="preserve">3.1. Emissions by Lifecycle Stage</w:t>
      </w:r>
    </w:p>
    <w:bookmarkStart w:id="35" w:name="X7d9f95ef153719debedf25ad31e571439548f85"/>
    <w:p>
      <w:pPr>
        <w:pStyle w:val="Heading4"/>
      </w:pPr>
      <w:r>
        <w:t xml:space="preserve">a. Materials Acquisition &amp; Pre-processing (Scope 3, Category 1)</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Component</w:t>
            </w:r>
          </w:p>
        </w:tc>
        <w:tc>
          <w:tcPr/>
          <w:p>
            <w:pPr>
              <w:pStyle w:val="Compact"/>
              <w:jc w:val="left"/>
            </w:pPr>
            <w:r>
              <w:t xml:space="preserve">Quantity (kg)</w:t>
            </w:r>
          </w:p>
        </w:tc>
        <w:tc>
          <w:tcPr/>
          <w:p>
            <w:pPr>
              <w:pStyle w:val="Compact"/>
              <w:jc w:val="left"/>
            </w:pPr>
            <w:r>
              <w:t xml:space="preserve">Emission Factor (kgCO2e/kg)</w:t>
            </w:r>
          </w:p>
        </w:tc>
        <w:tc>
          <w:tcPr/>
          <w:p>
            <w:pPr>
              <w:pStyle w:val="Compact"/>
              <w:jc w:val="left"/>
            </w:pPr>
            <w:r>
              <w:t xml:space="preserve">CO2e (kg)</w:t>
            </w:r>
          </w:p>
        </w:tc>
      </w:tr>
      <w:tr>
        <w:tc>
          <w:tcPr/>
          <w:p>
            <w:pPr>
              <w:pStyle w:val="Compact"/>
              <w:jc w:val="left"/>
            </w:pPr>
            <w:r>
              <w:t xml:space="preserve">Plastic Casing</w:t>
            </w:r>
          </w:p>
        </w:tc>
        <w:tc>
          <w:tcPr/>
          <w:p>
            <w:pPr>
              <w:pStyle w:val="Compact"/>
              <w:jc w:val="left"/>
            </w:pPr>
            <w:r>
              <w:t xml:space="preserve">0.50</w:t>
            </w:r>
          </w:p>
        </w:tc>
        <w:tc>
          <w:tcPr/>
          <w:p>
            <w:pPr>
              <w:pStyle w:val="Compact"/>
              <w:jc w:val="left"/>
            </w:pPr>
            <w:r>
              <w:t xml:space="preserve">2.79</w:t>
            </w:r>
          </w:p>
        </w:tc>
        <w:tc>
          <w:tcPr/>
          <w:p>
            <w:pPr>
              <w:pStyle w:val="Compact"/>
              <w:jc w:val="left"/>
            </w:pPr>
            <w:r>
              <w:t xml:space="preserve">1.395</w:t>
            </w:r>
          </w:p>
        </w:tc>
      </w:tr>
      <w:tr>
        <w:tc>
          <w:tcPr/>
          <w:p>
            <w:pPr>
              <w:pStyle w:val="Compact"/>
              <w:jc w:val="left"/>
            </w:pPr>
            <w:r>
              <w:t xml:space="preserve">Steel Frame</w:t>
            </w:r>
          </w:p>
        </w:tc>
        <w:tc>
          <w:tcPr/>
          <w:p>
            <w:pPr>
              <w:pStyle w:val="Compact"/>
              <w:jc w:val="left"/>
            </w:pPr>
            <w:r>
              <w:t xml:space="preserve">0.20</w:t>
            </w:r>
          </w:p>
        </w:tc>
        <w:tc>
          <w:tcPr/>
          <w:p>
            <w:pPr>
              <w:pStyle w:val="Compact"/>
              <w:jc w:val="left"/>
            </w:pPr>
            <w:r>
              <w:t xml:space="preserve">2.50</w:t>
            </w:r>
          </w:p>
        </w:tc>
        <w:tc>
          <w:tcPr/>
          <w:p>
            <w:pPr>
              <w:pStyle w:val="Compact"/>
              <w:jc w:val="left"/>
            </w:pPr>
            <w:r>
              <w:t xml:space="preserve">0.500</w:t>
            </w:r>
          </w:p>
        </w:tc>
      </w:tr>
      <w:tr>
        <w:tc>
          <w:tcPr/>
          <w:p>
            <w:pPr>
              <w:pStyle w:val="Compact"/>
              <w:jc w:val="left"/>
            </w:pPr>
            <w:r>
              <w:t xml:space="preserve">Electronic Components</w:t>
            </w:r>
          </w:p>
        </w:tc>
        <w:tc>
          <w:tcPr/>
          <w:p>
            <w:pPr>
              <w:pStyle w:val="Compact"/>
              <w:jc w:val="left"/>
            </w:pPr>
            <w:r>
              <w:t xml:space="preserve">0.10</w:t>
            </w:r>
          </w:p>
        </w:tc>
        <w:tc>
          <w:tcPr/>
          <w:p>
            <w:pPr>
              <w:pStyle w:val="Compact"/>
              <w:jc w:val="left"/>
            </w:pPr>
            <w:r>
              <w:t xml:space="preserve">15.00</w:t>
            </w:r>
          </w:p>
        </w:tc>
        <w:tc>
          <w:tcPr/>
          <w:p>
            <w:pPr>
              <w:pStyle w:val="Compact"/>
              <w:jc w:val="left"/>
            </w:pPr>
            <w:r>
              <w:t xml:space="preserve">1.500</w:t>
            </w:r>
          </w:p>
        </w:tc>
      </w:tr>
      <w:tr>
        <w:tc>
          <w:tcPr/>
          <w:p>
            <w:pPr>
              <w:pStyle w:val="Compact"/>
              <w:jc w:val="left"/>
            </w:pPr>
            <w:r>
              <w:t xml:space="preserve">Packaging (Cardboard)</w:t>
            </w:r>
          </w:p>
        </w:tc>
        <w:tc>
          <w:tcPr/>
          <w:p>
            <w:pPr>
              <w:pStyle w:val="Compact"/>
              <w:jc w:val="left"/>
            </w:pPr>
            <w:r>
              <w:t xml:space="preserve">0.05</w:t>
            </w:r>
          </w:p>
        </w:tc>
        <w:tc>
          <w:tcPr/>
          <w:p>
            <w:pPr>
              <w:pStyle w:val="Compact"/>
              <w:jc w:val="left"/>
            </w:pPr>
            <w:r>
              <w:t xml:space="preserve">1.00</w:t>
            </w:r>
          </w:p>
        </w:tc>
        <w:tc>
          <w:tcPr/>
          <w:p>
            <w:pPr>
              <w:pStyle w:val="Compact"/>
              <w:jc w:val="left"/>
            </w:pPr>
            <w:r>
              <w:t xml:space="preserve">0.050</w:t>
            </w:r>
          </w:p>
        </w:tc>
      </w:tr>
      <w:tr>
        <w:tc>
          <w:tcPr>
            <w:gridSpan w:val="3"/>
          </w:tcPr>
          <w:p>
            <w:pPr>
              <w:pStyle w:val="Compact"/>
              <w:jc w:val="right"/>
            </w:pPr>
            <w:r>
              <w:rPr>
                <w:bCs/>
                <w:b/>
              </w:rPr>
              <w:t xml:space="preserve">Total Materials Emissions:</w:t>
            </w:r>
          </w:p>
        </w:tc>
        <w:tc>
          <w:tcPr/>
          <w:p>
            <w:pPr>
              <w:pStyle w:val="Compact"/>
              <w:jc w:val="left"/>
            </w:pPr>
            <w:r>
              <w:rPr>
                <w:bCs/>
                <w:b/>
              </w:rPr>
              <w:t xml:space="preserve">3.445</w:t>
            </w:r>
          </w:p>
        </w:tc>
      </w:tr>
    </w:tbl>
    <w:bookmarkEnd w:id="35"/>
    <w:bookmarkStart w:id="36" w:name="b.-productionmanufacturing-scope-2"/>
    <w:p>
      <w:pPr>
        <w:pStyle w:val="Heading4"/>
      </w:pPr>
      <w:r>
        <w:t xml:space="preserve">b. Production/Manufacturing (Scope 2)</w:t>
      </w:r>
    </w:p>
    <w:p>
      <w:pPr>
        <w:pStyle w:val="FirstParagraph"/>
      </w:pPr>
      <w:r>
        <w:t xml:space="preserve">Energy consumption at the manufacturing facility in China:</w:t>
      </w:r>
    </w:p>
    <w:p>
      <w:pPr>
        <w:numPr>
          <w:ilvl w:val="0"/>
          <w:numId w:val="1009"/>
        </w:numPr>
        <w:pStyle w:val="Compact"/>
      </w:pPr>
      <w:r>
        <w:t xml:space="preserve">Total Energy Intensity: 1.2 kWh/unit</w:t>
      </w:r>
    </w:p>
    <w:p>
      <w:pPr>
        <w:numPr>
          <w:ilvl w:val="0"/>
          <w:numId w:val="1009"/>
        </w:numPr>
        <w:pStyle w:val="Compact"/>
      </w:pPr>
      <w:r>
        <w:t xml:space="preserve">Renewable Energy Share: 75%</w:t>
      </w:r>
    </w:p>
    <w:p>
      <w:pPr>
        <w:numPr>
          <w:ilvl w:val="0"/>
          <w:numId w:val="1009"/>
        </w:numPr>
        <w:pStyle w:val="Compact"/>
      </w:pPr>
      <w:r>
        <w:t xml:space="preserve">Non-Renewable Energy Share: 25% (0.3 kWh/unit)</w:t>
      </w:r>
    </w:p>
    <w:p>
      <w:pPr>
        <w:numPr>
          <w:ilvl w:val="0"/>
          <w:numId w:val="1009"/>
        </w:numPr>
        <w:pStyle w:val="Compact"/>
      </w:pPr>
      <w:r>
        <w:t xml:space="preserve">China Grid Emission Factor: 0.581 kg CO2e/kWh</w:t>
      </w:r>
    </w:p>
    <w:p>
      <w:pPr>
        <w:pStyle w:val="FirstParagraph"/>
      </w:pPr>
      <w:r>
        <w:t xml:space="preserve">Calculation: (1.2 kWh/unit * 0.25) * 0.581 kgCO2e/kWh = 0.3 kWh/unit * 0.581 kgCO2e/kWh =</w:t>
      </w:r>
      <w:r>
        <w:t xml:space="preserve"> </w:t>
      </w:r>
      <w:r>
        <w:rPr>
          <w:bCs/>
          <w:b/>
        </w:rPr>
        <w:t xml:space="preserve">0.174 kgCO2e/unit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Energy Source</w:t>
            </w:r>
          </w:p>
        </w:tc>
        <w:tc>
          <w:tcPr/>
          <w:p>
            <w:pPr>
              <w:pStyle w:val="Compact"/>
              <w:jc w:val="left"/>
            </w:pPr>
            <w:r>
              <w:t xml:space="preserve">Consumption (kWh/unit)</w:t>
            </w:r>
          </w:p>
        </w:tc>
        <w:tc>
          <w:tcPr/>
          <w:p>
            <w:pPr>
              <w:pStyle w:val="Compact"/>
              <w:jc w:val="left"/>
            </w:pPr>
            <w:r>
              <w:t xml:space="preserve">Emission Factor (kgCO2e/kWh)</w:t>
            </w:r>
          </w:p>
        </w:tc>
        <w:tc>
          <w:tcPr/>
          <w:p>
            <w:pPr>
              <w:pStyle w:val="Compact"/>
              <w:jc w:val="left"/>
            </w:pPr>
            <w:r>
              <w:t xml:space="preserve">CO2e (kg)</w:t>
            </w:r>
          </w:p>
        </w:tc>
      </w:tr>
      <w:tr>
        <w:tc>
          <w:tcPr/>
          <w:p>
            <w:pPr>
              <w:pStyle w:val="Compact"/>
              <w:jc w:val="left"/>
            </w:pPr>
            <w:r>
              <w:t xml:space="preserve">Purchased Electricity (Non-Renewable)</w:t>
            </w:r>
          </w:p>
        </w:tc>
        <w:tc>
          <w:tcPr/>
          <w:p>
            <w:pPr>
              <w:pStyle w:val="Compact"/>
              <w:jc w:val="left"/>
            </w:pPr>
            <w:r>
              <w:t xml:space="preserve">0.30</w:t>
            </w:r>
          </w:p>
        </w:tc>
        <w:tc>
          <w:tcPr/>
          <w:p>
            <w:pPr>
              <w:pStyle w:val="Compact"/>
              <w:jc w:val="left"/>
            </w:pPr>
            <w:r>
              <w:t xml:space="preserve">0.581</w:t>
            </w:r>
          </w:p>
        </w:tc>
        <w:tc>
          <w:tcPr/>
          <w:p>
            <w:pPr>
              <w:pStyle w:val="Compact"/>
              <w:jc w:val="left"/>
            </w:pPr>
            <w:r>
              <w:t xml:space="preserve">0.174</w:t>
            </w:r>
          </w:p>
        </w:tc>
      </w:tr>
      <w:tr>
        <w:tc>
          <w:tcPr>
            <w:gridSpan w:val="3"/>
          </w:tcPr>
          <w:p>
            <w:pPr>
              <w:pStyle w:val="Compact"/>
              <w:jc w:val="right"/>
            </w:pPr>
            <w:r>
              <w:rPr>
                <w:bCs/>
                <w:b/>
              </w:rPr>
              <w:t xml:space="preserve">Total Production Emissions (Scope 2):</w:t>
            </w:r>
          </w:p>
        </w:tc>
        <w:tc>
          <w:tcPr/>
          <w:p>
            <w:pPr>
              <w:pStyle w:val="Compact"/>
              <w:jc w:val="left"/>
            </w:pPr>
            <w:r>
              <w:rPr>
                <w:bCs/>
                <w:b/>
              </w:rPr>
              <w:t xml:space="preserve">0.174</w:t>
            </w:r>
          </w:p>
        </w:tc>
      </w:tr>
    </w:tbl>
    <w:bookmarkEnd w:id="36"/>
    <w:bookmarkStart w:id="37" w:name="c.-transportation-scope-3-categories-4-9"/>
    <w:p>
      <w:pPr>
        <w:pStyle w:val="Heading4"/>
      </w:pPr>
      <w:r>
        <w:t xml:space="preserve">c. Transportation (Scope 3, Categories 4 &amp; 9)</w:t>
      </w:r>
    </w:p>
    <w:p>
      <w:pPr>
        <w:pStyle w:val="FirstParagraph"/>
      </w:pPr>
      <w:r>
        <w:t xml:space="preserve">Product mass for transport: 1 kg (0.001 tonne)</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Mode</w:t>
            </w:r>
          </w:p>
        </w:tc>
        <w:tc>
          <w:tcPr/>
          <w:p>
            <w:pPr>
              <w:pStyle w:val="Compact"/>
              <w:jc w:val="left"/>
            </w:pPr>
            <w:r>
              <w:t xml:space="preserve">Distance (km)</w:t>
            </w:r>
          </w:p>
        </w:tc>
        <w:tc>
          <w:tcPr/>
          <w:p>
            <w:pPr>
              <w:pStyle w:val="Compact"/>
              <w:jc w:val="left"/>
            </w:pPr>
            <w:r>
              <w:t xml:space="preserve">Mass (tonne)</w:t>
            </w:r>
          </w:p>
        </w:tc>
        <w:tc>
          <w:tcPr/>
          <w:p>
            <w:pPr>
              <w:pStyle w:val="Compact"/>
              <w:jc w:val="left"/>
            </w:pPr>
            <w:r>
              <w:t xml:space="preserve">Tonne-km</w:t>
            </w:r>
          </w:p>
        </w:tc>
        <w:tc>
          <w:tcPr/>
          <w:p>
            <w:pPr>
              <w:pStyle w:val="Compact"/>
              <w:jc w:val="left"/>
            </w:pPr>
            <w:r>
              <w:t xml:space="preserve">Emission Factor (kgCO2e/tonne-km)</w:t>
            </w:r>
          </w:p>
        </w:tc>
        <w:tc>
          <w:tcPr/>
          <w:p>
            <w:pPr>
              <w:pStyle w:val="Compact"/>
              <w:jc w:val="left"/>
            </w:pPr>
            <w:r>
              <w:t xml:space="preserve">CO2e (kg)</w:t>
            </w:r>
          </w:p>
        </w:tc>
      </w:tr>
      <w:tr>
        <w:tc>
          <w:tcPr/>
          <w:p>
            <w:pPr>
              <w:pStyle w:val="Compact"/>
              <w:jc w:val="left"/>
            </w:pPr>
            <w:r>
              <w:t xml:space="preserve">Ocean Freight (Upstream/Downstream)</w:t>
            </w:r>
          </w:p>
        </w:tc>
        <w:tc>
          <w:tcPr/>
          <w:p>
            <w:pPr>
              <w:pStyle w:val="Compact"/>
              <w:jc w:val="left"/>
            </w:pPr>
            <w:r>
              <w:t xml:space="preserve">15,000</w:t>
            </w:r>
          </w:p>
        </w:tc>
        <w:tc>
          <w:tcPr/>
          <w:p>
            <w:pPr>
              <w:pStyle w:val="Compact"/>
              <w:jc w:val="left"/>
            </w:pPr>
            <w:r>
              <w:t xml:space="preserve">0.001</w:t>
            </w:r>
          </w:p>
        </w:tc>
        <w:tc>
          <w:tcPr/>
          <w:p>
            <w:pPr>
              <w:pStyle w:val="Compact"/>
              <w:jc w:val="left"/>
            </w:pPr>
            <w:r>
              <w:t xml:space="preserve">15.00</w:t>
            </w:r>
          </w:p>
        </w:tc>
        <w:tc>
          <w:tcPr/>
          <w:p>
            <w:pPr>
              <w:pStyle w:val="Compact"/>
              <w:jc w:val="left"/>
            </w:pPr>
            <w:r>
              <w:t xml:space="preserve">0.016</w:t>
            </w:r>
          </w:p>
        </w:tc>
        <w:tc>
          <w:tcPr/>
          <w:p>
            <w:pPr>
              <w:pStyle w:val="Compact"/>
              <w:jc w:val="left"/>
            </w:pPr>
            <w:r>
              <w:t xml:space="preserve">0.240</w:t>
            </w:r>
          </w:p>
        </w:tc>
      </w:tr>
      <w:tr>
        <w:tc>
          <w:tcPr/>
          <w:p>
            <w:pPr>
              <w:pStyle w:val="Compact"/>
              <w:jc w:val="left"/>
            </w:pPr>
            <w:r>
              <w:t xml:space="preserve">Road Freight (Europe - Downstream)</w:t>
            </w:r>
          </w:p>
        </w:tc>
        <w:tc>
          <w:tcPr/>
          <w:p>
            <w:pPr>
              <w:pStyle w:val="Compact"/>
              <w:jc w:val="left"/>
            </w:pPr>
            <w:r>
              <w:t xml:space="preserve">500</w:t>
            </w:r>
          </w:p>
        </w:tc>
        <w:tc>
          <w:tcPr/>
          <w:p>
            <w:pPr>
              <w:pStyle w:val="Compact"/>
              <w:jc w:val="left"/>
            </w:pPr>
            <w:r>
              <w:t xml:space="preserve">0.001</w:t>
            </w:r>
          </w:p>
        </w:tc>
        <w:tc>
          <w:tcPr/>
          <w:p>
            <w:pPr>
              <w:pStyle w:val="Compact"/>
              <w:jc w:val="left"/>
            </w:pPr>
            <w:r>
              <w:t xml:space="preserve">0.50</w:t>
            </w:r>
          </w:p>
        </w:tc>
        <w:tc>
          <w:tcPr/>
          <w:p>
            <w:pPr>
              <w:pStyle w:val="Compact"/>
              <w:jc w:val="left"/>
            </w:pPr>
            <w:r>
              <w:t xml:space="preserve">0.060</w:t>
            </w:r>
          </w:p>
        </w:tc>
        <w:tc>
          <w:tcPr/>
          <w:p>
            <w:pPr>
              <w:pStyle w:val="Compact"/>
              <w:jc w:val="left"/>
            </w:pPr>
            <w:r>
              <w:t xml:space="preserve">0.030</w:t>
            </w:r>
          </w:p>
        </w:tc>
      </w:tr>
      <w:tr>
        <w:tc>
          <w:tcPr/>
          <w:p>
            <w:pPr>
              <w:pStyle w:val="Compact"/>
              <w:jc w:val="left"/>
            </w:pPr>
            <w:r>
              <w:t xml:space="preserve">Electric Van (Last-Mile - Downstream)</w:t>
            </w:r>
          </w:p>
        </w:tc>
        <w:tc>
          <w:tcPr/>
          <w:p>
            <w:pPr>
              <w:pStyle w:val="Compact"/>
              <w:jc w:val="left"/>
            </w:pPr>
            <w:r>
              <w:t xml:space="preserve">50</w:t>
            </w:r>
          </w:p>
        </w:tc>
        <w:tc>
          <w:tcPr/>
          <w:p>
            <w:pPr>
              <w:pStyle w:val="Compact"/>
              <w:jc w:val="left"/>
            </w:pPr>
            <w:r>
              <w:t xml:space="preserve">0.001</w:t>
            </w:r>
          </w:p>
        </w:tc>
        <w:tc>
          <w:tcPr/>
          <w:p>
            <w:pPr>
              <w:pStyle w:val="Compact"/>
              <w:jc w:val="left"/>
            </w:pPr>
            <w:r>
              <w:t xml:space="preserve">0.05</w:t>
            </w:r>
          </w:p>
        </w:tc>
        <w:tc>
          <w:tcPr/>
          <w:p>
            <w:pPr>
              <w:pStyle w:val="Compact"/>
              <w:jc w:val="left"/>
            </w:pPr>
            <w:r>
              <w:t xml:space="preserve">0.055</w:t>
            </w:r>
          </w:p>
        </w:tc>
        <w:tc>
          <w:tcPr/>
          <w:p>
            <w:pPr>
              <w:pStyle w:val="Compact"/>
              <w:jc w:val="left"/>
            </w:pPr>
            <w:r>
              <w:t xml:space="preserve">0.003</w:t>
            </w:r>
          </w:p>
        </w:tc>
      </w:tr>
      <w:tr>
        <w:tc>
          <w:tcPr>
            <w:gridSpan w:val="5"/>
          </w:tcPr>
          <w:p>
            <w:pPr>
              <w:pStyle w:val="Compact"/>
              <w:jc w:val="right"/>
            </w:pPr>
            <w:r>
              <w:rPr>
                <w:bCs/>
                <w:b/>
              </w:rPr>
              <w:t xml:space="preserve">Total Transportation Emissions:</w:t>
            </w:r>
          </w:p>
        </w:tc>
        <w:tc>
          <w:tcPr/>
          <w:p>
            <w:pPr>
              <w:pStyle w:val="Compact"/>
              <w:jc w:val="left"/>
            </w:pPr>
            <w:r>
              <w:rPr>
                <w:bCs/>
                <w:b/>
              </w:rPr>
              <w:t xml:space="preserve">0.273</w:t>
            </w:r>
          </w:p>
        </w:tc>
      </w:tr>
    </w:tbl>
    <w:bookmarkEnd w:id="37"/>
    <w:bookmarkStart w:id="38" w:name="d.-use-phase-scope-3-category-11"/>
    <w:p>
      <w:pPr>
        <w:pStyle w:val="Heading4"/>
      </w:pPr>
      <w:r>
        <w:t xml:space="preserve">d. Use Phase (Scope 3, Category 11)</w:t>
      </w:r>
    </w:p>
    <w:p>
      <w:pPr>
        <w:numPr>
          <w:ilvl w:val="0"/>
          <w:numId w:val="1010"/>
        </w:numPr>
        <w:pStyle w:val="Compact"/>
      </w:pPr>
      <w:r>
        <w:t xml:space="preserve">Product Lifespan: 7 years</w:t>
      </w:r>
    </w:p>
    <w:p>
      <w:pPr>
        <w:numPr>
          <w:ilvl w:val="0"/>
          <w:numId w:val="1010"/>
        </w:numPr>
        <w:pStyle w:val="Compact"/>
      </w:pPr>
      <w:r>
        <w:t xml:space="preserve">Annual Energy Consumption: 5 kWh/year</w:t>
      </w:r>
    </w:p>
    <w:p>
      <w:pPr>
        <w:numPr>
          <w:ilvl w:val="0"/>
          <w:numId w:val="1010"/>
        </w:numPr>
        <w:pStyle w:val="Compact"/>
      </w:pPr>
      <w:r>
        <w:t xml:space="preserve">Total Energy Consumption: 7 years * 5 kWh/year = 35 kWh</w:t>
      </w:r>
    </w:p>
    <w:p>
      <w:pPr>
        <w:numPr>
          <w:ilvl w:val="0"/>
          <w:numId w:val="1010"/>
        </w:numPr>
        <w:pStyle w:val="Compact"/>
      </w:pPr>
      <w:r>
        <w:t xml:space="preserve">Average EU Electricity Grid Emission Factor: 0.276 kg CO2e/kWh</w:t>
      </w:r>
    </w:p>
    <w:p>
      <w:pPr>
        <w:pStyle w:val="FirstParagraph"/>
      </w:pPr>
      <w:r>
        <w:t xml:space="preserve">Calculation: 35 kWh * 0.276 kgCO2e/kWh =</w:t>
      </w:r>
      <w:r>
        <w:t xml:space="preserve"> </w:t>
      </w:r>
      <w:r>
        <w:rPr>
          <w:bCs/>
          <w:b/>
        </w:rPr>
        <w:t xml:space="preserve">9.660 kgCO2e/unit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Energy (kWh)</w:t>
            </w:r>
          </w:p>
        </w:tc>
        <w:tc>
          <w:tcPr/>
          <w:p>
            <w:pPr>
              <w:pStyle w:val="Compact"/>
              <w:jc w:val="left"/>
            </w:pPr>
            <w:r>
              <w:t xml:space="preserve">Emission Factor (kgCO2e/kWh)</w:t>
            </w:r>
          </w:p>
        </w:tc>
        <w:tc>
          <w:tcPr/>
          <w:p>
            <w:pPr>
              <w:pStyle w:val="Compact"/>
              <w:jc w:val="left"/>
            </w:pPr>
            <w:r>
              <w:t xml:space="preserve">CO2e (kg)</w:t>
            </w:r>
          </w:p>
        </w:tc>
      </w:tr>
      <w:tr>
        <w:tc>
          <w:tcPr/>
          <w:p>
            <w:pPr>
              <w:pStyle w:val="Compact"/>
              <w:jc w:val="left"/>
            </w:pPr>
            <w:r>
              <w:t xml:space="preserve">Product Energy Consumption (7 years)</w:t>
            </w:r>
          </w:p>
        </w:tc>
        <w:tc>
          <w:tcPr/>
          <w:p>
            <w:pPr>
              <w:pStyle w:val="Compact"/>
              <w:jc w:val="left"/>
            </w:pPr>
            <w:r>
              <w:t xml:space="preserve">35.0</w:t>
            </w:r>
          </w:p>
        </w:tc>
        <w:tc>
          <w:tcPr/>
          <w:p>
            <w:pPr>
              <w:pStyle w:val="Compact"/>
              <w:jc w:val="left"/>
            </w:pPr>
            <w:r>
              <w:t xml:space="preserve">0.276</w:t>
            </w:r>
          </w:p>
        </w:tc>
        <w:tc>
          <w:tcPr/>
          <w:p>
            <w:pPr>
              <w:pStyle w:val="Compact"/>
              <w:jc w:val="left"/>
            </w:pPr>
            <w:r>
              <w:t xml:space="preserve">9.660</w:t>
            </w:r>
          </w:p>
        </w:tc>
      </w:tr>
      <w:tr>
        <w:tc>
          <w:tcPr>
            <w:gridSpan w:val="3"/>
          </w:tcPr>
          <w:p>
            <w:pPr>
              <w:pStyle w:val="Compact"/>
              <w:jc w:val="right"/>
            </w:pPr>
            <w:r>
              <w:rPr>
                <w:bCs/>
                <w:b/>
              </w:rPr>
              <w:t xml:space="preserve">Total Use Phase Emissions:</w:t>
            </w:r>
          </w:p>
        </w:tc>
        <w:tc>
          <w:tcPr/>
          <w:p>
            <w:pPr>
              <w:pStyle w:val="Compact"/>
              <w:jc w:val="left"/>
            </w:pPr>
            <w:r>
              <w:rPr>
                <w:bCs/>
                <w:b/>
              </w:rPr>
              <w:t xml:space="preserve">9.660</w:t>
            </w:r>
          </w:p>
        </w:tc>
      </w:tr>
    </w:tbl>
    <w:bookmarkEnd w:id="38"/>
    <w:bookmarkStart w:id="39" w:name="X6a428397253276bf9f8ba59c091c512910e08b6"/>
    <w:p>
      <w:pPr>
        <w:pStyle w:val="Heading4"/>
      </w:pPr>
      <w:r>
        <w:t xml:space="preserve">e. End-of-Life (EoL) Treatment (Scope 3, Category 12)</w:t>
      </w:r>
    </w:p>
    <w:p>
      <w:pPr>
        <w:pStyle w:val="FirstParagraph"/>
      </w:pPr>
      <w:r>
        <w:t xml:space="preserve">Considering 85% recyclability and a take-back program that promotes material recovery. Avoided emissions are calculated based on the virgin material emission factors, reflecting the reduction in the need for new primary material production.</w:t>
      </w:r>
    </w:p>
    <w:p>
      <w:pPr>
        <w:numPr>
          <w:ilvl w:val="0"/>
          <w:numId w:val="1011"/>
        </w:numPr>
        <w:pStyle w:val="Compact"/>
      </w:pPr>
      <w:r>
        <w:t xml:space="preserve">Total Material Mass: 0.85 kg</w:t>
      </w:r>
    </w:p>
    <w:p>
      <w:pPr>
        <w:numPr>
          <w:ilvl w:val="0"/>
          <w:numId w:val="1011"/>
        </w:numPr>
        <w:pStyle w:val="Compact"/>
      </w:pPr>
      <w:r>
        <w:t xml:space="preserve">Recycled Mass: 0.85 kg * 85% = 0.7225 kg</w:t>
      </w:r>
    </w:p>
    <w:p>
      <w:pPr>
        <w:numPr>
          <w:ilvl w:val="0"/>
          <w:numId w:val="1011"/>
        </w:numPr>
        <w:pStyle w:val="Compact"/>
      </w:pPr>
      <w:r>
        <w:t xml:space="preserve">Disposed Mass (Landfill/Incineration): 0.85 kg * 15% = 0.1275 kg</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Component</w:t>
            </w:r>
          </w:p>
        </w:tc>
        <w:tc>
          <w:tcPr/>
          <w:p>
            <w:pPr>
              <w:pStyle w:val="Compact"/>
              <w:jc w:val="left"/>
            </w:pPr>
            <w:r>
              <w:t xml:space="preserve">Recycled Mass (kg)</w:t>
            </w:r>
          </w:p>
        </w:tc>
        <w:tc>
          <w:tcPr/>
          <w:p>
            <w:pPr>
              <w:pStyle w:val="Compact"/>
              <w:jc w:val="left"/>
            </w:pPr>
            <w:r>
              <w:t xml:space="preserve">Avoided EF (% of Virgin EF)</w:t>
            </w:r>
          </w:p>
        </w:tc>
        <w:tc>
          <w:tcPr/>
          <w:p>
            <w:pPr>
              <w:pStyle w:val="Compact"/>
              <w:jc w:val="left"/>
            </w:pPr>
            <w:r>
              <w:t xml:space="preserve">Avoided CO2e (kg)</w:t>
            </w:r>
          </w:p>
        </w:tc>
        <w:tc>
          <w:tcPr/>
          <w:p>
            <w:pPr>
              <w:pStyle w:val="Compact"/>
              <w:jc w:val="left"/>
            </w:pPr>
            <w:r>
              <w:t xml:space="preserve">Disposed Mass (kg)</w:t>
            </w:r>
          </w:p>
        </w:tc>
        <w:tc>
          <w:tcPr/>
          <w:p>
            <w:pPr>
              <w:pStyle w:val="Compact"/>
              <w:jc w:val="left"/>
            </w:pPr>
            <w:r>
              <w:t xml:space="preserve">Disposal EF (kgCO2e/kg)</w:t>
            </w:r>
          </w:p>
        </w:tc>
        <w:tc>
          <w:tcPr/>
          <w:p>
            <w:pPr>
              <w:pStyle w:val="Compact"/>
              <w:jc w:val="left"/>
            </w:pPr>
            <w:r>
              <w:t xml:space="preserve">Disposal CO2e (kg)</w:t>
            </w:r>
          </w:p>
        </w:tc>
      </w:tr>
      <w:tr>
        <w:tc>
          <w:tcPr/>
          <w:p>
            <w:pPr>
              <w:pStyle w:val="Compact"/>
              <w:jc w:val="left"/>
            </w:pPr>
            <w:r>
              <w:t xml:space="preserve">Plastic Casing</w:t>
            </w:r>
          </w:p>
        </w:tc>
        <w:tc>
          <w:tcPr/>
          <w:p>
            <w:pPr>
              <w:pStyle w:val="Compact"/>
              <w:jc w:val="left"/>
            </w:pPr>
            <w:r>
              <w:t xml:space="preserve">0.425</w:t>
            </w:r>
          </w:p>
        </w:tc>
        <w:tc>
          <w:tcPr/>
          <w:p>
            <w:pPr>
              <w:pStyle w:val="Compact"/>
              <w:jc w:val="left"/>
            </w:pPr>
            <w:r>
              <w:t xml:space="preserve">0.7 * 2.79 = 1.953</w:t>
            </w:r>
          </w:p>
        </w:tc>
        <w:tc>
          <w:tcPr/>
          <w:p>
            <w:pPr>
              <w:pStyle w:val="Compact"/>
              <w:jc w:val="left"/>
            </w:pPr>
            <w:r>
              <w:t xml:space="preserve">-0.830</w:t>
            </w:r>
          </w:p>
        </w:tc>
        <w:tc>
          <w:tcPr/>
          <w:p>
            <w:pPr>
              <w:pStyle w:val="Compact"/>
              <w:jc w:val="left"/>
            </w:pPr>
            <w:r>
              <w:t xml:space="preserve">0.075</w:t>
            </w:r>
          </w:p>
        </w:tc>
        <w:tc>
          <w:tcPr/>
          <w:p>
            <w:pPr>
              <w:pStyle w:val="Compact"/>
              <w:jc w:val="left"/>
            </w:pPr>
            <w:r>
              <w:t xml:space="preserve">0.1*</w:t>
            </w:r>
          </w:p>
        </w:tc>
        <w:tc>
          <w:tcPr/>
          <w:p>
            <w:pPr>
              <w:pStyle w:val="Compact"/>
              <w:jc w:val="left"/>
            </w:pPr>
            <w:r>
              <w:t xml:space="preserve">0.008</w:t>
            </w:r>
          </w:p>
        </w:tc>
      </w:tr>
      <w:tr>
        <w:tc>
          <w:tcPr/>
          <w:p>
            <w:pPr>
              <w:pStyle w:val="Compact"/>
              <w:jc w:val="left"/>
            </w:pPr>
            <w:r>
              <w:t xml:space="preserve">Steel Frame</w:t>
            </w:r>
          </w:p>
        </w:tc>
        <w:tc>
          <w:tcPr/>
          <w:p>
            <w:pPr>
              <w:pStyle w:val="Compact"/>
              <w:jc w:val="left"/>
            </w:pPr>
            <w:r>
              <w:t xml:space="preserve">0.170</w:t>
            </w:r>
          </w:p>
        </w:tc>
        <w:tc>
          <w:tcPr/>
          <w:p>
            <w:pPr>
              <w:pStyle w:val="Compact"/>
              <w:jc w:val="left"/>
            </w:pPr>
            <w:r>
              <w:t xml:space="preserve">0.8 * 2.50 = 2.000</w:t>
            </w:r>
          </w:p>
        </w:tc>
        <w:tc>
          <w:tcPr/>
          <w:p>
            <w:pPr>
              <w:pStyle w:val="Compact"/>
              <w:jc w:val="left"/>
            </w:pPr>
            <w:r>
              <w:t xml:space="preserve">-0.340</w:t>
            </w:r>
          </w:p>
        </w:tc>
        <w:tc>
          <w:tcPr/>
          <w:p>
            <w:pPr>
              <w:pStyle w:val="Compact"/>
              <w:jc w:val="left"/>
            </w:pPr>
            <w:r>
              <w:t xml:space="preserve">0.030</w:t>
            </w:r>
          </w:p>
        </w:tc>
        <w:tc>
          <w:tcPr/>
          <w:p>
            <w:pPr>
              <w:pStyle w:val="Compact"/>
              <w:jc w:val="left"/>
            </w:pPr>
            <w:r>
              <w:t xml:space="preserve">0.1*</w:t>
            </w:r>
          </w:p>
        </w:tc>
        <w:tc>
          <w:tcPr/>
          <w:p>
            <w:pPr>
              <w:pStyle w:val="Compact"/>
              <w:jc w:val="left"/>
            </w:pPr>
            <w:r>
              <w:t xml:space="preserve">0.003</w:t>
            </w:r>
          </w:p>
        </w:tc>
      </w:tr>
      <w:tr>
        <w:tc>
          <w:tcPr/>
          <w:p>
            <w:pPr>
              <w:pStyle w:val="Compact"/>
              <w:jc w:val="left"/>
            </w:pPr>
            <w:r>
              <w:t xml:space="preserve">Electronic Components</w:t>
            </w:r>
          </w:p>
        </w:tc>
        <w:tc>
          <w:tcPr/>
          <w:p>
            <w:pPr>
              <w:pStyle w:val="Compact"/>
              <w:jc w:val="left"/>
            </w:pPr>
            <w:r>
              <w:t xml:space="preserve">0.085</w:t>
            </w:r>
          </w:p>
        </w:tc>
        <w:tc>
          <w:tcPr/>
          <w:p>
            <w:pPr>
              <w:pStyle w:val="Compact"/>
              <w:jc w:val="left"/>
            </w:pPr>
            <w:r>
              <w:t xml:space="preserve">0.5 * 15.00 = 7.500</w:t>
            </w:r>
          </w:p>
        </w:tc>
        <w:tc>
          <w:tcPr/>
          <w:p>
            <w:pPr>
              <w:pStyle w:val="Compact"/>
              <w:jc w:val="left"/>
            </w:pPr>
            <w:r>
              <w:t xml:space="preserve">-0.638</w:t>
            </w:r>
          </w:p>
        </w:tc>
        <w:tc>
          <w:tcPr/>
          <w:p>
            <w:pPr>
              <w:pStyle w:val="Compact"/>
              <w:jc w:val="left"/>
            </w:pPr>
            <w:r>
              <w:t xml:space="preserve">0.015</w:t>
            </w:r>
          </w:p>
        </w:tc>
        <w:tc>
          <w:tcPr/>
          <w:p>
            <w:pPr>
              <w:pStyle w:val="Compact"/>
              <w:jc w:val="left"/>
            </w:pPr>
            <w:r>
              <w:t xml:space="preserve">0.5*</w:t>
            </w:r>
          </w:p>
        </w:tc>
        <w:tc>
          <w:tcPr/>
          <w:p>
            <w:pPr>
              <w:pStyle w:val="Compact"/>
              <w:jc w:val="left"/>
            </w:pPr>
            <w:r>
              <w:t xml:space="preserve">0.008</w:t>
            </w:r>
          </w:p>
        </w:tc>
      </w:tr>
      <w:tr>
        <w:tc>
          <w:tcPr/>
          <w:p>
            <w:pPr>
              <w:pStyle w:val="Compact"/>
              <w:jc w:val="left"/>
            </w:pPr>
            <w:r>
              <w:t xml:space="preserve">Packaging (Cardboard)</w:t>
            </w:r>
          </w:p>
        </w:tc>
        <w:tc>
          <w:tcPr/>
          <w:p>
            <w:pPr>
              <w:pStyle w:val="Compact"/>
              <w:jc w:val="left"/>
            </w:pPr>
            <w:r>
              <w:t xml:space="preserve">0.0425</w:t>
            </w:r>
          </w:p>
        </w:tc>
        <w:tc>
          <w:tcPr/>
          <w:p>
            <w:pPr>
              <w:pStyle w:val="Compact"/>
              <w:jc w:val="left"/>
            </w:pPr>
            <w:r>
              <w:t xml:space="preserve">0.9 * 1.00 = 0.900</w:t>
            </w:r>
          </w:p>
        </w:tc>
        <w:tc>
          <w:tcPr/>
          <w:p>
            <w:pPr>
              <w:pStyle w:val="Compact"/>
              <w:jc w:val="left"/>
            </w:pPr>
            <w:r>
              <w:t xml:space="preserve">-0.038</w:t>
            </w:r>
          </w:p>
        </w:tc>
        <w:tc>
          <w:tcPr/>
          <w:p>
            <w:pPr>
              <w:pStyle w:val="Compact"/>
              <w:jc w:val="left"/>
            </w:pPr>
            <w:r>
              <w:t xml:space="preserve">0.0075</w:t>
            </w:r>
          </w:p>
        </w:tc>
        <w:tc>
          <w:tcPr/>
          <w:p>
            <w:pPr>
              <w:pStyle w:val="Compact"/>
              <w:jc w:val="left"/>
            </w:pPr>
            <w:r>
              <w:t xml:space="preserve">0.05*</w:t>
            </w:r>
          </w:p>
        </w:tc>
        <w:tc>
          <w:tcPr/>
          <w:p>
            <w:pPr>
              <w:pStyle w:val="Compact"/>
              <w:jc w:val="left"/>
            </w:pPr>
            <w:r>
              <w:t xml:space="preserve">0.000</w:t>
            </w:r>
          </w:p>
        </w:tc>
      </w:tr>
      <w:tr>
        <w:tc>
          <w:tcPr>
            <w:gridSpan w:val="3"/>
          </w:tcPr>
          <w:p>
            <w:pPr>
              <w:pStyle w:val="Compact"/>
              <w:jc w:val="right"/>
            </w:pPr>
            <w:r>
              <w:rPr>
                <w:bCs/>
                <w:b/>
              </w:rPr>
              <w:t xml:space="preserve">Total Avoided Emissions:</w:t>
            </w:r>
          </w:p>
        </w:tc>
        <w:tc>
          <w:tcPr/>
          <w:p>
            <w:pPr>
              <w:pStyle w:val="Compact"/>
              <w:jc w:val="left"/>
            </w:pPr>
            <w:r>
              <w:rPr>
                <w:bCs/>
                <w:b/>
              </w:rPr>
              <w:t xml:space="preserve">-1.846</w:t>
            </w:r>
          </w:p>
        </w:tc>
        <w:tc>
          <w:tcPr>
            <w:gridSpan w:val="2"/>
          </w:tcPr>
          <w:p>
            <w:pPr>
              <w:pStyle w:val="Compact"/>
              <w:jc w:val="right"/>
            </w:pPr>
            <w:r>
              <w:rPr>
                <w:bCs/>
                <w:b/>
              </w:rPr>
              <w:t xml:space="preserve">Total Disposal Emissions:</w:t>
            </w:r>
          </w:p>
        </w:tc>
        <w:tc>
          <w:tcPr/>
          <w:p>
            <w:pPr>
              <w:pStyle w:val="Compact"/>
              <w:jc w:val="left"/>
            </w:pPr>
            <w:r>
              <w:rPr>
                <w:bCs/>
                <w:b/>
              </w:rPr>
              <w:t xml:space="preserve">0.019</w:t>
            </w:r>
          </w:p>
        </w:tc>
      </w:tr>
      <w:tr>
        <w:tc>
          <w:tcPr>
            <w:gridSpan w:val="6"/>
          </w:tcPr>
          <w:p>
            <w:pPr>
              <w:pStyle w:val="Compact"/>
              <w:jc w:val="right"/>
            </w:pPr>
            <w:r>
              <w:rPr>
                <w:bCs/>
                <w:b/>
              </w:rPr>
              <w:t xml:space="preserve">Net End-of-Life Emissions:</w:t>
            </w:r>
          </w:p>
        </w:tc>
        <w:tc>
          <w:tcPr/>
          <w:p>
            <w:pPr>
              <w:pStyle w:val="Compact"/>
              <w:jc w:val="left"/>
            </w:pPr>
            <w:r>
              <w:rPr>
                <w:bCs/>
                <w:b/>
              </w:rPr>
              <w:t xml:space="preserve">-1.827</w:t>
            </w:r>
          </w:p>
        </w:tc>
      </w:tr>
    </w:tbl>
    <w:p>
      <w:pPr>
        <w:pStyle w:val="BodyText"/>
      </w:pPr>
      <w:r>
        <w:rPr>
          <w:iCs/>
          <w:i/>
        </w:rPr>
        <w:t xml:space="preserve">*Note on Disposal EF: Illustrative generic values for disposal (landfill/incineration). Avoided EF is a percentage of virgin material EF. Actual values depend on specific recycling processes and displaced materials. The refurbishment program (xyzoxvjufw) further reduces the need for new production, contributing to additional avoided emissions not explicitly quantified here due to lack of specific data on program impact.</w:t>
      </w:r>
    </w:p>
    <w:bookmarkEnd w:id="39"/>
    <w:bookmarkEnd w:id="40"/>
    <w:bookmarkStart w:id="41" w:name="X1106d2b2006a5ea619bcd4ed2144b11c4821b2e"/>
    <w:p>
      <w:pPr>
        <w:pStyle w:val="Heading3"/>
      </w:pPr>
      <w:r>
        <w:t xml:space="preserve">3.2. Summary of Product Carbon Footprint by Scope and Stage</w:t>
      </w:r>
    </w:p>
    <w:p>
      <w:pPr>
        <w:pStyle w:val="FirstParagraph"/>
      </w:pPr>
      <w:r>
        <w:t xml:space="preserve">The total Product Carbon Footprint for one functional unit of dyghxtffyh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(kg/unit)</w:t>
            </w:r>
          </w:p>
        </w:tc>
        <w:tc>
          <w:tcPr/>
          <w:p>
            <w:pPr>
              <w:pStyle w:val="Compact"/>
              <w:jc w:val="left"/>
            </w:pPr>
            <w:r>
              <w:t xml:space="preserve">Percentage (%)</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3.445</w:t>
            </w:r>
          </w:p>
        </w:tc>
        <w:tc>
          <w:tcPr/>
          <w:p>
            <w:pPr>
              <w:pStyle w:val="Compact"/>
              <w:jc w:val="left"/>
            </w:pPr>
            <w:r>
              <w:t xml:space="preserve">25.8%</w:t>
            </w:r>
          </w:p>
        </w:tc>
      </w:tr>
      <w:tr>
        <w:tc>
          <w:tcPr/>
          <w:p>
            <w:pPr>
              <w:pStyle w:val="Compact"/>
              <w:jc w:val="left"/>
            </w:pPr>
            <w:r>
              <w:t xml:space="preserve">Production/Manufacturing</w:t>
            </w:r>
          </w:p>
        </w:tc>
        <w:tc>
          <w:tcPr/>
          <w:p>
            <w:pPr>
              <w:pStyle w:val="Compact"/>
              <w:jc w:val="left"/>
            </w:pPr>
            <w:r>
              <w:t xml:space="preserve">Scope 2</w:t>
            </w:r>
          </w:p>
        </w:tc>
        <w:tc>
          <w:tcPr/>
          <w:p>
            <w:pPr>
              <w:pStyle w:val="Compact"/>
              <w:jc w:val="left"/>
            </w:pPr>
            <w:r>
              <w:t xml:space="preserve">0.174</w:t>
            </w:r>
          </w:p>
        </w:tc>
        <w:tc>
          <w:tcPr/>
          <w:p>
            <w:pPr>
              <w:pStyle w:val="Compact"/>
              <w:jc w:val="left"/>
            </w:pPr>
            <w:r>
              <w:t xml:space="preserve">1.3%</w:t>
            </w:r>
          </w:p>
        </w:tc>
      </w:tr>
      <w:tr>
        <w:tc>
          <w:tcPr/>
          <w:p>
            <w:pPr>
              <w:pStyle w:val="Compact"/>
              <w:jc w:val="left"/>
            </w:pPr>
            <w:r>
              <w:t xml:space="preserve">Transportation</w:t>
            </w:r>
          </w:p>
        </w:tc>
        <w:tc>
          <w:tcPr/>
          <w:p>
            <w:pPr>
              <w:pStyle w:val="Compact"/>
              <w:jc w:val="left"/>
            </w:pPr>
            <w:r>
              <w:t xml:space="preserve">Scope 3, Categories 4 &amp; 9</w:t>
            </w:r>
          </w:p>
        </w:tc>
        <w:tc>
          <w:tcPr/>
          <w:p>
            <w:pPr>
              <w:pStyle w:val="Compact"/>
              <w:jc w:val="left"/>
            </w:pPr>
            <w:r>
              <w:t xml:space="preserve">0.273</w:t>
            </w:r>
          </w:p>
        </w:tc>
        <w:tc>
          <w:tcPr/>
          <w:p>
            <w:pPr>
              <w:pStyle w:val="Compact"/>
              <w:jc w:val="left"/>
            </w:pPr>
            <w:r>
              <w:t xml:space="preserve">2.0%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9.660</w:t>
            </w:r>
          </w:p>
        </w:tc>
        <w:tc>
          <w:tcPr/>
          <w:p>
            <w:pPr>
              <w:pStyle w:val="Compact"/>
              <w:jc w:val="left"/>
            </w:pPr>
            <w:r>
              <w:t xml:space="preserve">72.2%</w:t>
            </w:r>
          </w:p>
        </w:tc>
      </w:tr>
      <w:tr>
        <w:tc>
          <w:tcPr/>
          <w:p>
            <w:pPr>
              <w:pStyle w:val="Compact"/>
              <w:jc w:val="left"/>
            </w:pPr>
            <w:r>
              <w:t xml:space="preserve">End-of-Life (Net)</w:t>
            </w:r>
          </w:p>
        </w:tc>
        <w:tc>
          <w:tcPr/>
          <w:p>
            <w:pPr>
              <w:pStyle w:val="Compact"/>
              <w:jc w:val="left"/>
            </w:pPr>
            <w:r>
              <w:t xml:space="preserve">Scope 3, Category 12</w:t>
            </w:r>
          </w:p>
        </w:tc>
        <w:tc>
          <w:tcPr/>
          <w:p>
            <w:pPr>
              <w:pStyle w:val="Compact"/>
              <w:jc w:val="left"/>
            </w:pPr>
            <w:r>
              <w:t xml:space="preserve">-1.827</w:t>
            </w:r>
          </w:p>
        </w:tc>
        <w:tc>
          <w:tcPr/>
          <w:p>
            <w:pPr>
              <w:pStyle w:val="Compact"/>
              <w:jc w:val="left"/>
            </w:pPr>
            <w:r>
              <w:t xml:space="preserve">-13.6%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11.725</w:t>
            </w:r>
          </w:p>
        </w:tc>
        <w:tc>
          <w:tcPr/>
          <w:p>
            <w:pPr>
              <w:pStyle w:val="Compact"/>
              <w:jc w:val="left"/>
            </w:pPr>
            <w:r>
              <w:rPr>
                <w:bCs/>
                <w:b/>
              </w:rPr>
              <w:t xml:space="preserve">100.0%</w:t>
            </w:r>
          </w:p>
        </w:tc>
      </w:tr>
    </w:tbl>
    <w:p>
      <w:pPr>
        <w:pStyle w:val="BodyText"/>
      </w:pPr>
      <w:r>
        <w:rPr>
          <w:iCs/>
          <w:i/>
        </w:rPr>
        <w:t xml:space="preserve">Note: Percentages may not sum to 100% due to rounding and the negative contribution from End-of-Life.</w:t>
      </w:r>
    </w:p>
    <w:bookmarkEnd w:id="41"/>
    <w:bookmarkEnd w:id="42"/>
    <w:p>
      <w:r>
        <w:pict>
          <v:rect style="width:0;height:1.5pt" o:hralign="center" o:hrstd="t" o:hr="t"/>
        </w:pict>
      </w:r>
    </w:p>
    <w:bookmarkStart w:id="45" w:name="hotspot-analysis-and-reliability"/>
    <w:p>
      <w:pPr>
        <w:pStyle w:val="Heading2"/>
      </w:pPr>
      <w:r>
        <w:t xml:space="preserve">4. Hotspot Analysis and Reliability</w:t>
      </w:r>
    </w:p>
    <w:bookmarkStart w:id="43" w:name="hotspot-identification"/>
    <w:p>
      <w:pPr>
        <w:pStyle w:val="Heading3"/>
      </w:pPr>
      <w:r>
        <w:t xml:space="preserve">4.1. Hotspot Identification</w:t>
      </w:r>
    </w:p>
    <w:p>
      <w:pPr>
        <w:pStyle w:val="FirstParagraph"/>
      </w:pPr>
      <w:r>
        <w:t xml:space="preserve">The analysis clearly indicates that the primary emission hotspots for dyghxtffyh are:</w:t>
      </w:r>
    </w:p>
    <w:p>
      <w:pPr>
        <w:numPr>
          <w:ilvl w:val="0"/>
          <w:numId w:val="1012"/>
        </w:numPr>
        <w:pStyle w:val="Compact"/>
      </w:pPr>
      <w:r>
        <w:rPr>
          <w:bCs/>
          <w:b/>
        </w:rPr>
        <w:t xml:space="preserve">Use Phase (72.2%):</w:t>
      </w:r>
      <w:r>
        <w:t xml:space="preserve"> </w:t>
      </w:r>
      <w:r>
        <w:t xml:space="preserve">The energy consumption during the product\'s 7-year lifespan is the most significant contributor to its overall carbon footprint. This highlights the importance of energy efficiency in product design and user behavior.</w:t>
      </w:r>
    </w:p>
    <w:p>
      <w:pPr>
        <w:numPr>
          <w:ilvl w:val="0"/>
          <w:numId w:val="1012"/>
        </w:numPr>
        <w:pStyle w:val="Compact"/>
      </w:pPr>
      <w:r>
        <w:rPr>
          <w:bCs/>
          <w:b/>
        </w:rPr>
        <w:t xml:space="preserve">Materials Acquisition &amp; Pre-processing (25.8%):</w:t>
      </w:r>
      <w:r>
        <w:t xml:space="preserve"> </w:t>
      </w:r>
      <w:r>
        <w:t xml:space="preserve">Upstream emissions from raw material extraction and component manufacturing, particularly for electronic components, contribute substantially to the PCF. This underscores the need for sustainable material sourcing and design for reduced material intensity.</w:t>
      </w:r>
    </w:p>
    <w:p>
      <w:pPr>
        <w:numPr>
          <w:ilvl w:val="0"/>
          <w:numId w:val="1012"/>
        </w:numPr>
        <w:pStyle w:val="Compact"/>
      </w:pPr>
      <w:r>
        <w:rPr>
          <w:bCs/>
          <w:b/>
        </w:rPr>
        <w:t xml:space="preserve">End-of-Life (Net -13.6%):</w:t>
      </w:r>
      <w:r>
        <w:t xml:space="preserve"> </w:t>
      </w:r>
      <w:r>
        <w:t xml:space="preserve">The robust recyclability and circular economy programs provide significant avoided emissions, demonstrating a positive impact at the end of the product\'s life.</w:t>
      </w:r>
    </w:p>
    <w:bookmarkEnd w:id="43"/>
    <w:bookmarkStart w:id="44" w:name="data-reliability"/>
    <w:p>
      <w:pPr>
        <w:pStyle w:val="Heading3"/>
      </w:pPr>
      <w:r>
        <w:t xml:space="preserve">4.2. Data Reliability</w:t>
      </w:r>
    </w:p>
    <w:p>
      <w:pPr>
        <w:pStyle w:val="FirstParagraph"/>
      </w:pPr>
      <w:r>
        <w:t xml:space="preserve">The reliability of this PCF analysis is strengthened by the use of provided primary data for BOM quantities, energy consumption, and logistic parameters. However, the calculation relies on secondary, generic industry-average emission factors for materials, transport, and energy grid mixes, as specific supplier-provided EFs were not available. In a fully optimized assessment, these generic factors would be replaced with supplier-specific and regionally-accurate primary data to further enhance precision. The analysis adheres to the proposed 2026 GHG Protocol Scope 3 requirements for 95% coverage by systematically including all relevant upstream and downstream categories.</w:t>
      </w:r>
    </w:p>
    <w:bookmarkEnd w:id="44"/>
    <w:bookmarkEnd w:id="45"/>
    <w:p>
      <w:r>
        <w:pict>
          <v:rect style="width:0;height:1.5pt" o:hralign="center" o:hrstd="t" o:hr="t"/>
        </w:pict>
      </w:r>
    </w:p>
    <w:bookmarkStart w:id="46" w:name="recommendations"/>
    <w:p>
      <w:pPr>
        <w:pStyle w:val="Heading2"/>
      </w:pPr>
      <w:r>
        <w:t xml:space="preserve">5. Recommendations</w:t>
      </w:r>
    </w:p>
    <w:p>
      <w:pPr>
        <w:pStyle w:val="FirstParagraph"/>
      </w:pPr>
      <w:r>
        <w:t xml:space="preserve">Based on the hotspot analysis,</w:t>
      </w:r>
      <w:r>
        <w:t xml:space="preserve"> </w:t>
      </w:r>
      <w:r>
        <w:rPr>
          <w:bCs/>
          <w:b/>
        </w:rPr>
        <w:t xml:space="preserve">xxkjqdkrje</w:t>
      </w:r>
      <w:r>
        <w:t xml:space="preserve"> </w:t>
      </w:r>
      <w:r>
        <w:t xml:space="preserve">can focus on the following strategies to reduce the carbon footprint of dyghxtffyh:</w:t>
      </w:r>
    </w:p>
    <w:p>
      <w:pPr>
        <w:numPr>
          <w:ilvl w:val="0"/>
          <w:numId w:val="1013"/>
        </w:numPr>
        <w:pStyle w:val="Compact"/>
      </w:pPr>
      <w:r>
        <w:rPr>
          <w:bCs/>
          <w:b/>
        </w:rPr>
        <w:t xml:space="preserve">Optimize Use Phase Energy Efficiency:</w:t>
      </w:r>
    </w:p>
    <w:p>
      <w:pPr>
        <w:numPr>
          <w:ilvl w:val="1"/>
          <w:numId w:val="1014"/>
        </w:numPr>
        <w:pStyle w:val="Compact"/>
      </w:pPr>
      <w:r>
        <w:t xml:space="preserve">Invest in R&amp;D to drastically reduce the operational energy consumption of dyghxtffyh during its lifespan.</w:t>
      </w:r>
    </w:p>
    <w:p>
      <w:pPr>
        <w:numPr>
          <w:ilvl w:val="1"/>
          <w:numId w:val="1014"/>
        </w:numPr>
        <w:pStyle w:val="Compact"/>
      </w:pPr>
      <w:r>
        <w:t xml:space="preserve">Explore sleep modes, smart energy management features, and higher-efficiency components.</w:t>
      </w:r>
    </w:p>
    <w:p>
      <w:pPr>
        <w:numPr>
          <w:ilvl w:val="1"/>
          <w:numId w:val="1014"/>
        </w:numPr>
        <w:pStyle w:val="Compact"/>
      </w:pPr>
      <w:r>
        <w:t xml:space="preserve">Educate end-users on energy-saving practices.</w:t>
      </w:r>
    </w:p>
    <w:p>
      <w:pPr>
        <w:numPr>
          <w:ilvl w:val="0"/>
          <w:numId w:val="1013"/>
        </w:numPr>
        <w:pStyle w:val="Compact"/>
      </w:pPr>
      <w:r>
        <w:rPr>
          <w:bCs/>
          <w:b/>
        </w:rPr>
        <w:t xml:space="preserve">Sustainable Material Sourcing and Design:</w:t>
      </w:r>
    </w:p>
    <w:p>
      <w:pPr>
        <w:numPr>
          <w:ilvl w:val="1"/>
          <w:numId w:val="1015"/>
        </w:numPr>
        <w:pStyle w:val="Compact"/>
      </w:pPr>
      <w:r>
        <w:t xml:space="preserve">Prioritize sourcing low-carbon materials, particularly for electronic components and steel, by engaging with suppliers to obtain product-specific environmental product declarations (EPDs) or primary carbon data.</w:t>
      </w:r>
    </w:p>
    <w:p>
      <w:pPr>
        <w:numPr>
          <w:ilvl w:val="1"/>
          <w:numId w:val="1015"/>
        </w:numPr>
        <w:pStyle w:val="Compact"/>
      </w:pPr>
      <w:r>
        <w:t xml:space="preserve">Investigate opportunities for using recycled content in plastic casings and steel frames, leveraging the existing high recyclability.</w:t>
      </w:r>
    </w:p>
    <w:p>
      <w:pPr>
        <w:numPr>
          <w:ilvl w:val="1"/>
          <w:numId w:val="1015"/>
        </w:numPr>
        <w:pStyle w:val="Compact"/>
      </w:pPr>
      <w:r>
        <w:t xml:space="preserve">Design for modularity and easy disassembly to facilitate repair, refurbishment, and efficient material recovery.</w:t>
      </w:r>
    </w:p>
    <w:p>
      <w:pPr>
        <w:numPr>
          <w:ilvl w:val="0"/>
          <w:numId w:val="1013"/>
        </w:numPr>
        <w:pStyle w:val="Compact"/>
      </w:pPr>
      <w:r>
        <w:rPr>
          <w:bCs/>
          <w:b/>
        </w:rPr>
        <w:t xml:space="preserve">Strengthen Circular Economy Initiatives:</w:t>
      </w:r>
    </w:p>
    <w:p>
      <w:pPr>
        <w:numPr>
          <w:ilvl w:val="1"/>
          <w:numId w:val="1016"/>
        </w:numPr>
        <w:pStyle w:val="Compact"/>
      </w:pPr>
      <w:r>
        <w:t xml:space="preserve">Further develop the existing product take-back and refurbishment programs (xyzoxvjufw) to extend product lifespans and increase material circularity.</w:t>
      </w:r>
    </w:p>
    <w:p>
      <w:pPr>
        <w:numPr>
          <w:ilvl w:val="1"/>
          <w:numId w:val="1016"/>
        </w:numPr>
        <w:pStyle w:val="Compact"/>
      </w:pPr>
      <w:r>
        <w:t xml:space="preserve">Explore closed-loop recycling systems for key materials.</w:t>
      </w:r>
    </w:p>
    <w:p>
      <w:pPr>
        <w:numPr>
          <w:ilvl w:val="0"/>
          <w:numId w:val="1013"/>
        </w:numPr>
        <w:pStyle w:val="Compact"/>
      </w:pPr>
      <w:r>
        <w:rPr>
          <w:bCs/>
          <w:b/>
        </w:rPr>
        <w:t xml:space="preserve">Enhance Supply Chain Transparency:</w:t>
      </w:r>
    </w:p>
    <w:p>
      <w:pPr>
        <w:numPr>
          <w:ilvl w:val="1"/>
          <w:numId w:val="1017"/>
        </w:numPr>
        <w:pStyle w:val="Compact"/>
      </w:pPr>
      <w:r>
        <w:t xml:space="preserve">Work with transport providers to optimize routes, maximize load factors, and transition to lower-emission transport modes (e.g., rail for long-haul in Europe) and cleaner fuels.</w:t>
      </w:r>
    </w:p>
    <w:p>
      <w:pPr>
        <w:numPr>
          <w:ilvl w:val="1"/>
          <w:numId w:val="1017"/>
        </w:numPr>
        <w:pStyle w:val="Compact"/>
      </w:pPr>
      <w:r>
        <w:t xml:space="preserve">Seek primary data from suppliers for specific emission factors for purchased goods and services to improve accuracy beyond generic estimates, adhering to the GHG Protocol\'s push for data transparency.</w:t>
      </w:r>
    </w:p>
    <w:p>
      <w:pPr>
        <w:numPr>
          <w:ilvl w:val="0"/>
          <w:numId w:val="1013"/>
        </w:numPr>
        <w:pStyle w:val="Compact"/>
      </w:pPr>
      <w:r>
        <w:rPr>
          <w:bCs/>
          <w:b/>
        </w:rPr>
        <w:t xml:space="preserve">Continuous Monitoring and Improvement:</w:t>
      </w:r>
    </w:p>
    <w:p>
      <w:pPr>
        <w:numPr>
          <w:ilvl w:val="1"/>
          <w:numId w:val="1018"/>
        </w:numPr>
        <w:pStyle w:val="Compact"/>
      </w:pPr>
      <w:r>
        <w:t xml:space="preserve">Regularly update the PCF analysis with new primary data as it becomes available.</w:t>
      </w:r>
    </w:p>
    <w:p>
      <w:pPr>
        <w:numPr>
          <w:ilvl w:val="1"/>
          <w:numId w:val="1018"/>
        </w:numPr>
        <w:pStyle w:val="Compact"/>
      </w:pPr>
      <w:r>
        <w:t xml:space="preserve">Set reduction targets aligned with science-based initiatives.</w:t>
      </w:r>
    </w:p>
    <w:p>
      <w:pPr>
        <w:numPr>
          <w:ilvl w:val="1"/>
          <w:numId w:val="1018"/>
        </w:numPr>
        <w:pStyle w:val="Compact"/>
      </w:pPr>
      <w:r>
        <w:t xml:space="preserve">Incorporate the full scope of the GHG Protocol\'s Land Sector and Removals (LSR) Standard once detailed guidance is available and relevant land-based activities are identified, to accurately account for land use change and carbon removals.</w:t>
      </w:r>
    </w:p>
    <w:bookmarkEnd w:id="46"/>
    <w:p>
      <w:pPr>
        <w:pStyle w:val="FirstParagraph"/>
      </w:pPr>
      <w:r>
        <w:t xml:space="preserve">Confidential - Internal Use Only | Page</w:t>
      </w:r>
      <w:r>
        <w:t xml:space="preserve"> </w:t>
      </w:r>
      <w:bookmarkStart w:id="47" w:name="page-num"/>
      <w:r>
        <w:t xml:space="preserve">1</w:t>
      </w:r>
      <w:bookmarkEnd w:id="47"/>
      <w:r>
        <w:t xml:space="preserve"> </w:t>
      </w:r>
      <w:r>
        <w:t xml:space="preserve">of</w:t>
      </w:r>
      <w:r>
        <w:t xml:space="preserve"> </w:t>
      </w:r>
      <w:bookmarkStart w:id="48" w:name="total-pages"/>
      <w:r>
        <w:t xml:space="preserve">1</w:t>
      </w:r>
      <w:bookmarkEnd w:id="48"/>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dyghxtffyh - xxkjqdkrje</dc:title>
  <dc:creator/>
  <dc:description>High-detail Product Carbon Footprint (PCF) analysis report for product dyghxtffyh by xxkjqdkrje, adhering to GHG Protocol and 2026 revisions.</dc:description>
  <dc:language>en</dc:language>
  <cp:keywords/>
  <dcterms:created xsi:type="dcterms:W3CDTF">2026-07-15T12:37:24Z</dcterms:created>
  <dcterms:modified xsi:type="dcterms:W3CDTF">2026-07-15T12:37:24Z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