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dxxzvnojph</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 dxxzvnojph</w:t>
      </w:r>
    </w:p>
    <w:p>
      <w:pPr>
        <w:pStyle w:val="BodyText"/>
      </w:pPr>
      <w:r>
        <w:rPr>
          <w:bCs/>
          <w:b/>
        </w:rPr>
        <w:t xml:space="preserve">Company Name:</w:t>
      </w:r>
      <w:r>
        <w:t xml:space="preserve"> </w:t>
      </w:r>
      <w:r>
        <w:t xml:space="preserve">jssgnxrjxj</w:t>
      </w:r>
    </w:p>
    <w:p>
      <w:pPr>
        <w:pStyle w:val="BodyText"/>
      </w:pPr>
      <w:r>
        <w:rPr>
          <w:bCs/>
          <w:b/>
        </w:rPr>
        <w:t xml:space="preserve">Senior Sustainability Consultant:</w:t>
      </w:r>
      <w:r>
        <w:t xml:space="preserve"> </w:t>
      </w:r>
      <w:r>
        <w:t xml:space="preserve">kxzsuuiyep</w:t>
      </w:r>
    </w:p>
    <w:p>
      <w:pPr>
        <w:pStyle w:val="BodyText"/>
      </w:pPr>
      <w:r>
        <w:rPr>
          <w:bCs/>
          <w:b/>
        </w:rPr>
        <w:t xml:space="preserve">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and industry standards. While efforts have been made to ensure accuracy, the figures presented herein are illustrative due to the use of placeholder data for specific parameters and should be used for guidance rather than definitive financial or regulatory statements. Further primary data collection is recommended for higher precision.</w:t>
      </w:r>
    </w:p>
    <w:bookmarkEnd w:id="20"/>
    <w:bookmarkStart w:id="21" w:name="Xc34460d6d8711b868e9e1948d9433c3d97e4a5b"/>
    <w:p>
      <w:pPr>
        <w:pStyle w:val="Heading1"/>
      </w:pPr>
      <w:r>
        <w:t xml:space="preserve">Product Carbon Footprint Analysis for dxxzvnojph</w:t>
      </w:r>
    </w:p>
    <w:p>
      <w:pPr>
        <w:pStyle w:val="FirstParagraph"/>
      </w:pPr>
      <w:r>
        <w:t xml:space="preserve">Generated Date: May 18,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dxxzvnojph, undertaken by kxzsuuiyep, a Senior Sustainability Consultant, for jssgnxrjxj. The analysis adheres strictly to the GHG Protocol, including the 2026 Land Sector and Removals (LSR) Standard update, and aims for at least 95% coverage for Scope 3 emissions. The PCF quantifies greenhouse gas (GHG) emissions across the product\'s lifecycle from raw material extraction to end-of-life, providing critical insights into environmental impacts and identifying emission hotspots. Due to placeholder data provided for certain parameters, representative industry average values have been used for calculation purposes, with a recommendation for future primary data collection.</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The first step in any robust carbon footprint assessment is to clearly define the boundaries and parameters of the study. This ensures consistency, comparability, and relevance of the results.</w:t>
      </w:r>
    </w:p>
    <w:p>
      <w:pPr>
        <w:numPr>
          <w:ilvl w:val="0"/>
          <w:numId w:val="1001"/>
        </w:numPr>
        <w:pStyle w:val="Compact"/>
      </w:pPr>
      <w:r>
        <w:rPr>
          <w:bCs/>
          <w:b/>
        </w:rPr>
        <w:t xml:space="preserve">Functional Unit:</w:t>
      </w:r>
      <w:r>
        <w:t xml:space="preserve"> </w:t>
      </w:r>
      <w:r>
        <w:t xml:space="preserve">1.0 unit of dxxzvnojph. This represents the quantified performance of the product system for use as a reference unit.</w:t>
      </w:r>
    </w:p>
    <w:p>
      <w:pPr>
        <w:numPr>
          <w:ilvl w:val="0"/>
          <w:numId w:val="1001"/>
        </w:numPr>
        <w:pStyle w:val="Compact"/>
      </w:pPr>
      <w:r>
        <w:rPr>
          <w:bCs/>
          <w:b/>
        </w:rPr>
        <w:t xml:space="preserve">System Boundary:</w:t>
      </w:r>
      <w:r>
        <w:t xml:space="preserve"> </w:t>
      </w:r>
      <w:r>
        <w:t xml:space="preserve">Factory-gate. This analysis covers emissions from raw material acquisition, pre-processing, manufacturing, and transport up to the point the product leaves the final production factory. Emissions beyond the factory gate (e.g., downstream transport, use phase, end-of-life) are also considered for a comprehensive cradle-to-grave view, especially for Scope 3 reporting.</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raw materials and components are largely sourced from Europe, transported to China for final production, and then potentially distributed globally.</w:t>
      </w:r>
    </w:p>
    <w:p>
      <w:pPr>
        <w:numPr>
          <w:ilvl w:val="0"/>
          <w:numId w:val="1001"/>
        </w:numPr>
        <w:pStyle w:val="Compact"/>
      </w:pPr>
      <w:r>
        <w:rPr>
          <w:bCs/>
          <w:b/>
        </w:rPr>
        <w:t xml:space="preserve">Allocation:</w:t>
      </w:r>
      <w:r>
        <w:t xml:space="preserve"> </w:t>
      </w:r>
      <w:r>
        <w:t xml:space="preserve">Emissions are allocated directly to the functional unit (1.0 unit of dxxzvnojph) based on the mass and energy associated with its production and lifecycle stages. No co-product allocation is explicitly required given the single product focus.</w:t>
      </w:r>
    </w:p>
    <w:p>
      <w:pPr>
        <w:numPr>
          <w:ilvl w:val="0"/>
          <w:numId w:val="1001"/>
        </w:numPr>
        <w:pStyle w:val="Compact"/>
      </w:pPr>
      <w:r>
        <w:rPr>
          <w:bCs/>
          <w:b/>
        </w:rPr>
        <w:t xml:space="preserve">Accounting Standard:</w:t>
      </w:r>
      <w:r>
        <w:t xml:space="preserve"> </w:t>
      </w:r>
      <w:r>
        <w:t xml:space="preserve">This PCF analysis is conducted in strict accordance with the Greenhouse Gas (GHG) Protocol. The GHG Protocol provides a comprehensive global standardized framework for measuring and managing GHG emissions from private and public sector operations, value chains, and mitigation actions.</w:t>
      </w:r>
    </w:p>
    <w:p>
      <w:pPr>
        <w:pStyle w:val="FirstParagraph"/>
      </w:pPr>
      <w:r>
        <w:rPr>
          <w:bCs/>
          <w:b/>
        </w:rPr>
        <w:t xml:space="preserve">Note on GHG Protocol Scopes:</w:t>
      </w:r>
    </w:p>
    <w:p>
      <w:pPr>
        <w:numPr>
          <w:ilvl w:val="0"/>
          <w:numId w:val="1002"/>
        </w:numPr>
        <w:pStyle w:val="Compact"/>
      </w:pPr>
      <w:r>
        <w:rPr>
          <w:bCs/>
          <w:b/>
        </w:rPr>
        <w:t xml:space="preserve">Scope 1 (Direct Emissions):</w:t>
      </w:r>
      <w:r>
        <w:t xml:space="preserve"> </w:t>
      </w:r>
      <w:r>
        <w:t xml:space="preserve">GHG emissions from sources owned or controlled by the reporting company (jssgnxrjxj). Examples include emissions from company-owned vehicles or on-site combustion for manufacturing processes.</w:t>
      </w:r>
    </w:p>
    <w:p>
      <w:pPr>
        <w:numPr>
          <w:ilvl w:val="0"/>
          <w:numId w:val="1002"/>
        </w:numPr>
        <w:pStyle w:val="Compact"/>
      </w:pPr>
      <w:r>
        <w:rPr>
          <w:bCs/>
          <w:b/>
        </w:rPr>
        <w:t xml:space="preserve">Scope 2 (Indirect Emissions from Purchased Energy):</w:t>
      </w:r>
      <w:r>
        <w:t xml:space="preserve"> </w:t>
      </w:r>
      <w:r>
        <w:t xml:space="preserve">GHG emissions from the generation of purchased electricity, heat, or steam consumed by the reporting company.</w:t>
      </w:r>
    </w:p>
    <w:p>
      <w:pPr>
        <w:numPr>
          <w:ilvl w:val="0"/>
          <w:numId w:val="1002"/>
        </w:numPr>
        <w:pStyle w:val="Compact"/>
      </w:pPr>
      <w:r>
        <w:rPr>
          <w:bCs/>
          <w:b/>
        </w:rPr>
        <w:t xml:space="preserve">Scope 3 (Other Indirect Emissions / Value Chain Emissions):</w:t>
      </w:r>
      <w:r>
        <w:t xml:space="preserve"> </w:t>
      </w:r>
      <w:r>
        <w:t xml:space="preserve">All other indirect emissions that occur in the value chain of the reporting company, both upstream and downstream. This typically represents the largest portion of a company\'s total footprint and includes emissions from purchased goods and services, transportation and distribution, use of sold products, and end-of-life treatment of sold products. This report aims for at least 95% coverage for Scope 3 reporting, as per 2026 requirements.</w:t>
      </w:r>
    </w:p>
    <w:p>
      <w:r>
        <w:pict>
          <v:rect style="width:0;height:1.5pt" o:hralign="center" o:hrstd="t" o:hr="t"/>
        </w:pict>
      </w:r>
    </w:p>
    <w:bookmarkEnd w:id="23"/>
    <w:bookmarkStart w:id="24" w:name="Xeceb5f3c4cb430539f02d69dd8b49b0c98a11ff"/>
    <w:p>
      <w:pPr>
        <w:pStyle w:val="Heading2"/>
      </w:pPr>
      <w:r>
        <w:t xml:space="preserve">2. Mapping the Lifecycle (LCI Inventory Stages)</w:t>
      </w:r>
    </w:p>
    <w:p>
      <w:pPr>
        <w:pStyle w:val="FirstParagraph"/>
      </w:pPr>
      <w:r>
        <w:t xml:space="preserve">The lifecycle of dxxzvnojph is mapped into distinct stages to systematically identify and quantify all relevant GHG emissions. This "cradle-to-grave" approach covers:</w:t>
      </w:r>
    </w:p>
    <w:p>
      <w:pPr>
        <w:numPr>
          <w:ilvl w:val="0"/>
          <w:numId w:val="1003"/>
        </w:numPr>
        <w:pStyle w:val="Compact"/>
      </w:pPr>
      <w:r>
        <w:rPr>
          <w:bCs/>
          <w:b/>
        </w:rPr>
        <w:t xml:space="preserve">Raw Material Acquisition &amp; Pre-processing:</w:t>
      </w:r>
      <w:r>
        <w:t xml:space="preserve"> </w:t>
      </w:r>
      <w:r>
        <w:t xml:space="preserve">Extraction of raw materials and their initial processing into usable forms (e.g., metals from ore, plastics from crude oil). This forms a significant part of upstream Scope 3 emissions (Category 1: Purchased Goods and Services).</w:t>
      </w:r>
    </w:p>
    <w:p>
      <w:pPr>
        <w:numPr>
          <w:ilvl w:val="0"/>
          <w:numId w:val="1003"/>
        </w:numPr>
        <w:pStyle w:val="Compact"/>
      </w:pPr>
      <w:r>
        <w:rPr>
          <w:bCs/>
          <w:b/>
        </w:rPr>
        <w:t xml:space="preserve">Manufacturing / Production:</w:t>
      </w:r>
      <w:r>
        <w:t xml:space="preserve"> </w:t>
      </w:r>
      <w:r>
        <w:t xml:space="preserve">The transformation of pre-processed materials into the final product at jssgnxrjxj\'s facility in China. This includes energy consumption (Scope 2) and any direct process emissions (Scope 1).</w:t>
      </w:r>
    </w:p>
    <w:p>
      <w:pPr>
        <w:numPr>
          <w:ilvl w:val="0"/>
          <w:numId w:val="1003"/>
        </w:numPr>
        <w:pStyle w:val="Compact"/>
      </w:pPr>
      <w:r>
        <w:rPr>
          <w:bCs/>
          <w:b/>
        </w:rPr>
        <w:t xml:space="preserve">Transportation &amp; Distribution:</w:t>
      </w:r>
    </w:p>
    <w:p>
      <w:pPr>
        <w:numPr>
          <w:ilvl w:val="1"/>
          <w:numId w:val="1004"/>
        </w:numPr>
        <w:pStyle w:val="Compact"/>
      </w:pPr>
      <w:r>
        <w:rPr>
          <w:bCs/>
          <w:b/>
        </w:rPr>
        <w:t xml:space="preserve">Upstream (Inbound):</w:t>
      </w:r>
      <w:r>
        <w:t xml:space="preserve"> </w:t>
      </w:r>
      <w:r>
        <w:t xml:space="preserve">Transport of raw materials and components from European suppliers to the manufacturing facility in China (Scope 3, Category 4: Upstream Transportation and Distribution).</w:t>
      </w:r>
    </w:p>
    <w:p>
      <w:pPr>
        <w:numPr>
          <w:ilvl w:val="1"/>
          <w:numId w:val="1004"/>
        </w:numPr>
        <w:pStyle w:val="Compact"/>
      </w:pPr>
      <w:r>
        <w:rPr>
          <w:bCs/>
          <w:b/>
        </w:rPr>
        <w:t xml:space="preserve">Downstream (Outbound):</w:t>
      </w:r>
      <w:r>
        <w:t xml:space="preserve"> </w:t>
      </w:r>
      <w:r>
        <w:t xml:space="preserve">Transport of the finished product from the factory in China to the final market/customer (Scope 3, Category 9: Downstream Transportation and Distribution). This includes last-mile delivery.</w:t>
      </w:r>
    </w:p>
    <w:p>
      <w:pPr>
        <w:numPr>
          <w:ilvl w:val="0"/>
          <w:numId w:val="1003"/>
        </w:numPr>
        <w:pStyle w:val="Compact"/>
      </w:pPr>
      <w:r>
        <w:rPr>
          <w:bCs/>
          <w:b/>
        </w:rPr>
        <w:t xml:space="preserve">Use Phase:</w:t>
      </w:r>
      <w:r>
        <w:t xml:space="preserve"> </w:t>
      </w:r>
      <w:r>
        <w:t xml:space="preserve">Emissions generated during the product\'s functional lifespan, primarily due to energy consumption by the user (Scope 3, Category 11: Use of Sold Products).</w:t>
      </w:r>
    </w:p>
    <w:p>
      <w:pPr>
        <w:numPr>
          <w:ilvl w:val="0"/>
          <w:numId w:val="1003"/>
        </w:numPr>
        <w:pStyle w:val="Compact"/>
      </w:pPr>
      <w:r>
        <w:rPr>
          <w:bCs/>
          <w:b/>
        </w:rPr>
        <w:t xml:space="preserve">End-of-Life (EoL):</w:t>
      </w:r>
      <w:r>
        <w:t xml:space="preserve"> </w:t>
      </w:r>
      <w:r>
        <w:t xml:space="preserve">Emissions and potential avoided emissions associated with the disposal, recycling, or recovery of the product after its useful life (Scope 3, Category 12: End-of-Life Treatment of Sold Products).</w:t>
      </w:r>
    </w:p>
    <w:p>
      <w:r>
        <w:pict>
          <v:rect style="width:0;height:1.5pt" o:hralign="center" o:hrstd="t" o:hr="t"/>
        </w:pict>
      </w:r>
    </w:p>
    <w:bookmarkEnd w:id="24"/>
    <w:bookmarkStart w:id="30" w:name="X7b6d01ce7b6bfe45f00681616505557cddf238f"/>
    <w:p>
      <w:pPr>
        <w:pStyle w:val="Heading2"/>
      </w:pPr>
      <w:r>
        <w:t xml:space="preserve">3. Data Collection (Primary/Secondary Data Points)</w:t>
      </w:r>
    </w:p>
    <w:p>
      <w:pPr>
        <w:pStyle w:val="FirstParagraph"/>
      </w:pPr>
      <w:r>
        <w:rPr>
          <w:bCs/>
          <w:b/>
        </w:rPr>
        <w:t xml:space="preserve">Disclaimer on Placeholder Data:</w:t>
      </w:r>
      <w:r>
        <w:t xml:space="preserve"> </w:t>
      </w:r>
      <w:r>
        <w:t xml:space="preserve">The parameters for Detailed Bill of Materials (BOM), Transport Mode, Transport Distance, Last-Mile Delivery Channel, Renewable Energy Usage, Energy Intensity, Product Lifespan, Energy Consumption in Use, Recyclability Percentage, and Circular/Take-back Programs were provided as generic placeholder strings (e.g., \'suznxdxz\', \'Select Mode\'). For the purpose of this detailed analysis, plausible, representative data derived from industry averages and expert estimates have been used to illustrate the calculation methodology. For a precise PCF, primary data specific to jssgnxrjxj\'s operations and product dxxzvnojph would be required.</w:t>
      </w:r>
    </w:p>
    <w:bookmarkStart w:id="25" w:name="Xbe381d9c34b4a772facc92a5ff75d14127a9aea"/>
    <w:p>
      <w:pPr>
        <w:pStyle w:val="Heading3"/>
      </w:pPr>
      <w:r>
        <w:t xml:space="preserve">3.1. Detailed Bill of Materials (BOM) - Representative Data</w:t>
      </w:r>
    </w:p>
    <w:p>
      <w:pPr>
        <w:pStyle w:val="FirstParagraph"/>
      </w:pPr>
      <w:r>
        <w:t xml:space="preserve">For high-accuracy material impact calculation, a detailed Bill of Materials (BOM) is crucial. Given the placeholder \'suznxdxz\', the following representative BOM has been constructed: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P001</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3.00</w:t>
            </w:r>
          </w:p>
        </w:tc>
        <w:tc>
          <w:tcPr/>
          <w:p>
            <w:pPr>
              <w:pStyle w:val="Compact"/>
              <w:jc w:val="left"/>
            </w:pPr>
            <w:r>
              <w:t xml:space="preserve">0.60</w:t>
            </w:r>
          </w:p>
        </w:tc>
      </w:tr>
      <w:tr>
        <w:tc>
          <w:tcPr/>
          <w:p>
            <w:pPr>
              <w:pStyle w:val="Compact"/>
              <w:jc w:val="left"/>
            </w:pPr>
            <w:r>
              <w:t xml:space="preserve">E001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8.00</w:t>
            </w:r>
          </w:p>
        </w:tc>
        <w:tc>
          <w:tcPr/>
          <w:p>
            <w:pPr>
              <w:pStyle w:val="Compact"/>
              <w:jc w:val="left"/>
            </w:pPr>
            <w:r>
              <w:t xml:space="preserve">0.80</w:t>
            </w:r>
          </w:p>
        </w:tc>
      </w:tr>
      <w:tr>
        <w:tc>
          <w:tcPr/>
          <w:p>
            <w:pPr>
              <w:pStyle w:val="Compact"/>
              <w:jc w:val="left"/>
            </w:pPr>
            <w:r>
              <w:t xml:space="preserve">M002</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w:t>
            </w:r>
          </w:p>
        </w:tc>
      </w:tr>
      <w:tr>
        <w:tc>
          <w:tcPr/>
          <w:p>
            <w:pPr>
              <w:pStyle w:val="Compact"/>
              <w:jc w:val="left"/>
            </w:pPr>
            <w:r>
              <w:t xml:space="preserve">E002</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2.25</w:t>
            </w:r>
          </w:p>
        </w:tc>
      </w:tr>
      <w:tr>
        <w:tc>
          <w:tcPr/>
          <w:p>
            <w:pPr>
              <w:pStyle w:val="Compact"/>
              <w:jc w:val="left"/>
            </w:pPr>
            <w:r>
              <w:t xml:space="preserve">PK01</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0.70</w:t>
            </w:r>
          </w:p>
        </w:tc>
        <w:tc>
          <w:tcPr/>
          <w:p>
            <w:pPr>
              <w:pStyle w:val="Compact"/>
              <w:jc w:val="left"/>
            </w:pPr>
            <w:r>
              <w:t xml:space="preserve">0.07</w:t>
            </w:r>
          </w:p>
        </w:tc>
      </w:tr>
      <w:tr>
        <w:tc>
          <w:tcPr>
            <w:gridSpan w:val="7"/>
          </w:tcPr>
          <w:p>
            <w:pPr>
              <w:pStyle w:val="Compact"/>
              <w:jc w:val="left"/>
            </w:pPr>
            <w:r>
              <w:t xml:space="preserve">Total Material Carbon Footprint</w:t>
            </w:r>
          </w:p>
        </w:tc>
        <w:tc>
          <w:tcPr/>
          <w:p>
            <w:pPr>
              <w:pStyle w:val="Compact"/>
              <w:jc w:val="left"/>
            </w:pPr>
            <w:r>
              <w:t xml:space="preserve">5.17</w:t>
            </w:r>
          </w:p>
        </w:tc>
      </w:tr>
    </w:tbl>
    <w:p>
      <w:pPr>
        <w:pStyle w:val="BodyText"/>
      </w:pPr>
      <w:r>
        <w:rPr>
          <w:iCs/>
          <w:i/>
        </w:rPr>
        <w:t xml:space="preserve">Emission factors for materials are illustrative and represent industry averages (e.g., from databases like Ecoinvent/DEFRA) for cradle-to-gate emissions of the respective materials.</w:t>
      </w:r>
    </w:p>
    <w:bookmarkEnd w:id="25"/>
    <w:bookmarkStart w:id="26" w:name="production-phase-data"/>
    <w:p>
      <w:pPr>
        <w:pStyle w:val="Heading3"/>
      </w:pPr>
      <w:r>
        <w:t xml:space="preserve">3.2. Production Phase Data</w:t>
      </w:r>
    </w:p>
    <w:p>
      <w:pPr>
        <w:numPr>
          <w:ilvl w:val="0"/>
          <w:numId w:val="1005"/>
        </w:numPr>
        <w:pStyle w:val="Compact"/>
      </w:pPr>
      <w:r>
        <w:rPr>
          <w:bCs/>
          <w:b/>
        </w:rPr>
        <w:t xml:space="preserve">Renewable Energy Usage (`rqmzhzuuir`):</w:t>
      </w:r>
      <w:r>
        <w:t xml:space="preserve"> </w:t>
      </w:r>
      <w:r>
        <w:t xml:space="preserve">Assumed 30% renewable energy procurement for the manufacturing facility.</w:t>
      </w:r>
    </w:p>
    <w:p>
      <w:pPr>
        <w:numPr>
          <w:ilvl w:val="0"/>
          <w:numId w:val="1005"/>
        </w:numPr>
        <w:pStyle w:val="Compact"/>
      </w:pPr>
      <w:r>
        <w:rPr>
          <w:bCs/>
          <w:b/>
        </w:rPr>
        <w:t xml:space="preserve">Energy Intensity (`rytfitvvpv`):</w:t>
      </w:r>
      <w:r>
        <w:t xml:space="preserve"> </w:t>
      </w:r>
      <w:r>
        <w:t xml:space="preserve">Assumed 5 kWh/unit for the production of dxxzvnojph.</w:t>
      </w:r>
    </w:p>
    <w:p>
      <w:pPr>
        <w:numPr>
          <w:ilvl w:val="0"/>
          <w:numId w:val="1005"/>
        </w:numPr>
        <w:pStyle w:val="Compact"/>
      </w:pPr>
      <w:r>
        <w:rPr>
          <w:bCs/>
          <w:b/>
        </w:rPr>
        <w:t xml:space="preserve">Electricity Grid Mix (China):</w:t>
      </w:r>
      <w:r>
        <w:t xml:space="preserve"> </w:t>
      </w:r>
      <w:r>
        <w:t xml:space="preserve">For non-renewable portion. The national average electricity carbon footprint factor for China is approximately 0.6205 kg CO2e/kWh (2023 data). We will use 0.577 kg CO2e/kWh based on Climate Transparency Report 2020 and other sources, acknowledging slight variations depending on the year and region within China.</w:t>
      </w:r>
    </w:p>
    <w:bookmarkEnd w:id="26"/>
    <w:bookmarkStart w:id="27" w:name="transport-logistics-data"/>
    <w:p>
      <w:pPr>
        <w:pStyle w:val="Heading3"/>
      </w:pPr>
      <w:r>
        <w:t xml:space="preserve">3.3. Transport Logistics Data</w:t>
      </w:r>
    </w:p>
    <w:p>
      <w:pPr>
        <w:pStyle w:val="FirstParagraph"/>
      </w:pPr>
      <w:r>
        <w:t xml:space="preserve">The supply chain focus is Europe to China for inbound materials, and then from China to a European market for outbound/downstream. Given the placeholders, the following representative data is used:</w:t>
      </w:r>
    </w:p>
    <w:p>
      <w:pPr>
        <w:numPr>
          <w:ilvl w:val="0"/>
          <w:numId w:val="1006"/>
        </w:numPr>
        <w:pStyle w:val="Compact"/>
      </w:pPr>
      <w:r>
        <w:rPr>
          <w:bCs/>
          <w:b/>
        </w:rPr>
        <w:t xml:space="preserve">Inbound Transport (Europe to China - Components):</w:t>
      </w:r>
    </w:p>
    <w:p>
      <w:pPr>
        <w:numPr>
          <w:ilvl w:val="1"/>
          <w:numId w:val="1007"/>
        </w:numPr>
        <w:pStyle w:val="Compact"/>
      </w:pPr>
      <w:r>
        <w:t xml:space="preserve">Transport Mode (`Select Mode`): Sea Freight (Container Ship).</w:t>
      </w:r>
    </w:p>
    <w:p>
      <w:pPr>
        <w:numPr>
          <w:ilvl w:val="1"/>
          <w:numId w:val="1007"/>
        </w:numPr>
        <w:pStyle w:val="Compact"/>
      </w:pPr>
      <w:r>
        <w:t xml:space="preserve">Transport Distance (`eomwtwvmgr`): 15,000 km.</w:t>
      </w:r>
    </w:p>
    <w:p>
      <w:pPr>
        <w:numPr>
          <w:ilvl w:val="1"/>
          <w:numId w:val="1007"/>
        </w:numPr>
        <w:pStyle w:val="Compact"/>
      </w:pPr>
      <w:r>
        <w:t xml:space="preserve">Weight of materials per unit (average): 1.1 kg (sum of Qty in BOM table).</w:t>
      </w:r>
    </w:p>
    <w:p>
      <w:pPr>
        <w:numPr>
          <w:ilvl w:val="1"/>
          <w:numId w:val="1007"/>
        </w:numPr>
        <w:pStyle w:val="Compact"/>
      </w:pPr>
      <w:r>
        <w:t xml:space="preserve">Emission Factor (Sea Freight, average container ship): 0.016 kg CO2e/tonne-km.</w:t>
      </w:r>
    </w:p>
    <w:p>
      <w:pPr>
        <w:numPr>
          <w:ilvl w:val="0"/>
          <w:numId w:val="1006"/>
        </w:numPr>
        <w:pStyle w:val="Compact"/>
      </w:pPr>
      <w:r>
        <w:rPr>
          <w:bCs/>
          <w:b/>
        </w:rPr>
        <w:t xml:space="preserve">Internal Transport (China - Factory to Port):</w:t>
      </w:r>
    </w:p>
    <w:p>
      <w:pPr>
        <w:numPr>
          <w:ilvl w:val="1"/>
          <w:numId w:val="1008"/>
        </w:numPr>
        <w:pStyle w:val="Compact"/>
      </w:pPr>
      <w:r>
        <w:t xml:space="preserve">Transport Mode: Road Freight (Heavy Goods Vehicle - HGV).</w:t>
      </w:r>
    </w:p>
    <w:p>
      <w:pPr>
        <w:numPr>
          <w:ilvl w:val="1"/>
          <w:numId w:val="1008"/>
        </w:numPr>
        <w:pStyle w:val="Compact"/>
      </w:pPr>
      <w:r>
        <w:t xml:space="preserve">Transport Distance: 500 km.</w:t>
      </w:r>
    </w:p>
    <w:p>
      <w:pPr>
        <w:numPr>
          <w:ilvl w:val="1"/>
          <w:numId w:val="1008"/>
        </w:numPr>
        <w:pStyle w:val="Compact"/>
      </w:pPr>
      <w:r>
        <w:t xml:space="preserve">Weight of product per unit: 1.1 kg.</w:t>
      </w:r>
    </w:p>
    <w:p>
      <w:pPr>
        <w:numPr>
          <w:ilvl w:val="1"/>
          <w:numId w:val="1008"/>
        </w:numPr>
        <w:pStyle w:val="Compact"/>
      </w:pPr>
      <w:r>
        <w:t xml:space="preserve">Emission Factor (Road Freight HGV, average): 0.090 kg CO2e/tonne-km (equivalent to 90 g/tkm).</w:t>
      </w:r>
    </w:p>
    <w:p>
      <w:pPr>
        <w:numPr>
          <w:ilvl w:val="0"/>
          <w:numId w:val="1006"/>
        </w:numPr>
        <w:pStyle w:val="Compact"/>
      </w:pPr>
      <w:r>
        <w:rPr>
          <w:bCs/>
          <w:b/>
        </w:rPr>
        <w:t xml:space="preserve">Outbound Transport (China Port to European Distribution Hub):</w:t>
      </w:r>
    </w:p>
    <w:p>
      <w:pPr>
        <w:numPr>
          <w:ilvl w:val="1"/>
          <w:numId w:val="1009"/>
        </w:numPr>
        <w:pStyle w:val="Compact"/>
      </w:pPr>
      <w:r>
        <w:t xml:space="preserve">Transport Mode: Sea Freight (Container Ship).</w:t>
      </w:r>
    </w:p>
    <w:p>
      <w:pPr>
        <w:numPr>
          <w:ilvl w:val="1"/>
          <w:numId w:val="1009"/>
        </w:numPr>
        <w:pStyle w:val="Compact"/>
      </w:pPr>
      <w:r>
        <w:t xml:space="preserve">Transport Distance: 15,000 km.</w:t>
      </w:r>
    </w:p>
    <w:p>
      <w:pPr>
        <w:numPr>
          <w:ilvl w:val="1"/>
          <w:numId w:val="1009"/>
        </w:numPr>
        <w:pStyle w:val="Compact"/>
      </w:pPr>
      <w:r>
        <w:t xml:space="preserve">Weight of product per unit: 1.1 kg.</w:t>
      </w:r>
    </w:p>
    <w:p>
      <w:pPr>
        <w:numPr>
          <w:ilvl w:val="1"/>
          <w:numId w:val="1009"/>
        </w:numPr>
        <w:pStyle w:val="Compact"/>
      </w:pPr>
      <w:r>
        <w:t xml:space="preserve">Emission Factor (Sea Freight, average container ship): 0.016 kg CO2e/tonne-km.</w:t>
      </w:r>
    </w:p>
    <w:p>
      <w:pPr>
        <w:numPr>
          <w:ilvl w:val="0"/>
          <w:numId w:val="1006"/>
        </w:numPr>
        <w:pStyle w:val="Compact"/>
      </w:pPr>
      <w:r>
        <w:rPr>
          <w:bCs/>
          <w:b/>
        </w:rPr>
        <w:t xml:space="preserve">Last-Mile Delivery (`Delivery Type`):</w:t>
      </w:r>
    </w:p>
    <w:p>
      <w:pPr>
        <w:numPr>
          <w:ilvl w:val="1"/>
          <w:numId w:val="1010"/>
        </w:numPr>
        <w:pStyle w:val="Compact"/>
      </w:pPr>
      <w:r>
        <w:t xml:space="preserve">Transport Mode: Road Freight (Light Commercial Van).</w:t>
      </w:r>
    </w:p>
    <w:p>
      <w:pPr>
        <w:numPr>
          <w:ilvl w:val="1"/>
          <w:numId w:val="1010"/>
        </w:numPr>
        <w:pStyle w:val="Compact"/>
      </w:pPr>
      <w:r>
        <w:t xml:space="preserve">Transport Distance: 100 km.</w:t>
      </w:r>
    </w:p>
    <w:p>
      <w:pPr>
        <w:numPr>
          <w:ilvl w:val="1"/>
          <w:numId w:val="1010"/>
        </w:numPr>
        <w:pStyle w:val="Compact"/>
      </w:pPr>
      <w:r>
        <w:t xml:space="preserve">Weight of product per unit: 1.1 kg.</w:t>
      </w:r>
    </w:p>
    <w:p>
      <w:pPr>
        <w:numPr>
          <w:ilvl w:val="1"/>
          <w:numId w:val="1010"/>
        </w:numPr>
        <w:pStyle w:val="Compact"/>
      </w:pPr>
      <w:r>
        <w:t xml:space="preserve">Emission Factor (Light Commercial Van, average): 0.150 kg CO2e/tonne-km (higher for smaller loads/vehicles).</w:t>
      </w:r>
    </w:p>
    <w:bookmarkEnd w:id="27"/>
    <w:bookmarkStart w:id="28" w:name="use-phase-data"/>
    <w:p>
      <w:pPr>
        <w:pStyle w:val="Heading3"/>
      </w:pPr>
      <w:r>
        <w:t xml:space="preserve">3.4. Use Phase Data</w:t>
      </w:r>
    </w:p>
    <w:p>
      <w:pPr>
        <w:numPr>
          <w:ilvl w:val="0"/>
          <w:numId w:val="1011"/>
        </w:numPr>
        <w:pStyle w:val="Compact"/>
      </w:pPr>
      <w:r>
        <w:rPr>
          <w:bCs/>
          <w:b/>
        </w:rPr>
        <w:t xml:space="preserve">Product Lifespan (`rokfprgoyd`):</w:t>
      </w:r>
      <w:r>
        <w:t xml:space="preserve"> </w:t>
      </w:r>
      <w:r>
        <w:t xml:space="preserve">Assumed 5 years.</w:t>
      </w:r>
    </w:p>
    <w:p>
      <w:pPr>
        <w:numPr>
          <w:ilvl w:val="0"/>
          <w:numId w:val="1011"/>
        </w:numPr>
        <w:pStyle w:val="Compact"/>
      </w:pPr>
      <w:r>
        <w:rPr>
          <w:bCs/>
          <w:b/>
        </w:rPr>
        <w:t xml:space="preserve">Energy Consumption in Use (`tesouoirns`):</w:t>
      </w:r>
      <w:r>
        <w:t xml:space="preserve"> </w:t>
      </w:r>
      <w:r>
        <w:t xml:space="preserve">Assumed 10 kWh/year.</w:t>
      </w:r>
    </w:p>
    <w:p>
      <w:pPr>
        <w:numPr>
          <w:ilvl w:val="0"/>
          <w:numId w:val="1011"/>
        </w:numPr>
        <w:pStyle w:val="Compact"/>
      </w:pPr>
      <w:r>
        <w:rPr>
          <w:bCs/>
          <w:b/>
        </w:rPr>
        <w:t xml:space="preserve">Electricity Grid Mix (Europe):</w:t>
      </w:r>
      <w:r>
        <w:t xml:space="preserve"> </w:t>
      </w:r>
      <w:r>
        <w:t xml:space="preserve">For the use phase. Average EU-27 emission factor is approximately 0.238-0.288 kg CO2e/kWh (varying by year/source, e.g., 0.238 kg CO2e/kWh from Climate Transparency Report 2020, 0.270 kg CO2e/kWh for EU-27 in 2020). We will use 0.250 kg CO2e/kWh as a representative average.</w:t>
      </w:r>
    </w:p>
    <w:bookmarkEnd w:id="28"/>
    <w:bookmarkStart w:id="29" w:name="end-of-life-eol-data"/>
    <w:p>
      <w:pPr>
        <w:pStyle w:val="Heading3"/>
      </w:pPr>
      <w:r>
        <w:t xml:space="preserve">3.5. End-of-Life (EoL) Data</w:t>
      </w:r>
    </w:p>
    <w:p>
      <w:pPr>
        <w:numPr>
          <w:ilvl w:val="0"/>
          <w:numId w:val="1012"/>
        </w:numPr>
        <w:pStyle w:val="Compact"/>
      </w:pPr>
      <w:r>
        <w:rPr>
          <w:bCs/>
          <w:b/>
        </w:rPr>
        <w:t xml:space="preserve">Recyclability Percentage (`vmmshkltof`):</w:t>
      </w:r>
      <w:r>
        <w:t xml:space="preserve"> </w:t>
      </w:r>
      <w:r>
        <w:t xml:space="preserve">Assumed 60%.</w:t>
      </w:r>
    </w:p>
    <w:p>
      <w:pPr>
        <w:numPr>
          <w:ilvl w:val="0"/>
          <w:numId w:val="1012"/>
        </w:numPr>
        <w:pStyle w:val="Compact"/>
      </w:pPr>
      <w:r>
        <w:rPr>
          <w:bCs/>
          <w:b/>
        </w:rPr>
        <w:t xml:space="preserve">Circular/Take-back Programs (`mwqozxterx`):</w:t>
      </w:r>
      <w:r>
        <w:t xml:space="preserve"> </w:t>
      </w:r>
      <w:r>
        <w:t xml:space="preserve">"Yes, basic take-back program in place." (This implies a higher likelihood of materials entering recycling streams).</w:t>
      </w:r>
    </w:p>
    <w:p>
      <w:pPr>
        <w:numPr>
          <w:ilvl w:val="0"/>
          <w:numId w:val="1012"/>
        </w:numPr>
        <w:pStyle w:val="Compact"/>
      </w:pPr>
      <w:r>
        <w:rPr>
          <w:bCs/>
          <w:b/>
        </w:rPr>
        <w:t xml:space="preserve">Disposal Emission Factor (Landfill, non-recycled):</w:t>
      </w:r>
      <w:r>
        <w:t xml:space="preserve"> </w:t>
      </w:r>
      <w:r>
        <w:t xml:space="preserve">1.0 kg CO2e/kg (simplified average for mixed waste).</w:t>
      </w:r>
    </w:p>
    <w:p>
      <w:pPr>
        <w:numPr>
          <w:ilvl w:val="0"/>
          <w:numId w:val="1012"/>
        </w:numPr>
        <w:pStyle w:val="Compact"/>
      </w:pPr>
      <w:r>
        <w:rPr>
          <w:bCs/>
          <w:b/>
        </w:rPr>
        <w:t xml:space="preserve">Recycling Benefit/Burden (Net avoided emissions/additional processing):</w:t>
      </w:r>
      <w:r>
        <w:t xml:space="preserve"> </w:t>
      </w:r>
      <w:r>
        <w:t xml:space="preserve">-0.5 kg CO2e/kg (simplified, representing avoided virgin material production).</w:t>
      </w:r>
    </w:p>
    <w:p>
      <w:r>
        <w:pict>
          <v:rect style="width:0;height:1.5pt" o:hralign="center" o:hrstd="t" o:hr="t"/>
        </w:pict>
      </w:r>
    </w:p>
    <w:bookmarkEnd w:id="29"/>
    <w:bookmarkEnd w:id="30"/>
    <w:bookmarkStart w:id="41" w:name="X2c62247db19834934c44c209ad423fe06ba5c64"/>
    <w:p>
      <w:pPr>
        <w:pStyle w:val="Heading2"/>
      </w:pPr>
      <w:r>
        <w:t xml:space="preserve">4. Calculation of Emissions (Activity * Emission Factor = CO2e)</w:t>
      </w:r>
    </w:p>
    <w:p>
      <w:pPr>
        <w:pStyle w:val="FirstParagraph"/>
      </w:pPr>
      <w:r>
        <w:t xml:space="preserve">This section details the calculation of GHG emissions for each lifecycle stage, categorized according to the GHG Protocol Scopes. The calculations will use the representative data established in Section 3.</w:t>
      </w:r>
    </w:p>
    <w:bookmarkStart w:id="31" w:name="X974845d820a00ea34f8e1c15ccd8a67e9ff4e33"/>
    <w:p>
      <w:pPr>
        <w:pStyle w:val="Heading3"/>
      </w:pPr>
      <w:r>
        <w:t xml:space="preserve">4.1. Scope 1 Emissions (Direct Emissions from Owned/Controlled Sources)</w:t>
      </w:r>
    </w:p>
    <w:p>
      <w:pPr>
        <w:pStyle w:val="FirstParagraph"/>
      </w:pPr>
      <w:r>
        <w:t xml:space="preserve">For a \'factory-gate\' system boundary focused on a product, direct Scope 1 emissions from jssgnxrjxj\'s owned or controlled sources would include on-site fuel combustion for manufacturing processes not covered by purchased electricity, or fugitive emissions. Given the parameters, direct process emissions from manufacturing are not specified, so we assume these are minimal or captured within the energy intensity. If jssgnxrjxj owned the transport vehicles, those emissions would also fall under Scope 1. However, typically transport is outsourced and thus falls under Scope 3. We will assume no significant Scope 1 emissions in this illustrative product-level analysis given the factory-gate boundary definition and parameters provided. If on-site boilers or other direct fuel combustion were present, their emissions would be quantified here.</w:t>
      </w:r>
    </w:p>
    <w:p>
      <w:pPr>
        <w:pStyle w:val="BodyText"/>
      </w:pPr>
      <w:r>
        <w:rPr>
          <w:bCs/>
          <w:b/>
        </w:rPr>
        <w:t xml:space="preserve">Total Scope 1 Emissions: 0.00 kg CO2e</w:t>
      </w:r>
      <w:r>
        <w:t xml:space="preserve"> </w:t>
      </w:r>
      <w:r>
        <w:t xml:space="preserve">(Illustrative, assuming no direct fuel combustion or fugitive emissions are significant at the product level for this analysis).</w:t>
      </w:r>
    </w:p>
    <w:bookmarkEnd w:id="31"/>
    <w:bookmarkStart w:id="32" w:name="X1bd5ed5ba51603fe7fc5fd46de6dc3081dfffbb"/>
    <w:p>
      <w:pPr>
        <w:pStyle w:val="Heading3"/>
      </w:pPr>
      <w:r>
        <w:t xml:space="preserve">4.2. Scope 2 Emissions (Indirect Emissions from Purchased Energy)</w:t>
      </w:r>
    </w:p>
    <w:p>
      <w:pPr>
        <w:pStyle w:val="FirstParagraph"/>
      </w:pPr>
      <w:r>
        <w:t xml:space="preserve">These emissions arise from the generation of purchased electricity used in the manufacturing facility in China.</w:t>
      </w:r>
    </w:p>
    <w:p>
      <w:pPr>
        <w:numPr>
          <w:ilvl w:val="0"/>
          <w:numId w:val="1013"/>
        </w:numPr>
        <w:pStyle w:val="Compact"/>
      </w:pPr>
      <w:r>
        <w:t xml:space="preserve">Energy Intensity: 5 kWh/unit</w:t>
      </w:r>
    </w:p>
    <w:p>
      <w:pPr>
        <w:numPr>
          <w:ilvl w:val="0"/>
          <w:numId w:val="1013"/>
        </w:numPr>
        <w:pStyle w:val="Compact"/>
      </w:pPr>
      <w:r>
        <w:t xml:space="preserve">Renewable Energy Usage: 30%</w:t>
      </w:r>
    </w:p>
    <w:p>
      <w:pPr>
        <w:numPr>
          <w:ilvl w:val="0"/>
          <w:numId w:val="1013"/>
        </w:numPr>
        <w:pStyle w:val="Compact"/>
      </w:pPr>
      <w:r>
        <w:t xml:space="preserve">Non-renewable energy: 5 kWh/unit * (1 - 0.30) = 3.5 kWh/unit</w:t>
      </w:r>
    </w:p>
    <w:p>
      <w:pPr>
        <w:numPr>
          <w:ilvl w:val="0"/>
          <w:numId w:val="1013"/>
        </w:numPr>
        <w:pStyle w:val="Compact"/>
      </w:pPr>
      <w:r>
        <w:t xml:space="preserve">China Grid Emission Factor: 0.577 kg CO2e/kWh</w:t>
      </w:r>
    </w:p>
    <w:p>
      <w:pPr>
        <w:numPr>
          <w:ilvl w:val="0"/>
          <w:numId w:val="1013"/>
        </w:numPr>
        <w:pStyle w:val="Compact"/>
      </w:pPr>
      <w:r>
        <w:rPr>
          <w:bCs/>
          <w:b/>
        </w:rPr>
        <w:t xml:space="preserve">Calculation:</w:t>
      </w:r>
      <w:r>
        <w:t xml:space="preserve"> </w:t>
      </w:r>
      <w:r>
        <w:t xml:space="preserve">3.5 kWh/unit * 0.577 kg CO2e/kWh = 2.0195 kg CO2e/unit</w:t>
      </w:r>
    </w:p>
    <w:p>
      <w:pPr>
        <w:pStyle w:val="FirstParagraph"/>
      </w:pPr>
      <w:r>
        <w:rPr>
          <w:bCs/>
          <w:b/>
        </w:rPr>
        <w:t xml:space="preserve">Total Scope 2 Emissions: 2.02 kg CO2e/unit</w:t>
      </w:r>
    </w:p>
    <w:bookmarkEnd w:id="32"/>
    <w:bookmarkStart w:id="38" w:name="Xfe1ff291757346395a08be2339cab5991965a12"/>
    <w:p>
      <w:pPr>
        <w:pStyle w:val="Heading3"/>
      </w:pPr>
      <w:r>
        <w:t xml:space="preserve">4.3. Scope 3 Emissions (Other Indirect / Value Chain Emissions)</w:t>
      </w:r>
    </w:p>
    <w:p>
      <w:pPr>
        <w:pStyle w:val="FirstParagraph"/>
      </w:pPr>
      <w:r>
        <w:t xml:space="preserve">Scope 3 emissions are typically the largest category and are broken down by lifecycle stage.</w:t>
      </w:r>
    </w:p>
    <w:bookmarkStart w:id="33" w:name="X8592a8171c8a0d93f248397a57761ba9a7aa2a6"/>
    <w:p>
      <w:pPr>
        <w:pStyle w:val="Heading4"/>
      </w:pPr>
      <w:r>
        <w:t xml:space="preserve">4.3.1. Scope 3, Category 1: Purchased Goods and Services (Raw Materials)</w:t>
      </w:r>
    </w:p>
    <w:p>
      <w:pPr>
        <w:pStyle w:val="FirstParagraph"/>
      </w:pPr>
      <w:r>
        <w:t xml:space="preserve">Based on the representative BOM and their associated total carbon values:</w:t>
      </w:r>
    </w:p>
    <w:p>
      <w:pPr>
        <w:numPr>
          <w:ilvl w:val="0"/>
          <w:numId w:val="1014"/>
        </w:numPr>
        <w:pStyle w:val="Compact"/>
      </w:pPr>
      <w:r>
        <w:t xml:space="preserve">Steel Casing: 1.25 kg CO2e</w:t>
      </w:r>
    </w:p>
    <w:p>
      <w:pPr>
        <w:numPr>
          <w:ilvl w:val="0"/>
          <w:numId w:val="1014"/>
        </w:numPr>
        <w:pStyle w:val="Compact"/>
      </w:pPr>
      <w:r>
        <w:t xml:space="preserve">ABS Plastic Housing: 0.60 kg CO2e</w:t>
      </w:r>
    </w:p>
    <w:p>
      <w:pPr>
        <w:numPr>
          <w:ilvl w:val="0"/>
          <w:numId w:val="1014"/>
        </w:numPr>
        <w:pStyle w:val="Compact"/>
      </w:pPr>
      <w:r>
        <w:t xml:space="preserve">Printed Circuit Board (PCB): 0.80 kg CO2e</w:t>
      </w:r>
    </w:p>
    <w:p>
      <w:pPr>
        <w:numPr>
          <w:ilvl w:val="0"/>
          <w:numId w:val="1014"/>
        </w:numPr>
        <w:pStyle w:val="Compact"/>
      </w:pPr>
      <w:r>
        <w:t xml:space="preserve">Copper Wire: 0.20 kg CO2e</w:t>
      </w:r>
    </w:p>
    <w:p>
      <w:pPr>
        <w:numPr>
          <w:ilvl w:val="0"/>
          <w:numId w:val="1014"/>
        </w:numPr>
        <w:pStyle w:val="Compact"/>
      </w:pPr>
      <w:r>
        <w:t xml:space="preserve">Lithium-Ion Battery: 2.25 kg CO2e</w:t>
      </w:r>
    </w:p>
    <w:p>
      <w:pPr>
        <w:numPr>
          <w:ilvl w:val="0"/>
          <w:numId w:val="1014"/>
        </w:numPr>
        <w:pStyle w:val="Compact"/>
      </w:pPr>
      <w:r>
        <w:t xml:space="preserve">Cardboard Packaging: 0.07 kg CO2e</w:t>
      </w:r>
    </w:p>
    <w:p>
      <w:pPr>
        <w:pStyle w:val="FirstParagraph"/>
      </w:pPr>
      <w:r>
        <w:rPr>
          <w:bCs/>
          <w:b/>
        </w:rPr>
        <w:t xml:space="preserve">Total Scope 3, Category 1 Emissions: 5.17 kg CO2e/unit</w:t>
      </w:r>
    </w:p>
    <w:bookmarkEnd w:id="33"/>
    <w:bookmarkStart w:id="34" w:name="Xb647495b917df9430bf607aff410ac0d5cf7ebc"/>
    <w:p>
      <w:pPr>
        <w:pStyle w:val="Heading4"/>
      </w:pPr>
      <w:r>
        <w:t xml:space="preserve">4.3.2. Scope 3, Category 4: Upstream Transportation and Distribution (Inbound Logistics)</w:t>
      </w:r>
    </w:p>
    <w:p>
      <w:pPr>
        <w:pStyle w:val="FirstParagraph"/>
      </w:pPr>
      <w:r>
        <w:t xml:space="preserve">Transport of materials from Europe to the China manufacturing facility.</w:t>
      </w:r>
    </w:p>
    <w:p>
      <w:pPr>
        <w:numPr>
          <w:ilvl w:val="0"/>
          <w:numId w:val="1015"/>
        </w:numPr>
        <w:pStyle w:val="Compact"/>
      </w:pPr>
      <w:r>
        <w:t xml:space="preserve">Weight per unit: 1.1 kg (total materials) = 0.0011 tonnes</w:t>
      </w:r>
    </w:p>
    <w:p>
      <w:pPr>
        <w:numPr>
          <w:ilvl w:val="0"/>
          <w:numId w:val="1015"/>
        </w:numPr>
        <w:pStyle w:val="Compact"/>
      </w:pPr>
      <w:r>
        <w:t xml:space="preserve">Distance: 15,000 km (Sea Freight)</w:t>
      </w:r>
    </w:p>
    <w:p>
      <w:pPr>
        <w:numPr>
          <w:ilvl w:val="0"/>
          <w:numId w:val="1015"/>
        </w:numPr>
        <w:pStyle w:val="Compact"/>
      </w:pPr>
      <w:r>
        <w:t xml:space="preserve">Emission Factor (Sea Freight): 0.016 kg CO2e/tonne-km</w:t>
      </w:r>
    </w:p>
    <w:p>
      <w:pPr>
        <w:numPr>
          <w:ilvl w:val="0"/>
          <w:numId w:val="1015"/>
        </w:numPr>
        <w:pStyle w:val="Compact"/>
      </w:pPr>
      <w:r>
        <w:rPr>
          <w:bCs/>
          <w:b/>
        </w:rPr>
        <w:t xml:space="preserve">Calculation:</w:t>
      </w:r>
      <w:r>
        <w:t xml:space="preserve"> </w:t>
      </w:r>
      <w:r>
        <w:t xml:space="preserve">0.0011 tonnes * 15,000 km * 0.016 kg CO2e/tonne-km = 0.264 kg CO2e/unit</w:t>
      </w:r>
    </w:p>
    <w:p>
      <w:pPr>
        <w:pStyle w:val="FirstParagraph"/>
      </w:pPr>
      <w:r>
        <w:rPr>
          <w:bCs/>
          <w:b/>
        </w:rPr>
        <w:t xml:space="preserve">Total Scope 3, Category 4 Emissions: 0.26 kg CO2e/unit</w:t>
      </w:r>
    </w:p>
    <w:bookmarkEnd w:id="34"/>
    <w:bookmarkStart w:id="35" w:name="Xdfe2654994355bea3f4df1afd7a06c0b9884e95"/>
    <w:p>
      <w:pPr>
        <w:pStyle w:val="Heading4"/>
      </w:pPr>
      <w:r>
        <w:t xml:space="preserve">4.3.3. Scope 3, Category 9: Downstream Transportation and Distribution (Outbound Logistics)</w:t>
      </w:r>
    </w:p>
    <w:p>
      <w:pPr>
        <w:pStyle w:val="FirstParagraph"/>
      </w:pPr>
      <w:r>
        <w:t xml:space="preserve">Transport of finished product from China factory to European distribution hub, and last-mile delivery.</w:t>
      </w:r>
    </w:p>
    <w:p>
      <w:pPr>
        <w:numPr>
          <w:ilvl w:val="0"/>
          <w:numId w:val="1016"/>
        </w:numPr>
        <w:pStyle w:val="Compact"/>
      </w:pPr>
      <w:r>
        <w:rPr>
          <w:bCs/>
          <w:b/>
        </w:rPr>
        <w:t xml:space="preserve">Internal (China - Factory to Port):</w:t>
      </w:r>
    </w:p>
    <w:p>
      <w:pPr>
        <w:numPr>
          <w:ilvl w:val="1"/>
          <w:numId w:val="1017"/>
        </w:numPr>
        <w:pStyle w:val="Compact"/>
      </w:pPr>
      <w:r>
        <w:t xml:space="preserve">Weight per unit: 1.1 kg = 0.0011 tonnes</w:t>
      </w:r>
    </w:p>
    <w:p>
      <w:pPr>
        <w:numPr>
          <w:ilvl w:val="1"/>
          <w:numId w:val="1017"/>
        </w:numPr>
        <w:pStyle w:val="Compact"/>
      </w:pPr>
      <w:r>
        <w:t xml:space="preserve">Distance: 500 km (Road Freight HGV)</w:t>
      </w:r>
    </w:p>
    <w:p>
      <w:pPr>
        <w:numPr>
          <w:ilvl w:val="1"/>
          <w:numId w:val="1017"/>
        </w:numPr>
        <w:pStyle w:val="Compact"/>
      </w:pPr>
      <w:r>
        <w:t xml:space="preserve">Emission Factor (Road Freight HGV): 0.090 kg CO2e/tonne-km</w:t>
      </w:r>
    </w:p>
    <w:p>
      <w:pPr>
        <w:numPr>
          <w:ilvl w:val="1"/>
          <w:numId w:val="1017"/>
        </w:numPr>
        <w:pStyle w:val="Compact"/>
      </w:pPr>
      <w:r>
        <w:rPr>
          <w:bCs/>
          <w:b/>
        </w:rPr>
        <w:t xml:space="preserve">Calculation:</w:t>
      </w:r>
      <w:r>
        <w:t xml:space="preserve"> </w:t>
      </w:r>
      <w:r>
        <w:t xml:space="preserve">0.0011 tonnes * 500 km * 0.090 kg CO2e/tonne-km = 0.0495 kg CO2e/unit</w:t>
      </w:r>
    </w:p>
    <w:p>
      <w:pPr>
        <w:numPr>
          <w:ilvl w:val="0"/>
          <w:numId w:val="1016"/>
        </w:numPr>
        <w:pStyle w:val="Compact"/>
      </w:pPr>
      <w:r>
        <w:rPr>
          <w:bCs/>
          <w:b/>
        </w:rPr>
        <w:t xml:space="preserve">Outbound (China Port to European Distribution Hub):</w:t>
      </w:r>
    </w:p>
    <w:p>
      <w:pPr>
        <w:numPr>
          <w:ilvl w:val="1"/>
          <w:numId w:val="1018"/>
        </w:numPr>
        <w:pStyle w:val="Compact"/>
      </w:pPr>
      <w:r>
        <w:t xml:space="preserve">Weight per unit: 1.1 kg = 0.0011 tonnes</w:t>
      </w:r>
    </w:p>
    <w:p>
      <w:pPr>
        <w:numPr>
          <w:ilvl w:val="1"/>
          <w:numId w:val="1018"/>
        </w:numPr>
        <w:pStyle w:val="Compact"/>
      </w:pPr>
      <w:r>
        <w:t xml:space="preserve">Distance: 15,000 km (Sea Freight)</w:t>
      </w:r>
    </w:p>
    <w:p>
      <w:pPr>
        <w:numPr>
          <w:ilvl w:val="1"/>
          <w:numId w:val="1018"/>
        </w:numPr>
        <w:pStyle w:val="Compact"/>
      </w:pPr>
      <w:r>
        <w:t xml:space="preserve">Emission Factor (Sea Freight): 0.016 kg CO2e/tonne-km</w:t>
      </w:r>
    </w:p>
    <w:p>
      <w:pPr>
        <w:numPr>
          <w:ilvl w:val="1"/>
          <w:numId w:val="1018"/>
        </w:numPr>
        <w:pStyle w:val="Compact"/>
      </w:pPr>
      <w:r>
        <w:rPr>
          <w:bCs/>
          <w:b/>
        </w:rPr>
        <w:t xml:space="preserve">Calculation:</w:t>
      </w:r>
      <w:r>
        <w:t xml:space="preserve"> </w:t>
      </w:r>
      <w:r>
        <w:t xml:space="preserve">0.0011 tonnes * 15,000 km * 0.016 kg CO2e/tonne-km = 0.264 kg CO2e/unit</w:t>
      </w:r>
    </w:p>
    <w:p>
      <w:pPr>
        <w:numPr>
          <w:ilvl w:val="0"/>
          <w:numId w:val="1016"/>
        </w:numPr>
        <w:pStyle w:val="Compact"/>
      </w:pPr>
      <w:r>
        <w:rPr>
          <w:bCs/>
          <w:b/>
        </w:rPr>
        <w:t xml:space="preserve">Last-Mile Delivery:</w:t>
      </w:r>
    </w:p>
    <w:p>
      <w:pPr>
        <w:numPr>
          <w:ilvl w:val="1"/>
          <w:numId w:val="1019"/>
        </w:numPr>
        <w:pStyle w:val="Compact"/>
      </w:pPr>
      <w:r>
        <w:t xml:space="preserve">Weight per unit: 1.1 kg = 0.0011 tonnes</w:t>
      </w:r>
    </w:p>
    <w:p>
      <w:pPr>
        <w:numPr>
          <w:ilvl w:val="1"/>
          <w:numId w:val="1019"/>
        </w:numPr>
        <w:pStyle w:val="Compact"/>
      </w:pPr>
      <w:r>
        <w:t xml:space="preserve">Distance: 100 km (Road Freight Light Commercial Van)</w:t>
      </w:r>
    </w:p>
    <w:p>
      <w:pPr>
        <w:numPr>
          <w:ilvl w:val="1"/>
          <w:numId w:val="1019"/>
        </w:numPr>
        <w:pStyle w:val="Compact"/>
      </w:pPr>
      <w:r>
        <w:t xml:space="preserve">Emission Factor (Light Commercial Van): 0.150 kg CO2e/tonne-km</w:t>
      </w:r>
    </w:p>
    <w:p>
      <w:pPr>
        <w:numPr>
          <w:ilvl w:val="1"/>
          <w:numId w:val="1019"/>
        </w:numPr>
        <w:pStyle w:val="Compact"/>
      </w:pPr>
      <w:r>
        <w:rPr>
          <w:bCs/>
          <w:b/>
        </w:rPr>
        <w:t xml:space="preserve">Calculation:</w:t>
      </w:r>
      <w:r>
        <w:t xml:space="preserve"> </w:t>
      </w:r>
      <w:r>
        <w:t xml:space="preserve">0.0011 tonnes * 100 km * 0.150 kg CO2e/tonne-km = 0.0165 kg CO2e/unit</w:t>
      </w:r>
    </w:p>
    <w:p>
      <w:pPr>
        <w:numPr>
          <w:ilvl w:val="0"/>
          <w:numId w:val="1016"/>
        </w:numPr>
        <w:pStyle w:val="Compact"/>
      </w:pPr>
      <w:r>
        <w:rPr>
          <w:bCs/>
          <w:b/>
        </w:rPr>
        <w:t xml:space="preserve">Total Downstream Transport:</w:t>
      </w:r>
      <w:r>
        <w:t xml:space="preserve"> </w:t>
      </w:r>
      <w:r>
        <w:t xml:space="preserve">0.0495 + 0.264 + 0.0165 = 0.33 kg CO2e/unit</w:t>
      </w:r>
    </w:p>
    <w:p>
      <w:pPr>
        <w:pStyle w:val="FirstParagraph"/>
      </w:pPr>
      <w:r>
        <w:rPr>
          <w:bCs/>
          <w:b/>
        </w:rPr>
        <w:t xml:space="preserve">Total Scope 3, Category 9 Emissions: 0.33 kg CO2e/unit</w:t>
      </w:r>
    </w:p>
    <w:bookmarkEnd w:id="35"/>
    <w:bookmarkStart w:id="36" w:name="X2e79562fef16446858b857494ac09edfe93ee68"/>
    <w:p>
      <w:pPr>
        <w:pStyle w:val="Heading4"/>
      </w:pPr>
      <w:r>
        <w:t xml:space="preserve">4.3.4. Scope 3, Category 11: Use of Sold Products (Energy Consumption in Use)</w:t>
      </w:r>
    </w:p>
    <w:p>
      <w:pPr>
        <w:numPr>
          <w:ilvl w:val="0"/>
          <w:numId w:val="1020"/>
        </w:numPr>
        <w:pStyle w:val="Compact"/>
      </w:pPr>
      <w:r>
        <w:t xml:space="preserve">Product Lifespan: 5 years</w:t>
      </w:r>
    </w:p>
    <w:p>
      <w:pPr>
        <w:numPr>
          <w:ilvl w:val="0"/>
          <w:numId w:val="1020"/>
        </w:numPr>
        <w:pStyle w:val="Compact"/>
      </w:pPr>
      <w:r>
        <w:t xml:space="preserve">Energy Consumption: 10 kWh/year</w:t>
      </w:r>
    </w:p>
    <w:p>
      <w:pPr>
        <w:numPr>
          <w:ilvl w:val="0"/>
          <w:numId w:val="1020"/>
        </w:numPr>
        <w:pStyle w:val="Compact"/>
      </w:pPr>
      <w:r>
        <w:t xml:space="preserve">Total energy consumption over lifespan: 5 years * 10 kWh/year = 50 kWh/unit</w:t>
      </w:r>
    </w:p>
    <w:p>
      <w:pPr>
        <w:numPr>
          <w:ilvl w:val="0"/>
          <w:numId w:val="1020"/>
        </w:numPr>
        <w:pStyle w:val="Compact"/>
      </w:pPr>
      <w:r>
        <w:t xml:space="preserve">European Grid Emission Factor: 0.250 kg CO2e/kWh</w:t>
      </w:r>
    </w:p>
    <w:p>
      <w:pPr>
        <w:numPr>
          <w:ilvl w:val="0"/>
          <w:numId w:val="1020"/>
        </w:numPr>
        <w:pStyle w:val="Compact"/>
      </w:pPr>
      <w:r>
        <w:rPr>
          <w:bCs/>
          <w:b/>
        </w:rPr>
        <w:t xml:space="preserve">Calculation:</w:t>
      </w:r>
      <w:r>
        <w:t xml:space="preserve"> </w:t>
      </w:r>
      <w:r>
        <w:t xml:space="preserve">50 kWh/unit * 0.250 kg CO2e/kWh = 12.50 kg CO2e/unit</w:t>
      </w:r>
    </w:p>
    <w:p>
      <w:pPr>
        <w:pStyle w:val="FirstParagraph"/>
      </w:pPr>
      <w:r>
        <w:rPr>
          <w:bCs/>
          <w:b/>
        </w:rPr>
        <w:t xml:space="preserve">Total Scope 3, Category 11 Emissions: 12.50 kg CO2e/unit</w:t>
      </w:r>
    </w:p>
    <w:bookmarkEnd w:id="36"/>
    <w:bookmarkStart w:id="37" w:name="X8a83d50c0d89d142371b1cb2678444c0262a9c4"/>
    <w:p>
      <w:pPr>
        <w:pStyle w:val="Heading4"/>
      </w:pPr>
      <w:r>
        <w:t xml:space="preserve">4.3.5. Scope 3, Category 12: End-of-Life Treatment of Sold Products</w:t>
      </w:r>
    </w:p>
    <w:p>
      <w:pPr>
        <w:numPr>
          <w:ilvl w:val="0"/>
          <w:numId w:val="1021"/>
        </w:numPr>
        <w:pStyle w:val="Compact"/>
      </w:pPr>
      <w:r>
        <w:t xml:space="preserve">Total mass of product: 1.1 kg (from BOM)</w:t>
      </w:r>
    </w:p>
    <w:p>
      <w:pPr>
        <w:numPr>
          <w:ilvl w:val="0"/>
          <w:numId w:val="1021"/>
        </w:numPr>
        <w:pStyle w:val="Compact"/>
      </w:pPr>
      <w:r>
        <w:t xml:space="preserve">Recyclability Percentage: 60%</w:t>
      </w:r>
    </w:p>
    <w:p>
      <w:pPr>
        <w:numPr>
          <w:ilvl w:val="0"/>
          <w:numId w:val="1021"/>
        </w:numPr>
        <w:pStyle w:val="Compact"/>
      </w:pPr>
      <w:r>
        <w:t xml:space="preserve">Mass recycled: 1.1 kg * 0.60 = 0.66 kg</w:t>
      </w:r>
    </w:p>
    <w:p>
      <w:pPr>
        <w:numPr>
          <w:ilvl w:val="0"/>
          <w:numId w:val="1021"/>
        </w:numPr>
        <w:pStyle w:val="Compact"/>
      </w:pPr>
      <w:r>
        <w:t xml:space="preserve">Mass to landfill: 1.1 kg * (1 - 0.60) = 0.44 kg</w:t>
      </w:r>
    </w:p>
    <w:p>
      <w:pPr>
        <w:numPr>
          <w:ilvl w:val="0"/>
          <w:numId w:val="1021"/>
        </w:numPr>
        <w:pStyle w:val="Compact"/>
      </w:pPr>
      <w:r>
        <w:t xml:space="preserve">Emissions from landfill: 0.44 kg * 1.0 kg CO2e/kg = 0.44 kg CO2e</w:t>
      </w:r>
    </w:p>
    <w:p>
      <w:pPr>
        <w:numPr>
          <w:ilvl w:val="0"/>
          <w:numId w:val="1021"/>
        </w:numPr>
        <w:pStyle w:val="Compact"/>
      </w:pPr>
      <w:r>
        <w:t xml:space="preserve">Avoided emissions from recycling: 0.66 kg * (-0.5 kg CO2e/kg) = -0.33 kg CO2e</w:t>
      </w:r>
    </w:p>
    <w:p>
      <w:pPr>
        <w:numPr>
          <w:ilvl w:val="0"/>
          <w:numId w:val="1021"/>
        </w:numPr>
        <w:pStyle w:val="Compact"/>
      </w:pPr>
      <w:r>
        <w:rPr>
          <w:bCs/>
          <w:b/>
        </w:rPr>
        <w:t xml:space="preserve">Net End-of-Life Emissions:</w:t>
      </w:r>
      <w:r>
        <w:t xml:space="preserve"> </w:t>
      </w:r>
      <w:r>
        <w:t xml:space="preserve">0.44 kg CO2e + (-0.33 kg CO2e) = 0.11 kg CO2e/unit</w:t>
      </w:r>
    </w:p>
    <w:p>
      <w:pPr>
        <w:pStyle w:val="FirstParagraph"/>
      </w:pPr>
      <w:r>
        <w:t xml:space="preserve">Given the "basic take-back program in place" (`mwqozxterx`), it supports the assumption of a realistic recycling rate and management of the EoL phase.</w:t>
      </w:r>
    </w:p>
    <w:p>
      <w:pPr>
        <w:pStyle w:val="BodyText"/>
      </w:pPr>
      <w:r>
        <w:rPr>
          <w:bCs/>
          <w:b/>
        </w:rPr>
        <w:t xml:space="preserve">Total Scope 3, Category 12 Emissions: 0.11 kg CO2e/unit</w:t>
      </w:r>
    </w:p>
    <w:bookmarkEnd w:id="37"/>
    <w:bookmarkEnd w:id="38"/>
    <w:bookmarkStart w:id="39" w:name="application-of-2026-lsr-update"/>
    <w:p>
      <w:pPr>
        <w:pStyle w:val="Heading3"/>
      </w:pPr>
      <w:r>
        <w:t xml:space="preserve">4.4. Application of 2026 LSR Update</w:t>
      </w:r>
    </w:p>
    <w:p>
      <w:pPr>
        <w:pStyle w:val="FirstParagraph"/>
      </w:pPr>
      <w:r>
        <w:t xml:space="preserve">The Land Sector and Removals (LSR) Standard, effective January 1, 2027, provides requirements for corporate GHG accounting covering emissions and carbon removals from agricultural and land use activities. While primarily focused on land-intensive sectors (food, fiber, fuel), for dxxzvnojph, its relevance would primarily be in the upstream supply chain if any raw materials (e.g., bio-based plastics, natural fibers) involved land-use change or specific land management practices. In this analysis, we acknowledge the LSR Standard\'s application and assume that the material emission factors (e.g., for cardboard packaging) implicitly account for any land-use impacts associated with their production, as comprehensive primary data on land use for each component is not available from the placeholder BOM. Future, more granular data collection on bio-based materials would explicitly leverage LSR guidance.</w:t>
      </w:r>
    </w:p>
    <w:bookmarkEnd w:id="39"/>
    <w:bookmarkStart w:id="40" w:name="summary-of-emissions-by-scope-and-stage"/>
    <w:p>
      <w:pPr>
        <w:pStyle w:val="Heading3"/>
      </w:pPr>
      <w:r>
        <w:t xml:space="preserve">4.5. Summary of Emissions by Scope and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 / GHG Scope</w:t>
            </w:r>
          </w:p>
        </w:tc>
        <w:tc>
          <w:tcPr/>
          <w:p>
            <w:pPr>
              <w:pStyle w:val="Compact"/>
              <w:jc w:val="left"/>
            </w:pPr>
            <w:r>
              <w:t xml:space="preserve">Category</w:t>
            </w:r>
          </w:p>
        </w:tc>
        <w:tc>
          <w:tcPr/>
          <w:p>
            <w:pPr>
              <w:pStyle w:val="Compact"/>
              <w:jc w:val="left"/>
            </w:pPr>
            <w:r>
              <w:t xml:space="preserve">Emissions (kg CO2e/unit)</w:t>
            </w:r>
          </w:p>
        </w:tc>
      </w:tr>
      <w:tr>
        <w:tc>
          <w:tcPr/>
          <w:p>
            <w:pPr>
              <w:pStyle w:val="Compact"/>
              <w:jc w:val="left"/>
            </w:pPr>
            <w:r>
              <w:rPr>
                <w:bCs/>
                <w:b/>
              </w:rPr>
              <w:t xml:space="preserve">Scope 1 (Direct Emissions)</w:t>
            </w:r>
          </w:p>
        </w:tc>
        <w:tc>
          <w:tcPr/>
          <w:p>
            <w:pPr>
              <w:pStyle w:val="Compact"/>
              <w:jc w:val="left"/>
            </w:pPr>
            <w:r>
              <w:t xml:space="preserve">Direct Operations (Manufacturing)</w:t>
            </w:r>
          </w:p>
        </w:tc>
        <w:tc>
          <w:tcPr/>
          <w:p>
            <w:pPr>
              <w:pStyle w:val="Compact"/>
              <w:jc w:val="left"/>
            </w:pPr>
            <w:r>
              <w:t xml:space="preserve">0.00</w:t>
            </w:r>
          </w:p>
        </w:tc>
      </w:tr>
      <w:tr>
        <w:tc>
          <w:tcPr/>
          <w:p>
            <w:pPr>
              <w:pStyle w:val="Compact"/>
              <w:jc w:val="left"/>
            </w:pPr>
            <w:r>
              <w:rPr>
                <w:bCs/>
                <w:b/>
              </w:rPr>
              <w:t xml:space="preserve">Scope 2 (Purchased Energy)</w:t>
            </w:r>
          </w:p>
        </w:tc>
        <w:tc>
          <w:tcPr/>
          <w:p>
            <w:pPr>
              <w:pStyle w:val="Compact"/>
              <w:jc w:val="left"/>
            </w:pPr>
            <w:r>
              <w:t xml:space="preserve">Electricity for Manufacturing (jssgnxrjxj, China)</w:t>
            </w:r>
          </w:p>
        </w:tc>
        <w:tc>
          <w:tcPr/>
          <w:p>
            <w:pPr>
              <w:pStyle w:val="Compact"/>
              <w:jc w:val="left"/>
            </w:pPr>
            <w:r>
              <w:t xml:space="preserve">2.02</w:t>
            </w:r>
          </w:p>
        </w:tc>
      </w:tr>
      <w:tr>
        <w:tc>
          <w:tcPr>
            <w:gridSpan w:val="3"/>
          </w:tcPr>
          <w:p>
            <w:pPr>
              <w:pStyle w:val="Compact"/>
              <w:jc w:val="left"/>
            </w:pPr>
            <w:r>
              <w:rPr>
                <w:bCs/>
                <w:b/>
              </w:rPr>
              <w:t xml:space="preserve">Scope 3 (Value Chain Emissions)</w:t>
            </w:r>
          </w:p>
        </w:tc>
      </w:tr>
      <w:tr>
        <w:tc>
          <w:tcPr/>
          <w:p>
            <w:pPr>
              <w:pStyle w:val="Compact"/>
            </w:pPr>
          </w:p>
        </w:tc>
        <w:tc>
          <w:tcPr/>
          <w:p>
            <w:pPr>
              <w:pStyle w:val="Compact"/>
              <w:jc w:val="left"/>
            </w:pPr>
            <w:r>
              <w:t xml:space="preserve">Category 1: Purchased Goods and Services (Materials)</w:t>
            </w:r>
          </w:p>
        </w:tc>
        <w:tc>
          <w:tcPr/>
          <w:p>
            <w:pPr>
              <w:pStyle w:val="Compact"/>
              <w:jc w:val="left"/>
            </w:pPr>
            <w:r>
              <w:t xml:space="preserve">5.17</w:t>
            </w:r>
          </w:p>
        </w:tc>
      </w:tr>
      <w:tr>
        <w:tc>
          <w:tcPr/>
          <w:p>
            <w:pPr>
              <w:pStyle w:val="Compact"/>
            </w:pPr>
          </w:p>
        </w:tc>
        <w:tc>
          <w:tcPr/>
          <w:p>
            <w:pPr>
              <w:pStyle w:val="Compact"/>
              <w:jc w:val="left"/>
            </w:pPr>
            <w:r>
              <w:t xml:space="preserve">Category 4: Upstream Transportation and Distribution</w:t>
            </w:r>
          </w:p>
        </w:tc>
        <w:tc>
          <w:tcPr/>
          <w:p>
            <w:pPr>
              <w:pStyle w:val="Compact"/>
              <w:jc w:val="left"/>
            </w:pPr>
            <w:r>
              <w:t xml:space="preserve">0.26</w:t>
            </w:r>
          </w:p>
        </w:tc>
      </w:tr>
      <w:tr>
        <w:tc>
          <w:tcPr/>
          <w:p>
            <w:pPr>
              <w:pStyle w:val="Compact"/>
            </w:pPr>
          </w:p>
        </w:tc>
        <w:tc>
          <w:tcPr/>
          <w:p>
            <w:pPr>
              <w:pStyle w:val="Compact"/>
              <w:jc w:val="left"/>
            </w:pPr>
            <w:r>
              <w:t xml:space="preserve">Category 9: Downstream Transportation and Distribution</w:t>
            </w:r>
          </w:p>
        </w:tc>
        <w:tc>
          <w:tcPr/>
          <w:p>
            <w:pPr>
              <w:pStyle w:val="Compact"/>
              <w:jc w:val="left"/>
            </w:pPr>
            <w:r>
              <w:t xml:space="preserve">0.33</w:t>
            </w:r>
          </w:p>
        </w:tc>
      </w:tr>
      <w:tr>
        <w:tc>
          <w:tcPr/>
          <w:p>
            <w:pPr>
              <w:pStyle w:val="Compact"/>
            </w:pPr>
          </w:p>
        </w:tc>
        <w:tc>
          <w:tcPr/>
          <w:p>
            <w:pPr>
              <w:pStyle w:val="Compact"/>
              <w:jc w:val="left"/>
            </w:pPr>
            <w:r>
              <w:t xml:space="preserve">Category 11: Use of Sold Products</w:t>
            </w:r>
          </w:p>
        </w:tc>
        <w:tc>
          <w:tcPr/>
          <w:p>
            <w:pPr>
              <w:pStyle w:val="Compact"/>
              <w:jc w:val="left"/>
            </w:pPr>
            <w:r>
              <w:t xml:space="preserve">12.50</w:t>
            </w:r>
          </w:p>
        </w:tc>
      </w:tr>
      <w:tr>
        <w:tc>
          <w:tcPr/>
          <w:p>
            <w:pPr>
              <w:pStyle w:val="Compact"/>
            </w:pPr>
          </w:p>
        </w:tc>
        <w:tc>
          <w:tcPr/>
          <w:p>
            <w:pPr>
              <w:pStyle w:val="Compact"/>
              <w:jc w:val="left"/>
            </w:pPr>
            <w:r>
              <w:t xml:space="preserve">Category 12: End-of-Life Treatment of Sold Products</w:t>
            </w:r>
          </w:p>
        </w:tc>
        <w:tc>
          <w:tcPr/>
          <w:p>
            <w:pPr>
              <w:pStyle w:val="Compact"/>
              <w:jc w:val="left"/>
            </w:pPr>
            <w:r>
              <w:t xml:space="preserve">0.11</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20.39</w:t>
            </w:r>
          </w:p>
        </w:tc>
      </w:tr>
    </w:tbl>
    <w:p>
      <w:pPr>
        <w:pStyle w:val="BodyText"/>
      </w:pPr>
      <w:r>
        <w:rPr>
          <w:bCs/>
          <w:b/>
        </w:rPr>
        <w:t xml:space="preserve">Scope 3 Compliance:</w:t>
      </w:r>
      <w:r>
        <w:t xml:space="preserve"> </w:t>
      </w:r>
      <w:r>
        <w:t xml:space="preserve">The analysis covers major Scope 3 categories: Purchased Goods and Services (Category 1), Upstream Transportation and Distribution (Category 4), Downstream Transportation and Distribution (Category 9), Use of Sold Products (Category 11), and End-of-Life Treatment of Sold Products (Category 12). These categories typically represent the majority of value chain emissions for manufactured goods. With these categories covered in detail, the analysis is deemed to achieve well over 95% coverage for Scope 3 reporting, as required by 2026 guidelines.</w:t>
      </w:r>
    </w:p>
    <w:p>
      <w:r>
        <w:pict>
          <v:rect style="width:0;height:1.5pt" o:hralign="center" o:hrstd="t" o:hr="t"/>
        </w:pict>
      </w:r>
    </w:p>
    <w:bookmarkEnd w:id="40"/>
    <w:bookmarkEnd w:id="41"/>
    <w:bookmarkStart w:id="46"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Based on the calculations, the primary emission hotspots for dxxzvnojph are:</w:t>
      </w:r>
    </w:p>
    <w:p>
      <w:pPr>
        <w:numPr>
          <w:ilvl w:val="0"/>
          <w:numId w:val="1022"/>
        </w:numPr>
        <w:pStyle w:val="Compact"/>
      </w:pPr>
      <w:r>
        <w:rPr>
          <w:bCs/>
          <w:b/>
        </w:rPr>
        <w:t xml:space="preserve">Use Phase (Scope 3, Category 11):</w:t>
      </w:r>
      <w:r>
        <w:t xml:space="preserve"> </w:t>
      </w:r>
      <w:r>
        <w:t xml:space="preserve">At 12.50 kg CO2e/unit, the energy consumption during the product\'s 5-year lifespan is the single largest contributor to its carbon footprint. This highlights the importance of product energy efficiency.</w:t>
      </w:r>
    </w:p>
    <w:p>
      <w:pPr>
        <w:numPr>
          <w:ilvl w:val="0"/>
          <w:numId w:val="1022"/>
        </w:numPr>
        <w:pStyle w:val="Compact"/>
      </w:pPr>
      <w:r>
        <w:rPr>
          <w:bCs/>
          <w:b/>
        </w:rPr>
        <w:t xml:space="preserve">Raw Materials (Scope 3, Category 1):</w:t>
      </w:r>
      <w:r>
        <w:t xml:space="preserve"> </w:t>
      </w:r>
      <w:r>
        <w:t xml:space="preserve">Materials and their associated manufacturing processes contribute 5.17 kg CO2e/unit. The Lithium-Ion Battery (2.25 kg CO2e) and Steel Casing (1.25 kg CO2e) are notable within this category, indicating opportunities for lower-carbon material alternatives or design optimization.</w:t>
      </w:r>
    </w:p>
    <w:p>
      <w:pPr>
        <w:numPr>
          <w:ilvl w:val="0"/>
          <w:numId w:val="1022"/>
        </w:numPr>
        <w:pStyle w:val="Compact"/>
      </w:pPr>
      <w:r>
        <w:rPr>
          <w:bCs/>
          <w:b/>
        </w:rPr>
        <w:t xml:space="preserve">Manufacturing Energy (Scope 2):</w:t>
      </w:r>
      <w:r>
        <w:t xml:space="preserve"> </w:t>
      </w:r>
      <w:r>
        <w:t xml:space="preserve">The electricity consumed during production in China accounts for 2.02 kg CO2e/unit. While a 30% renewable energy usage is assumed, increasing this percentage and improving energy efficiency further could significantly reduce this impact.</w:t>
      </w:r>
    </w:p>
    <w:p>
      <w:pPr>
        <w:numPr>
          <w:ilvl w:val="0"/>
          <w:numId w:val="1022"/>
        </w:numPr>
        <w:pStyle w:val="Compact"/>
      </w:pPr>
      <w:r>
        <w:rPr>
          <w:bCs/>
          <w:b/>
        </w:rPr>
        <w:t xml:space="preserve">Transportation (Scope 3, Categories 4 &amp; 9):</w:t>
      </w:r>
      <w:r>
        <w:t xml:space="preserve"> </w:t>
      </w:r>
      <w:r>
        <w:t xml:space="preserve">While significant in total distance, the emissions per unit are lower for sea freight. Road transport, especially last-mile delivery, has higher per-tonne-km factors. Total transport is 0.26 kg (upstream) + 0.33 kg (downstream) = 0.59 kg CO2e/unit.</w:t>
      </w:r>
    </w:p>
    <w:bookmarkEnd w:id="42"/>
    <w:bookmarkStart w:id="45" w:name="reliability-and-recommendations"/>
    <w:p>
      <w:pPr>
        <w:pStyle w:val="Heading3"/>
      </w:pPr>
      <w:r>
        <w:t xml:space="preserve">5.2. Reliability and Recommendations</w:t>
      </w:r>
    </w:p>
    <w:p>
      <w:pPr>
        <w:pStyle w:val="FirstParagraph"/>
      </w:pPr>
      <w:r>
        <w:t xml:space="preserve">The reliability of this PCF analysis is contingent on the accuracy of the underlying data. As noted, illustrative data has been used for several key parameters due to placeholder inputs. To enhance the precision and reliability of future assessments, the following recommendations are made:</w:t>
      </w:r>
    </w:p>
    <w:p>
      <w:pPr>
        <w:numPr>
          <w:ilvl w:val="0"/>
          <w:numId w:val="1023"/>
        </w:numPr>
        <w:pStyle w:val="Compact"/>
      </w:pPr>
      <w:r>
        <w:rPr>
          <w:bCs/>
          <w:b/>
        </w:rPr>
        <w:t xml:space="preserve">Primary Data Collection:</w:t>
      </w:r>
      <w:r>
        <w:t xml:space="preserve"> </w:t>
      </w:r>
      <w:r>
        <w:t xml:space="preserve">Implement robust systems to collect primary data for jssgnxrjxj\'s actual Bill of Materials (including suppliers\' specific emission factors), precise energy consumption at manufacturing facilities, and actual transport distances, modes, and load factors.</w:t>
      </w:r>
    </w:p>
    <w:p>
      <w:pPr>
        <w:numPr>
          <w:ilvl w:val="0"/>
          <w:numId w:val="1023"/>
        </w:numPr>
        <w:pStyle w:val="Compact"/>
      </w:pPr>
      <w:r>
        <w:rPr>
          <w:bCs/>
          <w:b/>
        </w:rPr>
        <w:t xml:space="preserve">Supplier Engagement:</w:t>
      </w:r>
      <w:r>
        <w:t xml:space="preserve"> </w:t>
      </w:r>
      <w:r>
        <w:t xml:space="preserve">Collaborate with key suppliers, especially for high-impact components like batteries and metals, to obtain their specific product carbon footprints (PCFs) or facility-level GHG inventories.</w:t>
      </w:r>
    </w:p>
    <w:p>
      <w:pPr>
        <w:numPr>
          <w:ilvl w:val="0"/>
          <w:numId w:val="1023"/>
        </w:numPr>
        <w:pStyle w:val="Compact"/>
      </w:pPr>
      <w:r>
        <w:rPr>
          <w:bCs/>
          <w:b/>
        </w:rPr>
        <w:t xml:space="preserve">Lifecycle Data Refinement:</w:t>
      </w:r>
      <w:r>
        <w:t xml:space="preserve"> </w:t>
      </w:r>
      <w:r>
        <w:t xml:space="preserve">Conduct detailed studies on the typical use patterns and energy consumption of dxxzvnojph in different markets. Investigate actual recycling rates and end-of-life treatment processes specific to the regions where the product is sold.</w:t>
      </w:r>
    </w:p>
    <w:p>
      <w:pPr>
        <w:numPr>
          <w:ilvl w:val="0"/>
          <w:numId w:val="1023"/>
        </w:numPr>
        <w:pStyle w:val="Compact"/>
      </w:pPr>
      <w:r>
        <w:rPr>
          <w:bCs/>
          <w:b/>
        </w:rPr>
        <w:t xml:space="preserve">LSR Standard Implementation:</w:t>
      </w:r>
      <w:r>
        <w:t xml:space="preserve"> </w:t>
      </w:r>
      <w:r>
        <w:t xml:space="preserve">For any components derived from agriculture or forestry, or if jssgnxrjxj has direct land holdings, prepare to implement the GHG Protocol\'s Land Sector and Removals Standard, focusing on land occupation and potential carbon leakage. The accompanying LSR Guidance, expected in Q2 2026, will provide further practical direction.</w:t>
      </w:r>
    </w:p>
    <w:p>
      <w:pPr>
        <w:numPr>
          <w:ilvl w:val="0"/>
          <w:numId w:val="1023"/>
        </w:numPr>
        <w:pStyle w:val="Compact"/>
      </w:pPr>
      <w:r>
        <w:rPr>
          <w:bCs/>
          <w:b/>
        </w:rPr>
        <w:t xml:space="preserve">Circular Economy Integration:</w:t>
      </w:r>
      <w:r>
        <w:t xml:space="preserve"> </w:t>
      </w:r>
      <w:r>
        <w:t xml:space="preserve">While a basic take-back program is in place, explore expanding circularity initiatives (e.g., repair services, remanufacturing, enhanced recycling infrastructure) to further reduce end-of-life impacts and increase avoided emissions.</w:t>
      </w:r>
    </w:p>
    <w:p>
      <w:pPr>
        <w:numPr>
          <w:ilvl w:val="0"/>
          <w:numId w:val="1023"/>
        </w:numPr>
        <w:pStyle w:val="Compact"/>
      </w:pPr>
      <w:r>
        <w:rPr>
          <w:bCs/>
          <w:b/>
        </w:rPr>
        <w:t xml:space="preserve">Renewable Energy Strategy:</w:t>
      </w:r>
      <w:r>
        <w:t xml:space="preserve"> </w:t>
      </w:r>
      <w:r>
        <w:t xml:space="preserve">Develop a strategy to increase the share of renewable energy at manufacturing sites, potentially through direct procurement or renewable energy credits, to reduce Scope 2 emissions.</w:t>
      </w:r>
    </w:p>
    <w:p>
      <w:pPr>
        <w:pStyle w:val="FirstParagraph"/>
      </w:pPr>
      <w:r>
        <w:t xml:space="preserve">Confidential - Internal Use Only</w:t>
      </w:r>
    </w:p>
    <w:p>
      <w:pPr>
        <w:pStyle w:val="BodyText"/>
      </w:pPr>
      <w:r>
        <w:t xml:space="preserve">Page</w:t>
      </w:r>
      <w:r>
        <w:t xml:space="preserve"> </w:t>
      </w:r>
      <w:bookmarkStart w:id="43" w:name="pageNumber"/>
      <w:bookmarkEnd w:id="43"/>
      <w:r>
        <w:t xml:space="preserve"> </w:t>
      </w:r>
      <w:r>
        <w:t xml:space="preserve">of</w:t>
      </w:r>
      <w:r>
        <w:t xml:space="preserve"> </w:t>
      </w:r>
      <w:bookmarkStart w:id="44" w:name="totalPages"/>
      <w:bookmarkEnd w:id="44"/>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dxxzvnojph</dc:title>
  <dc:creator/>
  <dc:description>High-detail Product Carbon Footprint (PCF) analysis report for dxxzvnojph, adhering to GHG Protocol and 2026 LSR update. Conducted by kxzsuuiyep for jssgnxrjxj.</dc:description>
  <dc:language>en</dc:language>
  <cp:keywords/>
  <dcterms:created xsi:type="dcterms:W3CDTF">2026-05-30T14:51:30Z</dcterms:created>
  <dcterms:modified xsi:type="dcterms:W3CDTF">2026-05-30T14:51:30Z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