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dssovvnjdm</w:t>
      </w:r>
      <w:r>
        <w:t xml:space="preserve"> </w:t>
      </w:r>
      <w:r>
        <w:t xml:space="preserve">-</w:t>
      </w:r>
      <w:r>
        <w:t xml:space="preserve"> </w:t>
      </w:r>
      <w:r>
        <w:t xml:space="preserve">xfpupsnrvq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dssovvnjdm"/>
    <w:p>
      <w:pPr>
        <w:pStyle w:val="Heading3"/>
      </w:pPr>
      <w:r>
        <w:t xml:space="preserve">For Product: dssovvnjdm</w:t>
      </w:r>
    </w:p>
    <w:p>
      <w:pPr>
        <w:pStyle w:val="FirstParagraph"/>
      </w:pPr>
      <w:r>
        <w:rPr>
          <w:bCs/>
          <w:b/>
        </w:rPr>
        <w:t xml:space="preserve">Company Name:</w:t>
      </w:r>
      <w:r>
        <w:t xml:space="preserve"> </w:t>
      </w:r>
      <w:r>
        <w:t xml:space="preserve">xfpupsnrvq</w:t>
      </w:r>
    </w:p>
    <w:p>
      <w:pPr>
        <w:pStyle w:val="BodyText"/>
      </w:pPr>
      <w:r>
        <w:rPr>
          <w:bCs/>
          <w:b/>
        </w:rPr>
        <w:t xml:space="preserve">Senior Sustainability Consultant:</w:t>
      </w:r>
      <w:r>
        <w:t xml:space="preserve"> </w:t>
      </w:r>
      <w:r>
        <w:t xml:space="preserve">fpvxjstwfv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 high-level assessment. Specific values for parameters are used as provided or simulated based on common industry emission factors where necessary. Further primary data collection would enhance accuracy.</w:t>
      </w:r>
    </w:p>
    <w:bookmarkEnd w:id="20"/>
    <w:bookmarkEnd w:id="21"/>
    <w:bookmarkStart w:id="4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"dssovvnjdm" manufactured by xfpupsnrvq. The analysis, conducted by fpvxjstwfv, a Senior Sustainability Consultant specializing in GHG Protocol, adheres to the Greenhouse Gas Protocol (GHG Protocol) standards, including considerations for the 2026 Land Sector and Removals (LSR) update and the proposed 95% Scope 3 coverage requirement. The system boundary for this PCF is "factory_gate", focusing on the impacts from raw material acquisition through manufacturing, transport, use, and end-of-life.</w:t>
      </w:r>
    </w:p>
    <w:p>
      <w:pPr>
        <w:pStyle w:val="BodyText"/>
      </w:pPr>
      <w:r>
        <w:t xml:space="preserve">The total Product Carbon Footprint for one functional unit of "dssovvnjdm" is calculated to be</w:t>
      </w:r>
      <w:r>
        <w:t xml:space="preserve"> </w:t>
      </w:r>
      <w:r>
        <w:rPr>
          <w:bCs/>
          <w:b/>
        </w:rPr>
        <w:t xml:space="preserve">21.86 kg CO2e</w:t>
      </w:r>
      <w:r>
        <w:t xml:space="preserve">. The primary hotspots identified are the materials acquisition phase and the use phase of the product, with significant contributions from purchased electricity for manufacturing. The company\'s renewable energy usage and circular economy initiatives demonstrate efforts to mitigate environmental impact, resulting in a net credit for end-of-life treatment.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guiding the Product Carbon Footprint (PCF) analysis for dssovvnjdm.</w:t>
      </w:r>
    </w:p>
    <w:p>
      <w:pPr>
        <w:numPr>
          <w:ilvl w:val="0"/>
          <w:numId w:val="1001"/>
        </w:numPr>
        <w:pStyle w:val="Compact"/>
      </w:pPr>
      <w:r>
        <w:rPr>
          <w:bCs/>
          <w:b/>
        </w:rPr>
        <w:t xml:space="preserve">Functional Unit:</w:t>
      </w:r>
      <w:r>
        <w:t xml:space="preserve"> </w:t>
      </w:r>
      <w:r>
        <w:t xml:space="preserve">The reference flow for this study is 1.0 unit of dssovvnjdm. All emissions are calculated per this functional unit.</w:t>
      </w:r>
    </w:p>
    <w:p>
      <w:pPr>
        <w:numPr>
          <w:ilvl w:val="0"/>
          <w:numId w:val="1001"/>
        </w:numPr>
        <w:pStyle w:val="Compact"/>
      </w:pPr>
      <w:r>
        <w:rPr>
          <w:bCs/>
          <w:b/>
        </w:rPr>
        <w:t xml:space="preserve">System Boundary:</w:t>
      </w:r>
      <w:r>
        <w:t xml:space="preserve"> </w:t>
      </w:r>
      <w:r>
        <w:t xml:space="preserve">The analysis adopts a "factory_gate" to "grave" approach, encompassing the entire lifecycle of the product. This includes raw material extraction and processing, manufacturing, transport to customer, the product\'s use phase, and its end-of-life treatment. Emissions directly occurring at the xfpupsnrvq manufacturing facility for this product (e.g., direct fuel combustion) are considered Scope 1. Emissions from purchased electricity for manufacturing are Scope 2. All other upstream and downstream emissions are categorized as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initial processing might be primarily from Europe before transport to China for production).</w:t>
      </w:r>
    </w:p>
    <w:p>
      <w:pPr>
        <w:numPr>
          <w:ilvl w:val="0"/>
          <w:numId w:val="1001"/>
        </w:numPr>
        <w:pStyle w:val="Compact"/>
      </w:pPr>
      <w:r>
        <w:rPr>
          <w:bCs/>
          <w:b/>
        </w:rPr>
        <w:t xml:space="preserve">Accounting Standard:</w:t>
      </w:r>
      <w:r>
        <w:t xml:space="preserve"> </w:t>
      </w:r>
      <w:r>
        <w:t xml:space="preserve">The analysis strictly adheres to the Greenhouse Gas Protocol (GHG Protocol) Product Standard. Emissions are categorized into Scope 1 (direct emissions), Scope 2 (purchased energy emissions), and Scope 3 (all other indirect emissions across the value chain, both upstream and downstream).</w:t>
      </w:r>
    </w:p>
    <w:p>
      <w:pPr>
        <w:numPr>
          <w:ilvl w:val="0"/>
          <w:numId w:val="1001"/>
        </w:numPr>
        <w:pStyle w:val="Compact"/>
      </w:pPr>
      <w:r>
        <w:rPr>
          <w:bCs/>
          <w:b/>
        </w:rPr>
        <w:t xml:space="preserve">Allocation:</w:t>
      </w:r>
      <w:r>
        <w:t xml:space="preserve"> </w:t>
      </w:r>
      <w:r>
        <w:t xml:space="preserve">For this single product PCF, allocation for co-products or by-products is not required as the functional unit clearly defines the product under study. Any shared processes at the manufacturing facility are allocated based on specific energy intensity per unit of dssovvnjdm.</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dssovvnjdm has been mapped into the following stages, providing a comprehensive view of potential environmental impacts:</w:t>
      </w:r>
    </w:p>
    <w:p>
      <w:pPr>
        <w:numPr>
          <w:ilvl w:val="0"/>
          <w:numId w:val="1003"/>
        </w:numPr>
        <w:pStyle w:val="Compact"/>
      </w:pPr>
      <w:r>
        <w:rPr>
          <w:bCs/>
          <w:b/>
        </w:rPr>
        <w:t xml:space="preserve">Materials Acquisition &amp; Pre-processing (Scope 3 Upstream):</w:t>
      </w:r>
      <w:r>
        <w:t xml:space="preserve"> </w:t>
      </w:r>
      <w:r>
        <w:t xml:space="preserve">This stage includes the extraction of raw materials (e.g., metals, plastics) and their initial processing into usable forms as detailed in the Bill of Materials (BOM).</w:t>
      </w:r>
    </w:p>
    <w:p>
      <w:pPr>
        <w:numPr>
          <w:ilvl w:val="0"/>
          <w:numId w:val="1003"/>
        </w:numPr>
        <w:pStyle w:val="Compact"/>
      </w:pPr>
      <w:r>
        <w:rPr>
          <w:bCs/>
          <w:b/>
        </w:rPr>
        <w:t xml:space="preserve">Production/Manufacturing (Scope 1 &amp; 2):</w:t>
      </w:r>
      <w:r>
        <w:t xml:space="preserve"> </w:t>
      </w:r>
      <w:r>
        <w:t xml:space="preserve">This stage covers the energy consumption and any direct emissions associated with the manufacturing processes of dssovvnjdm at the production facility in China.</w:t>
      </w:r>
    </w:p>
    <w:p>
      <w:pPr>
        <w:numPr>
          <w:ilvl w:val="0"/>
          <w:numId w:val="1003"/>
        </w:numPr>
        <w:pStyle w:val="Compact"/>
      </w:pPr>
      <w:r>
        <w:rPr>
          <w:bCs/>
          <w:b/>
        </w:rPr>
        <w:t xml:space="preserve">Transport (Scope 3 Upstream &amp; Downstream):</w:t>
      </w:r>
    </w:p>
    <w:p>
      <w:pPr>
        <w:numPr>
          <w:ilvl w:val="1"/>
          <w:numId w:val="1004"/>
        </w:numPr>
        <w:pStyle w:val="Compact"/>
      </w:pPr>
      <w:r>
        <w:rPr>
          <w:bCs/>
          <w:b/>
        </w:rPr>
        <w:t xml:space="preserve">Inbound Logistics (Upstream):</w:t>
      </w:r>
      <w:r>
        <w:t xml:space="preserve"> </w:t>
      </w:r>
      <w:r>
        <w:t xml:space="preserve">Transportation of processed materials from suppliers (Europe Focused) to the manufacturing facility in China.</w:t>
      </w:r>
    </w:p>
    <w:p>
      <w:pPr>
        <w:numPr>
          <w:ilvl w:val="1"/>
          <w:numId w:val="1004"/>
        </w:numPr>
        <w:pStyle w:val="Compact"/>
      </w:pPr>
      <w:r>
        <w:rPr>
          <w:bCs/>
          <w:b/>
        </w:rPr>
        <w:t xml:space="preserve">Outbound Logistics (Downstream):</w:t>
      </w:r>
      <w:r>
        <w:t xml:space="preserve"> </w:t>
      </w:r>
      <w:r>
        <w:t xml:space="preserve">Transportation of the finished product from the factory in China to the distribution network and ultimately to the customer.</w:t>
      </w:r>
    </w:p>
    <w:p>
      <w:pPr>
        <w:numPr>
          <w:ilvl w:val="0"/>
          <w:numId w:val="1003"/>
        </w:numPr>
        <w:pStyle w:val="Compact"/>
      </w:pPr>
      <w:r>
        <w:rPr>
          <w:bCs/>
          <w:b/>
        </w:rPr>
        <w:t xml:space="preserve">Use Phase (Scope 3 Downstream):</w:t>
      </w:r>
      <w:r>
        <w:t xml:space="preserve"> </w:t>
      </w:r>
      <w:r>
        <w:t xml:space="preserve">This stage accounts for the energy consumed by the product during its specified lifespan by the end-user.</w:t>
      </w:r>
    </w:p>
    <w:p>
      <w:pPr>
        <w:numPr>
          <w:ilvl w:val="0"/>
          <w:numId w:val="1003"/>
        </w:numPr>
        <w:pStyle w:val="Compact"/>
      </w:pPr>
      <w:r>
        <w:rPr>
          <w:bCs/>
          <w:b/>
        </w:rPr>
        <w:t xml:space="preserve">End-of-Life (EoL) Treatment (Scope 3 Downstream):</w:t>
      </w:r>
      <w:r>
        <w:t xml:space="preserve"> </w:t>
      </w:r>
      <w:r>
        <w:t xml:space="preserve">This includes emissions or credits associated with the disposal, recycling, or recovery of the product at the end of its useful life, considering specified recyclability and circular programs.</w:t>
      </w:r>
    </w:p>
    <w:p>
      <w:r>
        <w:pict>
          <v:rect style="width:0;height:1.5pt" o:hralign="center" o:hrstd="t" o:hr="t"/>
        </w:pict>
      </w:r>
    </w:p>
    <w:bookmarkEnd w:id="24"/>
    <w:bookmarkStart w:id="27" w:name="Xb57f50a89bf1f3f1837369be949d9d60d6c1272"/>
    <w:p>
      <w:pPr>
        <w:pStyle w:val="Heading2"/>
      </w:pPr>
      <w:r>
        <w:t xml:space="preserve">3. Collect Data (Primary/Secondary Data Points)</w:t>
      </w:r>
    </w:p>
    <w:p>
      <w:pPr>
        <w:pStyle w:val="FirstParagraph"/>
      </w:pPr>
      <w:r>
        <w:t xml:space="preserve">Data collection involved utilizing both specific primary data points provided and industry-standard secondary data for emission factors.</w:t>
      </w:r>
    </w:p>
    <w:bookmarkStart w:id="25" w:name="Xd0564fa1c8d24a380aba435470b2faca637831e"/>
    <w:p>
      <w:pPr>
        <w:pStyle w:val="Heading3"/>
      </w:pPr>
      <w:r>
        <w:t xml:space="preserve">Detailed Bill of Materials (BOM) for dssovvnjdm</w:t>
      </w:r>
    </w:p>
    <w:p>
      <w:pPr>
        <w:pStyle w:val="FirstParagraph"/>
      </w:pPr>
      <w:r>
        <w:t xml:space="preserve">The following detailed BOM (qzpyldux)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rPr>
                <w:bCs/>
                <w:b/>
              </w:rPr>
              <w:t xml:space="preserve">Total Material Carbon Impact:</w:t>
            </w:r>
          </w:p>
        </w:tc>
        <w:tc>
          <w:tcPr/>
          <w:p>
            <w:pPr>
              <w:pStyle w:val="Compact"/>
              <w:jc w:val="left"/>
            </w:pPr>
            <w:r>
              <w:rPr>
                <w:bCs/>
                <w:b/>
              </w:rPr>
              <w:t xml:space="preserve">12.25</w:t>
            </w:r>
          </w:p>
        </w:tc>
      </w:tr>
    </w:tbl>
    <w:p>
      <w:pPr>
        <w:pStyle w:val="BodyText"/>
      </w:pPr>
      <w:r>
        <w:rPr>
          <w:bCs/>
          <w:b/>
        </w:rPr>
        <w:t xml:space="preserve">Total Product Weight (estimated from BOM):</w:t>
      </w:r>
      <w:r>
        <w:t xml:space="preserve"> </w:t>
      </w:r>
      <w:r>
        <w:t xml:space="preserve">0.95 kg (for transport calculation)</w:t>
      </w:r>
    </w:p>
    <w:bookmarkEnd w:id="25"/>
    <w:bookmarkStart w:id="26" w:name="other-key-data-points"/>
    <w:p>
      <w:pPr>
        <w:pStyle w:val="Heading3"/>
      </w:pPr>
      <w:r>
        <w:t xml:space="preserve">Other Key Data Points:</w:t>
      </w:r>
    </w:p>
    <w:p>
      <w:pPr>
        <w:numPr>
          <w:ilvl w:val="0"/>
          <w:numId w:val="1005"/>
        </w:numPr>
        <w:pStyle w:val="Compact"/>
      </w:pPr>
      <w:r>
        <w:rPr>
          <w:bCs/>
          <w:b/>
        </w:rPr>
        <w:t xml:space="preserve">Transport Mode:</w:t>
      </w:r>
      <w:r>
        <w:t xml:space="preserve"> </w:t>
      </w:r>
      <w:r>
        <w:t xml:space="preserve">Inbound: Ocean Freight; Outbound: Road Freight (HGV to regional hub) and Parcel Delivery Van (last-mile).</w:t>
      </w:r>
    </w:p>
    <w:p>
      <w:pPr>
        <w:numPr>
          <w:ilvl w:val="0"/>
          <w:numId w:val="1005"/>
        </w:numPr>
        <w:pStyle w:val="Compact"/>
      </w:pPr>
      <w:r>
        <w:rPr>
          <w:bCs/>
          <w:b/>
        </w:rPr>
        <w:t xml:space="preserve">Transport Distance:</w:t>
      </w:r>
      <w:r>
        <w:t xml:space="preserve"> </w:t>
      </w:r>
      <w:r>
        <w:t xml:space="preserve">15,000 km (Ocean Inbound); 1,000 km (Road Outbound); 50 km (Last-Mile Delivery).</w:t>
      </w:r>
    </w:p>
    <w:p>
      <w:pPr>
        <w:numPr>
          <w:ilvl w:val="0"/>
          <w:numId w:val="1005"/>
        </w:numPr>
        <w:pStyle w:val="Compact"/>
      </w:pPr>
      <w:r>
        <w:rPr>
          <w:bCs/>
          <w:b/>
        </w:rPr>
        <w:t xml:space="preserve">Last-Mile Delivery Channel:</w:t>
      </w:r>
      <w:r>
        <w:t xml:space="preserve"> </w:t>
      </w:r>
      <w:r>
        <w:t xml:space="preserve">Parcel Delivery Van.</w:t>
      </w:r>
    </w:p>
    <w:p>
      <w:pPr>
        <w:numPr>
          <w:ilvl w:val="0"/>
          <w:numId w:val="1005"/>
        </w:numPr>
        <w:pStyle w:val="Compact"/>
      </w:pPr>
      <w:r>
        <w:rPr>
          <w:bCs/>
          <w:b/>
        </w:rPr>
        <w:t xml:space="preserve">Renewable Energy Usage:</w:t>
      </w:r>
      <w:r>
        <w:t xml:space="preserve"> </w:t>
      </w:r>
      <w:r>
        <w:t xml:space="preserve">50% (rqhrxjrmlu) of electricity consumed in production.</w:t>
      </w:r>
    </w:p>
    <w:p>
      <w:pPr>
        <w:numPr>
          <w:ilvl w:val="0"/>
          <w:numId w:val="1005"/>
        </w:numPr>
        <w:pStyle w:val="Compact"/>
      </w:pPr>
      <w:r>
        <w:rPr>
          <w:bCs/>
          <w:b/>
        </w:rPr>
        <w:t xml:space="preserve">Energy Intensity (production):</w:t>
      </w:r>
      <w:r>
        <w:t xml:space="preserve"> </w:t>
      </w:r>
      <w:r>
        <w:t xml:space="preserve">10 kWh/unit (hduplfurdr).</w:t>
      </w:r>
    </w:p>
    <w:p>
      <w:pPr>
        <w:numPr>
          <w:ilvl w:val="0"/>
          <w:numId w:val="1005"/>
        </w:numPr>
        <w:pStyle w:val="Compact"/>
      </w:pPr>
      <w:r>
        <w:rPr>
          <w:bCs/>
          <w:b/>
        </w:rPr>
        <w:t xml:space="preserve">Product Lifespan:</w:t>
      </w:r>
      <w:r>
        <w:t xml:space="preserve"> </w:t>
      </w:r>
      <w:r>
        <w:t xml:space="preserve">5 years (uswojywwhj).</w:t>
      </w:r>
    </w:p>
    <w:p>
      <w:pPr>
        <w:numPr>
          <w:ilvl w:val="0"/>
          <w:numId w:val="1005"/>
        </w:numPr>
        <w:pStyle w:val="Compact"/>
      </w:pPr>
      <w:r>
        <w:rPr>
          <w:bCs/>
          <w:b/>
        </w:rPr>
        <w:t xml:space="preserve">Energy Consumption in Use:</w:t>
      </w:r>
      <w:r>
        <w:t xml:space="preserve"> </w:t>
      </w:r>
      <w:r>
        <w:t xml:space="preserve">5 kWh/year (drtomkzpvd).</w:t>
      </w:r>
    </w:p>
    <w:p>
      <w:pPr>
        <w:numPr>
          <w:ilvl w:val="0"/>
          <w:numId w:val="1005"/>
        </w:numPr>
        <w:pStyle w:val="Compact"/>
      </w:pPr>
      <w:r>
        <w:rPr>
          <w:bCs/>
          <w:b/>
        </w:rPr>
        <w:t xml:space="preserve">Recyclability Percentage:</w:t>
      </w:r>
      <w:r>
        <w:t xml:space="preserve"> </w:t>
      </w:r>
      <w:r>
        <w:t xml:space="preserve">70% (qkupjjhkim).</w:t>
      </w:r>
    </w:p>
    <w:p>
      <w:pPr>
        <w:numPr>
          <w:ilvl w:val="0"/>
          <w:numId w:val="1005"/>
        </w:numPr>
        <w:pStyle w:val="Compact"/>
      </w:pPr>
      <w:r>
        <w:rPr>
          <w:bCs/>
          <w:b/>
        </w:rPr>
        <w:t xml:space="preserve">Circular/Take-back Programs:</w:t>
      </w:r>
      <w:r>
        <w:t xml:space="preserve"> </w:t>
      </w:r>
      <w:r>
        <w:t xml:space="preserve">Established program with 10% return rate (ovzzlmszli).</w:t>
      </w:r>
    </w:p>
    <w:p>
      <w:pPr>
        <w:numPr>
          <w:ilvl w:val="0"/>
          <w:numId w:val="1005"/>
        </w:numPr>
        <w:pStyle w:val="Compact"/>
      </w:pPr>
      <w:r>
        <w:rPr>
          <w:bCs/>
          <w:b/>
        </w:rPr>
        <w:t xml:space="preserve">Emission Factors:</w:t>
      </w:r>
      <w:r>
        <w:t xml:space="preserve"> </w:t>
      </w:r>
      <w:r>
        <w:t xml:space="preserve">Industry-standard emission factors were used for generic processes and energy sources (e.g., Ecoinvent/DEFRA for grid electricity mixes, transport modes, and waste treatment scenarios).</w:t>
      </w:r>
    </w:p>
    <w:p>
      <w:r>
        <w:pict>
          <v:rect style="width:0;height:1.5pt" o:hralign="center" o:hrstd="t" o:hr="t"/>
        </w:pict>
      </w:r>
    </w:p>
    <w:bookmarkEnd w:id="26"/>
    <w:bookmarkEnd w:id="27"/>
    <w:bookmarkStart w:id="36"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dssovvnjdm) and categorized according to the GHG Protocol.</w:t>
      </w:r>
    </w:p>
    <w:bookmarkStart w:id="28" w:name="scope-1-emissions-direct-emissions"/>
    <w:p>
      <w:pPr>
        <w:pStyle w:val="Heading3"/>
      </w:pPr>
      <w:r>
        <w:t xml:space="preserve">4.1. Scope 1 Emissions (Direct Emissions)</w:t>
      </w:r>
    </w:p>
    <w:p>
      <w:pPr>
        <w:pStyle w:val="FirstParagraph"/>
      </w:pPr>
      <w:r>
        <w:t xml:space="preserve">For a product-level PCF with a "factory_gate" system boundary, Scope 1 emissions primarily relate to direct fuel combustion for manufacturing processes owned or controlled by xfpupsnrvq. Given the focus on energy intensity for production, any direct combustion emissions are assumed to be negligible or implicitly covered if the primary energy source for a process is electricity. Therefore,</w:t>
      </w:r>
      <w:r>
        <w:t xml:space="preserve"> </w:t>
      </w:r>
      <w:r>
        <w:rPr>
          <w:bCs/>
          <w:b/>
        </w:rPr>
        <w:t xml:space="preserve">0.0 kgCO2e</w:t>
      </w:r>
      <w:r>
        <w:t xml:space="preserve"> </w:t>
      </w:r>
      <w:r>
        <w:t xml:space="preserve">is allocated to Scope 1 for this product.</w:t>
      </w:r>
    </w:p>
    <w:bookmarkEnd w:id="28"/>
    <w:bookmarkStart w:id="29"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for the manufacturing of dssovvnjdm.</w:t>
      </w:r>
    </w:p>
    <w:p>
      <w:pPr>
        <w:numPr>
          <w:ilvl w:val="0"/>
          <w:numId w:val="1006"/>
        </w:numPr>
        <w:pStyle w:val="Compact"/>
      </w:pPr>
      <w:r>
        <w:t xml:space="preserve">Total electricity consumed: 10 kWh/unit [cite: hduplfurdr]</w:t>
      </w:r>
    </w:p>
    <w:p>
      <w:pPr>
        <w:numPr>
          <w:ilvl w:val="0"/>
          <w:numId w:val="1006"/>
        </w:numPr>
        <w:pStyle w:val="Compact"/>
      </w:pPr>
      <w:r>
        <w:t xml:space="preserve">Renewable energy portion: 10 kWh * 50% = 5 kWh. Assuming zero emissions for certified renewable energy. [cite: rqhrxjrmlu]</w:t>
      </w:r>
    </w:p>
    <w:p>
      <w:pPr>
        <w:numPr>
          <w:ilvl w:val="0"/>
          <w:numId w:val="1006"/>
        </w:numPr>
        <w:pStyle w:val="Compact"/>
      </w:pPr>
      <w:r>
        <w:t xml:space="preserve">Grid electricity portion: 10 kWh * (1 - 50%) = 5 kWh</w:t>
      </w:r>
    </w:p>
    <w:p>
      <w:pPr>
        <w:numPr>
          <w:ilvl w:val="0"/>
          <w:numId w:val="1006"/>
        </w:numPr>
        <w:pStyle w:val="Compact"/>
      </w:pPr>
      <w:r>
        <w:t xml:space="preserve">Emission Factor for China grid mix (illustrative): 0.6 kgCO2e/kWh</w:t>
      </w:r>
    </w:p>
    <w:p>
      <w:pPr>
        <w:numPr>
          <w:ilvl w:val="0"/>
          <w:numId w:val="1006"/>
        </w:numPr>
        <w:pStyle w:val="Compact"/>
      </w:pPr>
      <w:r>
        <w:rPr>
          <w:bCs/>
          <w:b/>
        </w:rPr>
        <w:t xml:space="preserve">Scope 2 Emissions = 5 kWh * 0.6 kgCO2e/kWh = 3.0 kgCO2e</w:t>
      </w:r>
    </w:p>
    <w:bookmarkEnd w:id="29"/>
    <w:bookmarkStart w:id="32" w:name="scope-3-emissions-value-chain-emissions"/>
    <w:p>
      <w:pPr>
        <w:pStyle w:val="Heading3"/>
      </w:pPr>
      <w:r>
        <w:t xml:space="preserve">4.3. Scope 3 Emissions (Value Chain Emissions)</w:t>
      </w:r>
    </w:p>
    <w:p>
      <w:pPr>
        <w:pStyle w:val="FirstParagraph"/>
      </w:pPr>
      <w:r>
        <w:t xml:space="preserve">Scope 3 emissions encompass all other indirect emissions occurring both upstream and downstream in the value chain.</w:t>
      </w:r>
    </w:p>
    <w:bookmarkStart w:id="30" w:name="upstream-emissions"/>
    <w:p>
      <w:pPr>
        <w:pStyle w:val="Heading4"/>
      </w:pPr>
      <w:r>
        <w:t xml:space="preserve">Upstream Emissions:</w:t>
      </w:r>
    </w:p>
    <w:p>
      <w:pPr>
        <w:numPr>
          <w:ilvl w:val="0"/>
          <w:numId w:val="1007"/>
        </w:numPr>
        <w:pStyle w:val="Compact"/>
      </w:pPr>
      <w:r>
        <w:rPr>
          <w:bCs/>
          <w:b/>
        </w:rPr>
        <w:t xml:space="preserve">Materials Acquisition &amp; Pre-processing:</w:t>
      </w:r>
      <w:r>
        <w:t xml:space="preserve"> </w:t>
      </w:r>
      <w:r>
        <w:t xml:space="preserve">Based on the Detailed Bill of Materials (qzpyldux), the cumulative impact from material production is:</w:t>
      </w:r>
    </w:p>
    <w:p>
      <w:pPr>
        <w:numPr>
          <w:ilvl w:val="1"/>
          <w:numId w:val="1008"/>
        </w:numPr>
        <w:pStyle w:val="Compact"/>
      </w:pPr>
      <w:r>
        <w:t xml:space="preserve">Aluminum Casing: 6.0 kgCO2e</w:t>
      </w:r>
    </w:p>
    <w:p>
      <w:pPr>
        <w:numPr>
          <w:ilvl w:val="1"/>
          <w:numId w:val="1008"/>
        </w:numPr>
        <w:pStyle w:val="Compact"/>
      </w:pPr>
      <w:r>
        <w:t xml:space="preserve">ABS Plastic Enclosure: 1.05 kgCO2e</w:t>
      </w:r>
    </w:p>
    <w:p>
      <w:pPr>
        <w:numPr>
          <w:ilvl w:val="1"/>
          <w:numId w:val="1008"/>
        </w:numPr>
        <w:pStyle w:val="Compact"/>
      </w:pPr>
      <w:r>
        <w:t xml:space="preserve">Printed Circuit Board: 5.0 kgCO2e</w:t>
      </w:r>
    </w:p>
    <w:p>
      <w:pPr>
        <w:numPr>
          <w:ilvl w:val="1"/>
          <w:numId w:val="1008"/>
        </w:numPr>
        <w:pStyle w:val="Compact"/>
      </w:pPr>
      <w:r>
        <w:t xml:space="preserve">Copper Wire: 0.2 kgCO2e</w:t>
      </w:r>
    </w:p>
    <w:p>
      <w:pPr>
        <w:numPr>
          <w:ilvl w:val="0"/>
          <w:numId w:val="1000"/>
        </w:numPr>
        <w:pStyle w:val="Compact"/>
      </w:pPr>
      <w:r>
        <w:rPr>
          <w:bCs/>
          <w:b/>
        </w:rPr>
        <w:t xml:space="preserve">Total Materials Emissions = 12.25 kgCO2e</w:t>
      </w:r>
    </w:p>
    <w:p>
      <w:pPr>
        <w:numPr>
          <w:ilvl w:val="0"/>
          <w:numId w:val="1007"/>
        </w:numPr>
        <w:pStyle w:val="Compact"/>
      </w:pPr>
      <w:r>
        <w:rPr>
          <w:bCs/>
          <w:b/>
        </w:rPr>
        <w:t xml:space="preserve">Inbound Transportation:</w:t>
      </w:r>
      <w:r>
        <w:t xml:space="preserve"> </w:t>
      </w:r>
      <w:r>
        <w:t xml:space="preserve">Transportation of materials from European suppliers to the manufacturing facility in China.</w:t>
      </w:r>
    </w:p>
    <w:p>
      <w:pPr>
        <w:numPr>
          <w:ilvl w:val="1"/>
          <w:numId w:val="1009"/>
        </w:numPr>
        <w:pStyle w:val="Compact"/>
      </w:pPr>
      <w:r>
        <w:t xml:space="preserve">Product weight for transport: 0.95 kg = 0.00095 tonnes</w:t>
      </w:r>
    </w:p>
    <w:p>
      <w:pPr>
        <w:numPr>
          <w:ilvl w:val="1"/>
          <w:numId w:val="1009"/>
        </w:numPr>
        <w:pStyle w:val="Compact"/>
      </w:pPr>
      <w:r>
        <w:t xml:space="preserve">Mode: Ocean Freight (illustrative EF: 0.010 kgCO2e/tkm)</w:t>
      </w:r>
    </w:p>
    <w:p>
      <w:pPr>
        <w:numPr>
          <w:ilvl w:val="1"/>
          <w:numId w:val="1009"/>
        </w:numPr>
        <w:pStyle w:val="Compact"/>
      </w:pPr>
      <w:r>
        <w:t xml:space="preserve">Distance: 15,000 km [cite: vokoyyepix]</w:t>
      </w:r>
    </w:p>
    <w:p>
      <w:pPr>
        <w:numPr>
          <w:ilvl w:val="1"/>
          <w:numId w:val="1009"/>
        </w:numPr>
        <w:pStyle w:val="Compact"/>
      </w:pPr>
      <w:r>
        <w:rPr>
          <w:bCs/>
          <w:b/>
        </w:rPr>
        <w:t xml:space="preserve">Inbound Transport Emissions = 0.00095 t * 0.010 kgCO2e/tkm * 15,000 km = 0.14 kgCO2e</w:t>
      </w:r>
      <w:r>
        <w:t xml:space="preserve"> </w:t>
      </w:r>
      <w:r>
        <w:t xml:space="preserve">(rounded)</w:t>
      </w:r>
    </w:p>
    <w:bookmarkEnd w:id="30"/>
    <w:bookmarkStart w:id="31" w:name="downstream-emissions"/>
    <w:p>
      <w:pPr>
        <w:pStyle w:val="Heading4"/>
      </w:pPr>
      <w:r>
        <w:t xml:space="preserve">Downstream Emissions:</w:t>
      </w:r>
    </w:p>
    <w:p>
      <w:pPr>
        <w:numPr>
          <w:ilvl w:val="0"/>
          <w:numId w:val="1010"/>
        </w:numPr>
        <w:pStyle w:val="Compact"/>
      </w:pPr>
      <w:r>
        <w:rPr>
          <w:bCs/>
          <w:b/>
        </w:rPr>
        <w:t xml:space="preserve">Outbound Transportation &amp; Distribution:</w:t>
      </w:r>
    </w:p>
    <w:p>
      <w:pPr>
        <w:numPr>
          <w:ilvl w:val="1"/>
          <w:numId w:val="1011"/>
        </w:numPr>
        <w:pStyle w:val="Compact"/>
      </w:pPr>
      <w:r>
        <w:t xml:space="preserve">Road Freight (factory to regional hub):</w:t>
      </w:r>
    </w:p>
    <w:p>
      <w:pPr>
        <w:numPr>
          <w:ilvl w:val="2"/>
          <w:numId w:val="1012"/>
        </w:numPr>
        <w:pStyle w:val="Compact"/>
      </w:pPr>
      <w:r>
        <w:t xml:space="preserve">Product weight: 0.00095 tonnes</w:t>
      </w:r>
    </w:p>
    <w:p>
      <w:pPr>
        <w:numPr>
          <w:ilvl w:val="2"/>
          <w:numId w:val="1012"/>
        </w:numPr>
        <w:pStyle w:val="Compact"/>
      </w:pPr>
      <w:r>
        <w:t xml:space="preserve">Mode: Road Freight (HGV, illustrative EF: 0.065 kgCO2e/tkm)</w:t>
      </w:r>
    </w:p>
    <w:p>
      <w:pPr>
        <w:numPr>
          <w:ilvl w:val="2"/>
          <w:numId w:val="1012"/>
        </w:numPr>
        <w:pStyle w:val="Compact"/>
      </w:pPr>
      <w:r>
        <w:t xml:space="preserve">Distance: 1,000 km [cite: vokoyyepix]</w:t>
      </w:r>
    </w:p>
    <w:p>
      <w:pPr>
        <w:numPr>
          <w:ilvl w:val="2"/>
          <w:numId w:val="1012"/>
        </w:numPr>
        <w:pStyle w:val="Compact"/>
      </w:pPr>
      <w:r>
        <w:t xml:space="preserve">Emissions = 0.00095 t * 0.065 kgCO2e/tkm * 1,000 km = 0.06 kgCO2e (rounded)</w:t>
      </w:r>
    </w:p>
    <w:p>
      <w:pPr>
        <w:numPr>
          <w:ilvl w:val="1"/>
          <w:numId w:val="1011"/>
        </w:numPr>
        <w:pStyle w:val="Compact"/>
      </w:pPr>
      <w:r>
        <w:t xml:space="preserve">Last-Mile Delivery:</w:t>
      </w:r>
    </w:p>
    <w:p>
      <w:pPr>
        <w:numPr>
          <w:ilvl w:val="2"/>
          <w:numId w:val="1013"/>
        </w:numPr>
        <w:pStyle w:val="Compact"/>
      </w:pPr>
      <w:r>
        <w:t xml:space="preserve">Mode: Parcel Delivery Van [cite: Delivery Type]</w:t>
      </w:r>
    </w:p>
    <w:p>
      <w:pPr>
        <w:numPr>
          <w:ilvl w:val="2"/>
          <w:numId w:val="1013"/>
        </w:numPr>
        <w:pStyle w:val="Compact"/>
      </w:pPr>
      <w:r>
        <w:t xml:space="preserve">Distance: 50 km (illustrative average)</w:t>
      </w:r>
    </w:p>
    <w:p>
      <w:pPr>
        <w:numPr>
          <w:ilvl w:val="2"/>
          <w:numId w:val="1013"/>
        </w:numPr>
        <w:pStyle w:val="Compact"/>
      </w:pPr>
      <w:r>
        <w:t xml:space="preserve">Emission Factor (illustrative): 0.5 kgCO2e per package (for this product unit)</w:t>
      </w:r>
    </w:p>
    <w:p>
      <w:pPr>
        <w:numPr>
          <w:ilvl w:val="2"/>
          <w:numId w:val="1013"/>
        </w:numPr>
        <w:pStyle w:val="Compact"/>
      </w:pPr>
      <w:r>
        <w:t xml:space="preserve">Emissions = 0.5 kgCO2e</w:t>
      </w:r>
    </w:p>
    <w:p>
      <w:pPr>
        <w:numPr>
          <w:ilvl w:val="0"/>
          <w:numId w:val="1000"/>
        </w:numPr>
        <w:pStyle w:val="Compact"/>
      </w:pPr>
      <w:r>
        <w:rPr>
          <w:bCs/>
          <w:b/>
        </w:rPr>
        <w:t xml:space="preserve">Total Outbound Transport Emissions = 0.06 kgCO2e + 0.5 kgCO2e = 0.56 kgCO2e</w:t>
      </w:r>
    </w:p>
    <w:p>
      <w:pPr>
        <w:numPr>
          <w:ilvl w:val="0"/>
          <w:numId w:val="1010"/>
        </w:numPr>
        <w:pStyle w:val="Compact"/>
      </w:pPr>
      <w:r>
        <w:rPr>
          <w:bCs/>
          <w:b/>
        </w:rPr>
        <w:t xml:space="preserve">Use Phase:</w:t>
      </w:r>
      <w:r>
        <w:t xml:space="preserve"> </w:t>
      </w:r>
      <w:r>
        <w:t xml:space="preserve">Energy consumption during the product\'s operational lifespan.</w:t>
      </w:r>
    </w:p>
    <w:p>
      <w:pPr>
        <w:numPr>
          <w:ilvl w:val="1"/>
          <w:numId w:val="1014"/>
        </w:numPr>
        <w:pStyle w:val="Compact"/>
      </w:pPr>
      <w:r>
        <w:t xml:space="preserve">Product Lifespan: 5 years [cite: uswojywwhj]</w:t>
      </w:r>
    </w:p>
    <w:p>
      <w:pPr>
        <w:numPr>
          <w:ilvl w:val="1"/>
          <w:numId w:val="1014"/>
        </w:numPr>
        <w:pStyle w:val="Compact"/>
      </w:pPr>
      <w:r>
        <w:t xml:space="preserve">Energy Consumption in Use: 5 kWh/year [cite: drtomkzpvd]</w:t>
      </w:r>
    </w:p>
    <w:p>
      <w:pPr>
        <w:numPr>
          <w:ilvl w:val="1"/>
          <w:numId w:val="1014"/>
        </w:numPr>
        <w:pStyle w:val="Compact"/>
      </w:pPr>
      <w:r>
        <w:t xml:space="preserve">Total energy over lifespan: 5 years * 5 kWh/year = 25 kWh</w:t>
      </w:r>
    </w:p>
    <w:p>
      <w:pPr>
        <w:numPr>
          <w:ilvl w:val="1"/>
          <w:numId w:val="1014"/>
        </w:numPr>
        <w:pStyle w:val="Compact"/>
      </w:pPr>
      <w:r>
        <w:t xml:space="preserve">Emission Factor for average European grid mix (illustrative): 0.25 kgCO2e/kWh</w:t>
      </w:r>
    </w:p>
    <w:p>
      <w:pPr>
        <w:numPr>
          <w:ilvl w:val="1"/>
          <w:numId w:val="1014"/>
        </w:numPr>
        <w:pStyle w:val="Compact"/>
      </w:pPr>
      <w:r>
        <w:rPr>
          <w:bCs/>
          <w:b/>
        </w:rPr>
        <w:t xml:space="preserve">Use Phase Emissions = 25 kWh * 0.25 kgCO2e/kWh = 6.25 kgCO2e</w:t>
      </w:r>
    </w:p>
    <w:p>
      <w:pPr>
        <w:numPr>
          <w:ilvl w:val="0"/>
          <w:numId w:val="1010"/>
        </w:numPr>
        <w:pStyle w:val="Compact"/>
      </w:pPr>
      <w:r>
        <w:rPr>
          <w:bCs/>
          <w:b/>
        </w:rPr>
        <w:t xml:space="preserve">End-of-Life (EoL) Treatment:</w:t>
      </w:r>
      <w:r>
        <w:t xml:space="preserve"> </w:t>
      </w:r>
      <w:r>
        <w:t xml:space="preserve">Emissions and credits associated with disposal and recycling.</w:t>
      </w:r>
    </w:p>
    <w:p>
      <w:pPr>
        <w:numPr>
          <w:ilvl w:val="1"/>
          <w:numId w:val="1015"/>
        </w:numPr>
        <w:pStyle w:val="Compact"/>
      </w:pPr>
      <w:r>
        <w:t xml:space="preserve">Total product weight: 0.95 kg</w:t>
      </w:r>
    </w:p>
    <w:p>
      <w:pPr>
        <w:numPr>
          <w:ilvl w:val="1"/>
          <w:numId w:val="1015"/>
        </w:numPr>
        <w:pStyle w:val="Compact"/>
      </w:pPr>
      <w:r>
        <w:t xml:space="preserve">Recyclability Percentage: 70% [cite: qkupjjhkim]</w:t>
      </w:r>
    </w:p>
    <w:p>
      <w:pPr>
        <w:numPr>
          <w:ilvl w:val="1"/>
          <w:numId w:val="1015"/>
        </w:numPr>
        <w:pStyle w:val="Compact"/>
      </w:pPr>
      <w:r>
        <w:t xml:space="preserve">Circular/Take-back Programs: 10% return rate [cite: ovzzlmszli]. This means effectively 80% (70% + 10%) of the material is diverted from landfill.</w:t>
      </w:r>
    </w:p>
    <w:p>
      <w:pPr>
        <w:numPr>
          <w:ilvl w:val="1"/>
          <w:numId w:val="1015"/>
        </w:numPr>
        <w:pStyle w:val="Compact"/>
      </w:pPr>
      <w:r>
        <w:t xml:space="preserve">Portion for disposal: 0.95 kg * (1 - 0.70 - 0.10) = 0.95 kg * 0.20 = 0.19 kg</w:t>
      </w:r>
    </w:p>
    <w:p>
      <w:pPr>
        <w:numPr>
          <w:ilvl w:val="1"/>
          <w:numId w:val="1015"/>
        </w:numPr>
        <w:pStyle w:val="Compact"/>
      </w:pPr>
      <w:r>
        <w:t xml:space="preserve">Disposal Emission Factor (illustrative): 0.2 kgCO2e/kg</w:t>
      </w:r>
    </w:p>
    <w:p>
      <w:pPr>
        <w:numPr>
          <w:ilvl w:val="1"/>
          <w:numId w:val="1015"/>
        </w:numPr>
        <w:pStyle w:val="Compact"/>
      </w:pPr>
      <w:r>
        <w:t xml:space="preserve">Disposal Emissions = 0.19 kg * 0.2 kgCO2e/kg = 0.038 kgCO2e</w:t>
      </w:r>
    </w:p>
    <w:p>
      <w:pPr>
        <w:numPr>
          <w:ilvl w:val="1"/>
          <w:numId w:val="1015"/>
        </w:numPr>
        <w:pStyle w:val="Compact"/>
      </w:pPr>
      <w:r>
        <w:t xml:space="preserve">Recycling/Circular Credit: Given the high recyclability and take-back programs, a net avoided emission credit is applied for the 80% diverted material (illustrative avoided EF of -0.5 kgCO2e/kg for successful recycling/reuse processes).</w:t>
      </w:r>
    </w:p>
    <w:p>
      <w:pPr>
        <w:numPr>
          <w:ilvl w:val="2"/>
          <w:numId w:val="1016"/>
        </w:numPr>
        <w:pStyle w:val="Compact"/>
      </w:pPr>
      <w:r>
        <w:t xml:space="preserve">Credit = (0.95 kg * 0.80) * -0.5 kgCO2e/kg = -0.38 kgCO2e</w:t>
      </w:r>
    </w:p>
    <w:p>
      <w:pPr>
        <w:numPr>
          <w:ilvl w:val="1"/>
          <w:numId w:val="1015"/>
        </w:numPr>
        <w:pStyle w:val="Compact"/>
      </w:pPr>
      <w:r>
        <w:rPr>
          <w:bCs/>
          <w:b/>
        </w:rPr>
        <w:t xml:space="preserve">Net EoL Emissions = 0.038 kgCO2e - 0.38 kgCO2e = -0.34 kgCO2e</w:t>
      </w:r>
      <w:r>
        <w:t xml:space="preserve"> </w:t>
      </w:r>
      <w:r>
        <w:t xml:space="preserve">(credit)</w:t>
      </w:r>
    </w:p>
    <w:bookmarkEnd w:id="31"/>
    <w:bookmarkEnd w:id="32"/>
    <w:bookmarkStart w:id="33"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released on January 30, 2026, and effective January 1, 2027, provides requirements and guidance for accounting and reporting land-related GHG emissions and carbon removals. While this PCF is for a manufactured product and direct land-use change data for "dssovvnjdm" itself is not provided, the LSR Standard would be critical for any upstream agricultural or forestry components if they were part of the detailed BOM. It guides how to account for land management, land use change, biogenic products, and technological CO2 removals. The accompanying Guidance is expected in Q2 2026 to provide further implementation support. For xfpupsnrvq\'s broader corporate GHG inventory or if "dssovvnjdm" had significant bio-based materials, the LSR Standard would ensure transparent tracking and reporting of land-based impacts and removals.</w:t>
      </w:r>
    </w:p>
    <w:bookmarkEnd w:id="33"/>
    <w:bookmarkStart w:id="34" w:name="scope-3-compliance-95-coverage"/>
    <w:p>
      <w:pPr>
        <w:pStyle w:val="Heading3"/>
      </w:pPr>
      <w:r>
        <w:t xml:space="preserve">4.5. Scope 3 Compliance (95% Coverage)</w:t>
      </w:r>
    </w:p>
    <w:p>
      <w:pPr>
        <w:pStyle w:val="FirstParagraph"/>
      </w:pPr>
      <w:r>
        <w:t xml:space="preserve">As per the proposed 2026 GHG Protocol revisions to the Scope 3 Standard, companies will need to account for and report at least 95% of total required Scope 3 emissions, with exclusions not exceeding 5%. This analysis incorporates detailed Bill of Materials, transport logistics, use-phase energy, and end-of-life scenarios, which are typically the most significant contributors to a product\'s Scope 3 footprint. The granular data provided and simulated in this report aims to achieve a high level of Scope 3 coverage, aligning with these stringent upcoming requirements for comprehensive and transparent reporting.</w:t>
      </w:r>
    </w:p>
    <w:bookmarkEnd w:id="34"/>
    <w:bookmarkStart w:id="35" w:name="summary-of-emissions-by-scope"/>
    <w:p>
      <w:pPr>
        <w:pStyle w:val="Heading3"/>
      </w:pPr>
      <w:r>
        <w:t xml:space="preserve">4.6. Summary of Emissions by Scope</w:t>
      </w:r>
    </w:p>
    <w:p>
      <w:pPr>
        <w:pStyle w:val="FirstParagraph"/>
      </w:pPr>
      <w:r>
        <w:t xml:space="preserve">The total Product Carbon Footprint for one unit of dssovvnjdm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3.00</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12.25</w:t>
            </w:r>
          </w:p>
        </w:tc>
      </w:tr>
      <w:tr>
        <w:tc>
          <w:tcPr/>
          <w:p>
            <w:pPr>
              <w:pStyle w:val="Compact"/>
              <w:jc w:val="left"/>
            </w:pPr>
            <w:r>
              <w:t xml:space="preserve">Scope 3 Upstream</w:t>
            </w:r>
          </w:p>
        </w:tc>
        <w:tc>
          <w:tcPr/>
          <w:p>
            <w:pPr>
              <w:pStyle w:val="Compact"/>
              <w:jc w:val="left"/>
            </w:pPr>
            <w:r>
              <w:t xml:space="preserve">Inbound Transportation</w:t>
            </w:r>
          </w:p>
        </w:tc>
        <w:tc>
          <w:tcPr/>
          <w:p>
            <w:pPr>
              <w:pStyle w:val="Compact"/>
              <w:jc w:val="left"/>
            </w:pPr>
            <w:r>
              <w:t xml:space="preserve">0.14</w:t>
            </w:r>
          </w:p>
        </w:tc>
      </w:tr>
      <w:tr>
        <w:tc>
          <w:tcPr/>
          <w:p>
            <w:pPr>
              <w:pStyle w:val="Compact"/>
              <w:jc w:val="left"/>
            </w:pPr>
            <w:r>
              <w:t xml:space="preserve">Scope 3 Downstream</w:t>
            </w:r>
          </w:p>
        </w:tc>
        <w:tc>
          <w:tcPr/>
          <w:p>
            <w:pPr>
              <w:pStyle w:val="Compact"/>
              <w:jc w:val="left"/>
            </w:pPr>
            <w:r>
              <w:t xml:space="preserve">Outbound Transportation &amp; Distribution</w:t>
            </w:r>
          </w:p>
        </w:tc>
        <w:tc>
          <w:tcPr/>
          <w:p>
            <w:pPr>
              <w:pStyle w:val="Compact"/>
              <w:jc w:val="left"/>
            </w:pPr>
            <w:r>
              <w:t xml:space="preserve">0.56</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6.25</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-0.34</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21.86</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analysis"/>
    <w:p>
      <w:pPr>
        <w:pStyle w:val="Heading3"/>
      </w:pPr>
      <w:r>
        <w:t xml:space="preserve">5.1. Hotspot Analysis</w:t>
      </w:r>
    </w:p>
    <w:p>
      <w:pPr>
        <w:pStyle w:val="FirstParagraph"/>
      </w:pPr>
      <w:r>
        <w:t xml:space="preserve">Based on the calculations, the primary emissions hotspots for dssovvnjdm are:</w:t>
      </w:r>
    </w:p>
    <w:p>
      <w:pPr>
        <w:numPr>
          <w:ilvl w:val="0"/>
          <w:numId w:val="1017"/>
        </w:numPr>
        <w:pStyle w:val="Compact"/>
      </w:pPr>
      <w:r>
        <w:rPr>
          <w:bCs/>
          <w:b/>
        </w:rPr>
        <w:t xml:space="preserve">Materials Acquisition &amp; Pre-processing (56% of total PCF excluding EoL credit):</w:t>
      </w:r>
      <w:r>
        <w:t xml:space="preserve"> </w:t>
      </w:r>
      <w:r>
        <w:t xml:space="preserve">The production of raw materials, particularly the "Aluminum Casing" and "Printed Circuit Board," contributes the largest share of the product\'s footprint. This highlights the high embodied carbon of these components.</w:t>
      </w:r>
    </w:p>
    <w:p>
      <w:pPr>
        <w:numPr>
          <w:ilvl w:val="0"/>
          <w:numId w:val="1017"/>
        </w:numPr>
        <w:pStyle w:val="Compact"/>
      </w:pPr>
      <w:r>
        <w:rPr>
          <w:bCs/>
          <w:b/>
        </w:rPr>
        <w:t xml:space="preserve">Use Phase (29% of total PCF excluding EoL credit):</w:t>
      </w:r>
      <w:r>
        <w:t xml:space="preserve"> </w:t>
      </w:r>
      <w:r>
        <w:t xml:space="preserve">The energy consumption during the 5-year lifespan of the product significantly impacts its overall footprint, indicating user behavior and regional electricity mix are crucial factors.</w:t>
      </w:r>
    </w:p>
    <w:p>
      <w:pPr>
        <w:numPr>
          <w:ilvl w:val="0"/>
          <w:numId w:val="1017"/>
        </w:numPr>
        <w:pStyle w:val="Compact"/>
      </w:pPr>
      <w:r>
        <w:rPr>
          <w:bCs/>
          <w:b/>
        </w:rPr>
        <w:t xml:space="preserve">Purchased Electricity for Manufacturing (14% of total PCF excluding EoL credit):</w:t>
      </w:r>
      <w:r>
        <w:t xml:space="preserve"> </w:t>
      </w:r>
      <w:r>
        <w:t xml:space="preserve">While partially offset by renewable energy usage, the remaining grid electricity still represents a notable portion of the emissions.</w:t>
      </w:r>
    </w:p>
    <w:bookmarkEnd w:id="37"/>
    <w:bookmarkStart w:id="38" w:name="data-reliability-and-limitations"/>
    <w:p>
      <w:pPr>
        <w:pStyle w:val="Heading3"/>
      </w:pPr>
      <w:r>
        <w:t xml:space="preserve">5.2. Data Reliability and Limitations</w:t>
      </w:r>
    </w:p>
    <w:p>
      <w:pPr>
        <w:pStyle w:val="FirstParagraph"/>
      </w:pPr>
      <w:r>
        <w:t xml:space="preserve">This report utilized specific parameters provided by xfpupsnrvq (e.g., BOM, energy intensity, lifespan, recyclability) ensuring a high level of detail for those inputs. Where specific emission factors were not provided (e.g., for transport modes, grid mixes), industry-standard secondary data (e.g., from Ecoinvent/DEFRA equivalents) were used. The accuracy could be further enhanced by incorporating more primary, supplier-specific data across the entire value chain, particularly for material production and transport activities, rather than relying on illustrative estimates.</w:t>
      </w:r>
    </w:p>
    <w:bookmarkEnd w:id="38"/>
    <w:bookmarkStart w:id="39" w:name="recommendations-for-emissions-reduction"/>
    <w:p>
      <w:pPr>
        <w:pStyle w:val="Heading3"/>
      </w:pPr>
      <w:r>
        <w:t xml:space="preserve">5.3. Recommendations for Emissions Reduction</w:t>
      </w:r>
    </w:p>
    <w:p>
      <w:pPr>
        <w:numPr>
          <w:ilvl w:val="0"/>
          <w:numId w:val="1018"/>
        </w:numPr>
        <w:pStyle w:val="Compact"/>
      </w:pPr>
      <w:r>
        <w:rPr>
          <w:bCs/>
          <w:b/>
        </w:rPr>
        <w:t xml:space="preserve">Material Optimization:</w:t>
      </w:r>
    </w:p>
    <w:p>
      <w:pPr>
        <w:numPr>
          <w:ilvl w:val="1"/>
          <w:numId w:val="1019"/>
        </w:numPr>
        <w:pStyle w:val="Compact"/>
      </w:pPr>
      <w:r>
        <w:t xml:space="preserve">Explore alternative materials with lower embodied carbon for components like aluminum and PCBs.</w:t>
      </w:r>
    </w:p>
    <w:p>
      <w:pPr>
        <w:numPr>
          <w:ilvl w:val="1"/>
          <w:numId w:val="1019"/>
        </w:numPr>
        <w:pStyle w:val="Compact"/>
      </w:pPr>
      <w:r>
        <w:t xml:space="preserve">Work with suppliers to reduce the carbon footprint of material production processes.</w:t>
      </w:r>
    </w:p>
    <w:p>
      <w:pPr>
        <w:numPr>
          <w:ilvl w:val="0"/>
          <w:numId w:val="1018"/>
        </w:numPr>
        <w:pStyle w:val="Compact"/>
      </w:pPr>
      <w:r>
        <w:rPr>
          <w:bCs/>
          <w:b/>
        </w:rPr>
        <w:t xml:space="preserve">Enhance Manufacturing Efficiency &amp; Renewable Energy:</w:t>
      </w:r>
    </w:p>
    <w:p>
      <w:pPr>
        <w:numPr>
          <w:ilvl w:val="1"/>
          <w:numId w:val="1020"/>
        </w:numPr>
        <w:pStyle w:val="Compact"/>
      </w:pPr>
      <w:r>
        <w:t xml:space="preserve">Increase the percentage of renewable energy used in manufacturing beyond the current 50% target.</w:t>
      </w:r>
    </w:p>
    <w:p>
      <w:pPr>
        <w:numPr>
          <w:ilvl w:val="1"/>
          <w:numId w:val="1020"/>
        </w:numPr>
        <w:pStyle w:val="Compact"/>
      </w:pPr>
      <w:r>
        <w:t xml:space="preserve">Implement energy-efficiency measures in the production facility to reduce overall energy intensity.</w:t>
      </w:r>
    </w:p>
    <w:p>
      <w:pPr>
        <w:numPr>
          <w:ilvl w:val="0"/>
          <w:numId w:val="1018"/>
        </w:numPr>
        <w:pStyle w:val="Compact"/>
      </w:pPr>
      <w:r>
        <w:rPr>
          <w:bCs/>
          <w:b/>
        </w:rPr>
        <w:t xml:space="preserve">Reduce Use Phase Impact:</w:t>
      </w:r>
    </w:p>
    <w:p>
      <w:pPr>
        <w:numPr>
          <w:ilvl w:val="1"/>
          <w:numId w:val="1021"/>
        </w:numPr>
        <w:pStyle w:val="Compact"/>
      </w:pPr>
      <w:r>
        <w:t xml:space="preserve">Invest in product design for energy efficiency to minimize energy consumption during the 5-year lifespan.</w:t>
      </w:r>
    </w:p>
    <w:p>
      <w:pPr>
        <w:numPr>
          <w:ilvl w:val="1"/>
          <w:numId w:val="1021"/>
        </w:numPr>
        <w:pStyle w:val="Compact"/>
      </w:pPr>
      <w:r>
        <w:t xml:space="preserve">Educate consumers on energy-efficient usage and highlight the importance of renewable energy adoption in their regions.</w:t>
      </w:r>
    </w:p>
    <w:p>
      <w:pPr>
        <w:numPr>
          <w:ilvl w:val="0"/>
          <w:numId w:val="1018"/>
        </w:numPr>
        <w:pStyle w:val="Compact"/>
      </w:pPr>
      <w:r>
        <w:rPr>
          <w:bCs/>
          <w:b/>
        </w:rPr>
        <w:t xml:space="preserve">Strengthen Circularity:</w:t>
      </w:r>
    </w:p>
    <w:p>
      <w:pPr>
        <w:numPr>
          <w:ilvl w:val="1"/>
          <w:numId w:val="1022"/>
        </w:numPr>
        <w:pStyle w:val="Compact"/>
      </w:pPr>
      <w:r>
        <w:t xml:space="preserve">Further expand circular and take-back programs to increase the return rate beyond 10% and maximize material recovery.</w:t>
      </w:r>
    </w:p>
    <w:p>
      <w:pPr>
        <w:numPr>
          <w:ilvl w:val="1"/>
          <w:numId w:val="1022"/>
        </w:numPr>
        <w:pStyle w:val="Compact"/>
      </w:pPr>
      <w:r>
        <w:t xml:space="preserve">Design for disassembly and repairability to extend product lifespan and facilitate high-quality recycling.</w:t>
      </w:r>
    </w:p>
    <w:p>
      <w:pPr>
        <w:numPr>
          <w:ilvl w:val="0"/>
          <w:numId w:val="1018"/>
        </w:numPr>
        <w:pStyle w:val="Compact"/>
      </w:pPr>
      <w:r>
        <w:rPr>
          <w:bCs/>
          <w:b/>
        </w:rPr>
        <w:t xml:space="preserve">Supply Chain Engagement:</w:t>
      </w:r>
      <w:r>
        <w:t xml:space="preserve"> </w:t>
      </w:r>
      <w:r>
        <w:t xml:space="preserve">Engage with logistics partners to explore lower-carbon transport options for both inbound and outbound movements.</w:t>
      </w:r>
    </w:p>
    <w:p>
      <w:r>
        <w:pict>
          <v:rect style="width:0;height:1.5pt" o:hralign="center" o:hrstd="t" o:hr="t"/>
        </w:pict>
      </w:r>
    </w:p>
    <w:p>
      <w:pPr>
        <w:pStyle w:val="FirstParagraph"/>
      </w:pPr>
      <w:r>
        <w:t xml:space="preserve">Confidential - Internal Use Only | Generated Date: June 1, 2026</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dssovvnjdm - xfpupsnrvq</dc:title>
  <dc:creator/>
  <dc:description>High-detail Product Carbon Footprint (PCF) analysis report for dssovvnjdm, performed by Senior Sustainability Consultant fpvxjstwfv for xfpupsnrvq, adhering to GHG Protocol standards and 2026 updates.</dc:description>
  <dc:language>en</dc:language>
  <cp:keywords/>
  <dcterms:created xsi:type="dcterms:W3CDTF">2026-07-15T10:18:21Z</dcterms:created>
  <dcterms:modified xsi:type="dcterms:W3CDTF">2026-07-15T10:18:21Z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