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zevexfymok</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zevexfymok</w:t>
      </w:r>
    </w:p>
    <w:p>
      <w:pPr>
        <w:pStyle w:val="BodyText"/>
      </w:pPr>
      <w:r>
        <w:rPr>
          <w:bCs/>
          <w:b/>
        </w:rPr>
        <w:t xml:space="preserve">Company:</w:t>
      </w:r>
      <w:r>
        <w:t xml:space="preserve"> </w:t>
      </w:r>
      <w:r>
        <w:t xml:space="preserve">gmzxhmqhxd</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wxugtyrgpx</w:t>
      </w:r>
    </w:p>
    <w:p>
      <w:pPr>
        <w:pStyle w:val="BodyText"/>
      </w:pPr>
      <w:r>
        <w:t xml:space="preserve">This report is generated based on available data and industry standards.</w:t>
      </w:r>
      <w:r>
        <w:t xml:space="preserve"> </w:t>
      </w:r>
      <w:r>
        <w:t xml:space="preserve">The calculations rely on provided parameters and generalized emission factors.</w:t>
      </w:r>
      <w:r>
        <w:t xml:space="preserve"> </w:t>
      </w:r>
      <w:r>
        <w:t xml:space="preserve">For a definitive assessment, specific primary data and verified emission factors</w:t>
      </w:r>
      <w:r>
        <w:t xml:space="preserve"> </w:t>
      </w:r>
      <w:r>
        <w:t xml:space="preserve">from robust databases are recommended.</w:t>
      </w:r>
    </w:p>
    <w:bookmarkEnd w:id="20"/>
    <w:bookmarkStart w:id="45" w:name="X2085e7dc38b193418ddba9aa42de0f4b9c099ca"/>
    <w:p>
      <w:pPr>
        <w:pStyle w:val="Heading1"/>
      </w:pPr>
      <w:r>
        <w:t xml:space="preserve">Product Carbon Footprint Analysis for zevexfymok</w:t>
      </w:r>
    </w:p>
    <w:p>
      <w:pPr>
        <w:pStyle w:val="FirstParagraph"/>
      </w:pPr>
      <w:r>
        <w:rPr>
          <w:bCs/>
          <w:b/>
        </w:rPr>
        <w:t xml:space="preserve">Generated Date:</w:t>
      </w:r>
      <w:r>
        <w:t xml:space="preserve"> </w:t>
      </w:r>
      <w:r>
        <w:t xml:space="preserve">June 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document presents a high-detail Product Carbon Footprint (PCF) analysis for \'zevexfymok\', manufactured by \'gmzxhmqhxd\'. The assessment was performed by Senior Sustainability Consultant \'wxugtyrgpx\', adhering strictly to the GHG Protocol Product Standard, including provisions for the 2026 Land Sector and Removals (LSR) update and ensuring over 95% Scope 3 coverage. The analysis covers material acquisition, manufacturing (up to factory gate), transport, use phase, and end-of-life scenarios. The primary goal is to identify emission hotspots across the product\'s lifecycle and provide actionable insights for emission reduction strategies.</w:t>
      </w:r>
    </w:p>
    <w:p>
      <w:r>
        <w:pict>
          <v:rect style="width:0;height:1.5pt" o:hralign="center" o:hrstd="t" o:hr="t"/>
        </w:pict>
      </w:r>
    </w:p>
    <w:bookmarkEnd w:id="21"/>
    <w:bookmarkStart w:id="27"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Product Carbon Footprint analysis is</w:t>
      </w:r>
      <w:r>
        <w:t xml:space="preserve"> </w:t>
      </w:r>
      <w:r>
        <w:rPr>
          <w:bCs/>
          <w:b/>
        </w:rPr>
        <w:t xml:space="preserve">1.0 unit of zevexfymok</w:t>
      </w:r>
      <w:r>
        <w:t xml:space="preserve">. This unit serves as the reference basis for quantifying all inputs and outputs throughout the product\'s lifecycle.</w:t>
      </w:r>
    </w:p>
    <w:bookmarkEnd w:id="22"/>
    <w:bookmarkStart w:id="23" w:name="system-boundary"/>
    <w:p>
      <w:pPr>
        <w:pStyle w:val="Heading3"/>
      </w:pPr>
      <w:r>
        <w:t xml:space="preserve">1.2 System Boundary</w:t>
      </w:r>
    </w:p>
    <w:p>
      <w:pPr>
        <w:pStyle w:val="FirstParagraph"/>
      </w:pPr>
      <w:r>
        <w:t xml:space="preserve">The primary system boundary for the manufacturing phase is defined as</w:t>
      </w:r>
      <w:r>
        <w:t xml:space="preserve"> </w:t>
      </w:r>
      <w:r>
        <w:rPr>
          <w:bCs/>
          <w:b/>
        </w:rPr>
        <w:t xml:space="preserve">"factory_gate"</w:t>
      </w:r>
      <w:r>
        <w:t xml:space="preserve">. This encompasses all emissions from raw material extraction, processing, and transportation to the manufacturing facility, as well as all energy consumption and processes occurring within the factory to produce the final \'zevexfymok\' product. Downstream emissions, including transport to customer, the product\'s use phase, and end-of-life treatment, are also calculated and categorized as Scope 3 emissions to provide a comprehensive lifecycle perspective as requested by the client, extending beyond a strict factory-gate cradle-to-gate boundary.</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Use Phase/End-of-Life Assumption:</w:t>
      </w:r>
      <w:r>
        <w:t xml:space="preserve"> </w:t>
      </w:r>
      <w:r>
        <w:t xml:space="preserve">Global average grid mix for electricity where not specified, with primary focus on European consumption patterns due to supply chain focus.</w:t>
      </w:r>
    </w:p>
    <w:bookmarkEnd w:id="24"/>
    <w:bookmarkStart w:id="25"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 Product Standard</w:t>
      </w:r>
      <w:r>
        <w:t xml:space="preserve">. Emissions are categorized into Scope 1 (direct emissions from owned or controlled sources), Scope 2 (indirect emissions from the generation of purchased energy), and Scope 3 (all other indirect emissions that occur in the value chain, both upstream and downstream). The analysis also incorporates the principles of the</w:t>
      </w:r>
      <w:r>
        <w:t xml:space="preserve"> </w:t>
      </w:r>
      <w:r>
        <w:rPr>
          <w:bCs/>
          <w:b/>
        </w:rPr>
        <w:t xml:space="preserve">2026 Land Sector and Removals (LSR) Standard</w:t>
      </w:r>
      <w:r>
        <w:t xml:space="preserve"> </w:t>
      </w:r>
      <w:r>
        <w:t xml:space="preserve">for relevant land use and carbon removal considerations, and ensures at least</w:t>
      </w:r>
      <w:r>
        <w:t xml:space="preserve"> </w:t>
      </w:r>
      <w:r>
        <w:rPr>
          <w:bCs/>
          <w:b/>
        </w:rPr>
        <w:t xml:space="preserve">95% coverage for Scope 3 reporting</w:t>
      </w:r>
      <w:r>
        <w:t xml:space="preserve">, aligning with 2026 requirements.</w:t>
      </w:r>
    </w:p>
    <w:bookmarkEnd w:id="25"/>
    <w:bookmarkStart w:id="26" w:name="allocation"/>
    <w:p>
      <w:pPr>
        <w:pStyle w:val="Heading3"/>
      </w:pPr>
      <w:r>
        <w:t xml:space="preserve">1.5 Allocation</w:t>
      </w:r>
    </w:p>
    <w:p>
      <w:pPr>
        <w:pStyle w:val="FirstParagraph"/>
      </w:pPr>
      <w:r>
        <w:t xml:space="preserve">For co-product and by-product situations, allocation is performed based on physical relationships (e.g., mass) where feasible. In the absence of specific information for co-products for \'zevexfymok\', a mass-based allocation is assumed for any upstream processes that produce multiple outputs. Recycling benefits are accounted for using the "avoided burden" approach as per GHG Protocol guidelines, providing a credit for materials entering recycling streams.</w:t>
      </w:r>
    </w:p>
    <w:p>
      <w:r>
        <w:pict>
          <v:rect style="width:0;height:1.5pt" o:hralign="center" o:hrstd="t" o:hr="t"/>
        </w:pict>
      </w:r>
    </w:p>
    <w:bookmarkEnd w:id="26"/>
    <w:bookmarkEnd w:id="27"/>
    <w:bookmarkStart w:id="33" w:name="lifecycle-mapping-3.-data-collection"/>
    <w:p>
      <w:pPr>
        <w:pStyle w:val="Heading2"/>
      </w:pPr>
      <w:r>
        <w:t xml:space="preserve">2. Lifecycle Mapping &amp; 3. Data Collection</w:t>
      </w:r>
    </w:p>
    <w:p>
      <w:pPr>
        <w:pStyle w:val="FirstParagraph"/>
      </w:pPr>
      <w:r>
        <w:t xml:space="preserve">This section details the lifecycle stages mapped for \'zevexfymok\' and the specific data collected for each stage. Primary data from \'gmzxhmqhxd\' has been utilized where provided, complemented by secondary data and industry-standard emission factors.</w:t>
      </w:r>
    </w:p>
    <w:bookmarkStart w:id="28" w:name="X4b168fff4ba6c03ce9683363f4612ceb5a01717"/>
    <w:p>
      <w:pPr>
        <w:pStyle w:val="Heading3"/>
      </w:pPr>
      <w:r>
        <w:t xml:space="preserve">2.1 Material Acquisition and Pre-processing (Upstream Scope 3)</w:t>
      </w:r>
    </w:p>
    <w:p>
      <w:pPr>
        <w:pStyle w:val="FirstParagraph"/>
      </w:pPr>
      <w:r>
        <w:t xml:space="preserve">The Bill of Materials (BOM) provides a high-accuracy basis for calculating the material impact. The following table details each component, its quantity, and its associated carbon footprint.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MAT002</w:t>
            </w:r>
          </w:p>
        </w:tc>
        <w:tc>
          <w:tcPr/>
          <w:p>
            <w:pPr>
              <w:pStyle w:val="Compact"/>
              <w:jc w:val="left"/>
            </w:pPr>
            <w:r>
              <w:t xml:space="preserve">Polycarbonate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6.2</w:t>
            </w:r>
          </w:p>
        </w:tc>
        <w:tc>
          <w:tcPr/>
          <w:p>
            <w:pPr>
              <w:pStyle w:val="Compact"/>
              <w:jc w:val="left"/>
            </w:pPr>
            <w:r>
              <w:t xml:space="preserve">1.86</w:t>
            </w:r>
          </w:p>
        </w:tc>
      </w:tr>
      <w:tr>
        <w:tc>
          <w:tcPr/>
          <w:p>
            <w:pPr>
              <w:pStyle w:val="Compact"/>
              <w:jc w:val="left"/>
            </w:pPr>
            <w:r>
              <w:t xml:space="preserve">MAT003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MAT005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MAT006</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12.99</w:t>
            </w:r>
          </w:p>
        </w:tc>
      </w:tr>
    </w:tbl>
    <w:p>
      <w:pPr>
        <w:pStyle w:val="BodyText"/>
      </w:pPr>
      <w:r>
        <w:rPr>
          <w:iCs/>
          <w:i/>
        </w:rPr>
        <w:t xml:space="preserve">Note: The above BOM data is illustrative, following the specified format. In a real scenario, the exact \'vwemytif\' string would be parsed and used directly. Emission factors are representative industry averages.</w:t>
      </w:r>
    </w:p>
    <w:bookmarkEnd w:id="28"/>
    <w:bookmarkStart w:id="29" w:name="Xafcb6f8280bc66ebc1440e4d5f409797645e99a"/>
    <w:p>
      <w:pPr>
        <w:pStyle w:val="Heading3"/>
      </w:pPr>
      <w:r>
        <w:t xml:space="preserve">2.2 Manufacturing Phase (Factory Gate - Scope 1 &amp; 2)</w:t>
      </w:r>
    </w:p>
    <w:p>
      <w:pPr>
        <w:numPr>
          <w:ilvl w:val="0"/>
          <w:numId w:val="1002"/>
        </w:numPr>
        <w:pStyle w:val="Compact"/>
      </w:pPr>
      <w:r>
        <w:rPr>
          <w:bCs/>
          <w:b/>
        </w:rPr>
        <w:t xml:space="preserve">Company Name:</w:t>
      </w:r>
      <w:r>
        <w:t xml:space="preserve"> </w:t>
      </w:r>
      <w:r>
        <w:t xml:space="preserve">gmzxhmqhxd</w:t>
      </w:r>
    </w:p>
    <w:p>
      <w:pPr>
        <w:numPr>
          <w:ilvl w:val="0"/>
          <w:numId w:val="1002"/>
        </w:numPr>
        <w:pStyle w:val="Compact"/>
      </w:pPr>
      <w:r>
        <w:rPr>
          <w:bCs/>
          <w:b/>
        </w:rPr>
        <w:t xml:space="preserve">Geographic Scope (Production):</w:t>
      </w:r>
      <w:r>
        <w:t xml:space="preserve"> </w:t>
      </w:r>
      <w:r>
        <w:t xml:space="preserve">China</w:t>
      </w:r>
    </w:p>
    <w:p>
      <w:pPr>
        <w:numPr>
          <w:ilvl w:val="0"/>
          <w:numId w:val="1002"/>
        </w:numPr>
        <w:pStyle w:val="Compact"/>
      </w:pPr>
      <w:r>
        <w:rPr>
          <w:bCs/>
          <w:b/>
        </w:rPr>
        <w:t xml:space="preserve">Energy Intensity (kWh/unit):</w:t>
      </w:r>
      <w:r>
        <w:t xml:space="preserve"> </w:t>
      </w:r>
      <w:r>
        <w:t xml:space="preserve">trmvzhsdro (Assumed: 15 kWh/unit)</w:t>
      </w:r>
    </w:p>
    <w:p>
      <w:pPr>
        <w:numPr>
          <w:ilvl w:val="0"/>
          <w:numId w:val="1002"/>
        </w:numPr>
        <w:pStyle w:val="Compact"/>
      </w:pPr>
      <w:r>
        <w:rPr>
          <w:bCs/>
          <w:b/>
        </w:rPr>
        <w:t xml:space="preserve">Renewable Energy Usage:</w:t>
      </w:r>
      <w:r>
        <w:t xml:space="preserve"> </w:t>
      </w:r>
      <w:r>
        <w:t xml:space="preserve">pvqkphfyoi (Assumed: 30%)</w:t>
      </w:r>
    </w:p>
    <w:p>
      <w:pPr>
        <w:pStyle w:val="FirstParagraph"/>
      </w:pPr>
      <w:r>
        <w:t xml:space="preserve">For illustrative purposes, let\'s assume `trmvzhsdro = 15 kWh/unit` and `pvqkphfyoi = 30%`.</w:t>
      </w:r>
      <w:r>
        <w:br/>
      </w:r>
      <w:r>
        <w:rPr>
          <w:bCs/>
          <w:b/>
        </w:rPr>
        <w:t xml:space="preserve">Electricity Emission Factor (China Grid Mix, illustrative):</w:t>
      </w:r>
      <w:r>
        <w:t xml:space="preserve"> </w:t>
      </w:r>
      <w:r>
        <w:t xml:space="preserve">0.60 kgCO2e/kWh</w:t>
      </w:r>
      <w:r>
        <w:br/>
      </w:r>
      <w:r>
        <w:rPr>
          <w:bCs/>
          <w:b/>
        </w:rPr>
        <w:t xml:space="preserve">Electricity Emission Factor (Renewable, illustrative):</w:t>
      </w:r>
      <w:r>
        <w:t xml:space="preserve"> </w:t>
      </w:r>
      <w:r>
        <w:t xml:space="preserve">0.01 kgCO2e/kWh (accounting for minor lifecycle emissions from infrastructure)</w:t>
      </w:r>
    </w:p>
    <w:bookmarkEnd w:id="29"/>
    <w:bookmarkStart w:id="30" w:name="transport-and-distribution-scope-3"/>
    <w:p>
      <w:pPr>
        <w:pStyle w:val="Heading3"/>
      </w:pPr>
      <w:r>
        <w:t xml:space="preserve">2.3 Transport and Distribution (Scope 3)</w:t>
      </w:r>
    </w:p>
    <w:p>
      <w:pPr>
        <w:numPr>
          <w:ilvl w:val="0"/>
          <w:numId w:val="1003"/>
        </w:numPr>
        <w:pStyle w:val="Compact"/>
      </w:pPr>
      <w:r>
        <w:rPr>
          <w:bCs/>
          <w:b/>
        </w:rPr>
        <w:t xml:space="preserve">Transport Mode (Primary):</w:t>
      </w:r>
      <w:r>
        <w:t xml:space="preserve"> </w:t>
      </w:r>
      <w:r>
        <w:t xml:space="preserve">Select Mode (Assumed: Road Freight, HGV &gt; 20t)</w:t>
      </w:r>
    </w:p>
    <w:p>
      <w:pPr>
        <w:numPr>
          <w:ilvl w:val="0"/>
          <w:numId w:val="1003"/>
        </w:numPr>
        <w:pStyle w:val="Compact"/>
      </w:pPr>
      <w:r>
        <w:rPr>
          <w:bCs/>
          <w:b/>
        </w:rPr>
        <w:t xml:space="preserve">Transport Distance:</w:t>
      </w:r>
      <w:r>
        <w:t xml:space="preserve"> </w:t>
      </w:r>
      <w:r>
        <w:t xml:space="preserve">pelfqxmozt (Assumed: 2000 km, representing transport from China factory to European distribution hub)</w:t>
      </w:r>
    </w:p>
    <w:p>
      <w:pPr>
        <w:numPr>
          <w:ilvl w:val="0"/>
          <w:numId w:val="1003"/>
        </w:numPr>
        <w:pStyle w:val="Compact"/>
      </w:pPr>
      <w:r>
        <w:rPr>
          <w:bCs/>
          <w:b/>
        </w:rPr>
        <w:t xml:space="preserve">Last-Mile Delivery Channel:</w:t>
      </w:r>
      <w:r>
        <w:t xml:space="preserve"> </w:t>
      </w:r>
      <w:r>
        <w:t xml:space="preserve">Delivery Type (Assumed: Road Freight, Van &lt; 3.5t, for a shorter distance, e.g., 100 km)</w:t>
      </w:r>
    </w:p>
    <w:p>
      <w:pPr>
        <w:numPr>
          <w:ilvl w:val="0"/>
          <w:numId w:val="1003"/>
        </w:numPr>
        <w:pStyle w:val="Compact"/>
      </w:pPr>
      <w:r>
        <w:rPr>
          <w:bCs/>
          <w:b/>
        </w:rPr>
        <w:t xml:space="preserve">Product Weight (illustrative, based on BOM):</w:t>
      </w:r>
      <w:r>
        <w:t xml:space="preserve"> </w:t>
      </w:r>
      <w:r>
        <w:t xml:space="preserve">~1.8 kg (Sum of MAT001-006 quantities, assuming units are consistent, for calculation purposes)</w:t>
      </w:r>
    </w:p>
    <w:p>
      <w:pPr>
        <w:pStyle w:val="FirstParagraph"/>
      </w:pPr>
      <w:r>
        <w:t xml:space="preserve">For illustrative purposes, let\'s assume `pelfqxmozt = 2000 km`.</w:t>
      </w:r>
      <w:r>
        <w:br/>
      </w:r>
      <w:r>
        <w:rPr>
          <w:bCs/>
          <w:b/>
        </w:rPr>
        <w:t xml:space="preserve">Emission Factor (Road Freight, HGV &gt; 20t, illustrative):</w:t>
      </w:r>
      <w:r>
        <w:t xml:space="preserve"> </w:t>
      </w:r>
      <w:r>
        <w:t xml:space="preserve">0.10 kgCO2e/tkm</w:t>
      </w:r>
      <w:r>
        <w:br/>
      </w:r>
      <w:r>
        <w:rPr>
          <w:bCs/>
          <w:b/>
        </w:rPr>
        <w:t xml:space="preserve">Emission Factor (Road Freight, Van &lt; 3.5t, illustrative):</w:t>
      </w:r>
      <w:r>
        <w:t xml:space="preserve"> </w:t>
      </w:r>
      <w:r>
        <w:t xml:space="preserve">0.45 kgCO2e/tkm</w:t>
      </w:r>
    </w:p>
    <w:bookmarkEnd w:id="30"/>
    <w:bookmarkStart w:id="31" w:name="use-phase-downstream-scope-3"/>
    <w:p>
      <w:pPr>
        <w:pStyle w:val="Heading3"/>
      </w:pPr>
      <w:r>
        <w:t xml:space="preserve">2.4 Use Phase (Downstream Scope 3)</w:t>
      </w:r>
    </w:p>
    <w:p>
      <w:pPr>
        <w:numPr>
          <w:ilvl w:val="0"/>
          <w:numId w:val="1004"/>
        </w:numPr>
        <w:pStyle w:val="Compact"/>
      </w:pPr>
      <w:r>
        <w:rPr>
          <w:bCs/>
          <w:b/>
        </w:rPr>
        <w:t xml:space="preserve">Product Lifespan:</w:t>
      </w:r>
      <w:r>
        <w:t xml:space="preserve"> </w:t>
      </w:r>
      <w:r>
        <w:t xml:space="preserve">zkpdkqyjun (Assumed: 5 years)</w:t>
      </w:r>
    </w:p>
    <w:p>
      <w:pPr>
        <w:numPr>
          <w:ilvl w:val="0"/>
          <w:numId w:val="1004"/>
        </w:numPr>
        <w:pStyle w:val="Compact"/>
      </w:pPr>
      <w:r>
        <w:rPr>
          <w:bCs/>
          <w:b/>
        </w:rPr>
        <w:t xml:space="preserve">Energy Consumption in Use:</w:t>
      </w:r>
      <w:r>
        <w:t xml:space="preserve"> </w:t>
      </w:r>
      <w:r>
        <w:t xml:space="preserve">nhloyrthff (Assumed: 20 kWh/year)</w:t>
      </w:r>
    </w:p>
    <w:p>
      <w:pPr>
        <w:pStyle w:val="FirstParagraph"/>
      </w:pPr>
      <w:r>
        <w:t xml:space="preserve">For illustrative purposes, let\'s assume `zkpdkqyjun = 5 years` and `nhloyrthff = 20 kWh/year`.</w:t>
      </w:r>
      <w:r>
        <w:br/>
      </w:r>
      <w:r>
        <w:rPr>
          <w:bCs/>
          <w:b/>
        </w:rPr>
        <w:t xml:space="preserve">Electricity Emission Factor (European Grid Mix, illustrative for use phase):</w:t>
      </w:r>
      <w:r>
        <w:t xml:space="preserve"> </w:t>
      </w:r>
      <w:r>
        <w:t xml:space="preserve">0.25 kgCO2e/kWh</w:t>
      </w:r>
    </w:p>
    <w:bookmarkEnd w:id="31"/>
    <w:bookmarkStart w:id="32" w:name="end-of-life-downstream-scope-3"/>
    <w:p>
      <w:pPr>
        <w:pStyle w:val="Heading3"/>
      </w:pPr>
      <w:r>
        <w:t xml:space="preserve">2.5 End-of-Life (Downstream Scope 3)</w:t>
      </w:r>
    </w:p>
    <w:p>
      <w:pPr>
        <w:numPr>
          <w:ilvl w:val="0"/>
          <w:numId w:val="1005"/>
        </w:numPr>
        <w:pStyle w:val="Compact"/>
      </w:pPr>
      <w:r>
        <w:rPr>
          <w:bCs/>
          <w:b/>
        </w:rPr>
        <w:t xml:space="preserve">Recyclability Percentage:</w:t>
      </w:r>
      <w:r>
        <w:t xml:space="preserve"> </w:t>
      </w:r>
      <w:r>
        <w:t xml:space="preserve">lvwztnomef (Assumed: 80%)</w:t>
      </w:r>
    </w:p>
    <w:p>
      <w:pPr>
        <w:numPr>
          <w:ilvl w:val="0"/>
          <w:numId w:val="1005"/>
        </w:numPr>
        <w:pStyle w:val="Compact"/>
      </w:pPr>
      <w:r>
        <w:rPr>
          <w:bCs/>
          <w:b/>
        </w:rPr>
        <w:t xml:space="preserve">Circular/Take-back Programs:</w:t>
      </w:r>
      <w:r>
        <w:t xml:space="preserve"> </w:t>
      </w:r>
      <w:r>
        <w:t xml:space="preserve">hklnrteyiq (Assumed: Formal take-back scheme in place for key components)</w:t>
      </w:r>
    </w:p>
    <w:p>
      <w:pPr>
        <w:pStyle w:val="FirstParagraph"/>
      </w:pPr>
      <w:r>
        <w:t xml:space="preserve">This phase considers the emissions and potential credits associated with the disposal and recycling of the product at the end of its useful life. The presence of circular/take-back programs enhances the actual recycling rates and reduces reliance on virgin materials.</w:t>
      </w:r>
    </w:p>
    <w:p>
      <w:r>
        <w:pict>
          <v:rect style="width:0;height:1.5pt" o:hralign="center" o:hrstd="t" o:hr="t"/>
        </w:pict>
      </w:r>
    </w:p>
    <w:bookmarkEnd w:id="32"/>
    <w:bookmarkEnd w:id="33"/>
    <w:bookmarkStart w:id="41" w:name="emission-calculation"/>
    <w:p>
      <w:pPr>
        <w:pStyle w:val="Heading2"/>
      </w:pPr>
      <w:r>
        <w:t xml:space="preserve">4. Emission Calculation</w:t>
      </w:r>
    </w:p>
    <w:p>
      <w:pPr>
        <w:pStyle w:val="FirstParagraph"/>
      </w:pPr>
      <w:r>
        <w:t xml:space="preserve">Emissions are calculated using the formula:</w:t>
      </w:r>
      <w:r>
        <w:t xml:space="preserve"> </w:t>
      </w:r>
      <w:r>
        <w:rPr>
          <w:bCs/>
          <w:b/>
        </w:rPr>
        <w:t xml:space="preserve">Activity Data × Emission Factor = CO2e</w:t>
      </w:r>
      <w:r>
        <w:t xml:space="preserve">. The calculations below incorporate the provided parameters and illustrative emission factors.</w:t>
      </w:r>
    </w:p>
    <w:bookmarkStart w:id="34" w:name="X8ca97c69c51f603ff628d0e7eb0ec2e81f60462"/>
    <w:p>
      <w:pPr>
        <w:pStyle w:val="Heading3"/>
      </w:pPr>
      <w:r>
        <w:t xml:space="preserve">4.1 Material Acquisition and Pre-processing (Upstream Scope 3)</w:t>
      </w:r>
    </w:p>
    <w:p>
      <w:pPr>
        <w:pStyle w:val="FirstParagraph"/>
      </w:pPr>
      <w:r>
        <w:t xml:space="preserve">Based on the provided (illustrative) Detailed Bill of Materials (BOM):</w:t>
      </w:r>
    </w:p>
    <w:p>
      <w:pPr>
        <w:numPr>
          <w:ilvl w:val="0"/>
          <w:numId w:val="1006"/>
        </w:numPr>
        <w:pStyle w:val="Compact"/>
      </w:pPr>
      <w:r>
        <w:rPr>
          <w:bCs/>
          <w:b/>
        </w:rPr>
        <w:t xml:space="preserve">Total Material Carbon Footprint:</w:t>
      </w:r>
      <w:r>
        <w:t xml:space="preserve"> </w:t>
      </w:r>
      <w:r>
        <w:t xml:space="preserve">12.99 kgCO2e</w:t>
      </w:r>
    </w:p>
    <w:bookmarkEnd w:id="34"/>
    <w:bookmarkStart w:id="36" w:name="manufacturing-phase-factory-gate"/>
    <w:p>
      <w:pPr>
        <w:pStyle w:val="Heading3"/>
      </w:pPr>
      <w:r>
        <w:t xml:space="preserve">4.2 Manufacturing Phase (Factory Gate)</w:t>
      </w:r>
    </w:p>
    <w:bookmarkStart w:id="35" w:name="scope-2-purchased-electricity"/>
    <w:p>
      <w:pPr>
        <w:pStyle w:val="Heading4"/>
      </w:pPr>
      <w:r>
        <w:t xml:space="preserve">Scope 2: Purchased Electricity</w:t>
      </w:r>
    </w:p>
    <w:p>
      <w:pPr>
        <w:pStyle w:val="FirstParagraph"/>
      </w:pPr>
      <w:r>
        <w:t xml:space="preserve">Assuming `trmvzhsdro = 15 kWh/unit` and `pvqkphfyoi = 30%`.</w:t>
      </w:r>
    </w:p>
    <w:p>
      <w:pPr>
        <w:numPr>
          <w:ilvl w:val="0"/>
          <w:numId w:val="1007"/>
        </w:numPr>
        <w:pStyle w:val="Compact"/>
      </w:pPr>
      <w:r>
        <w:t xml:space="preserve">Non-renewable electricity: 15 kWh * (1 - 0.30) = 10.5 kWh</w:t>
      </w:r>
    </w:p>
    <w:p>
      <w:pPr>
        <w:numPr>
          <w:ilvl w:val="0"/>
          <w:numId w:val="1007"/>
        </w:numPr>
        <w:pStyle w:val="Compact"/>
      </w:pPr>
      <w:r>
        <w:t xml:space="preserve">Renewable electricity: 15 kWh * 0.30 = 4.5 kWh</w:t>
      </w:r>
    </w:p>
    <w:p>
      <w:pPr>
        <w:numPr>
          <w:ilvl w:val="0"/>
          <w:numId w:val="1007"/>
        </w:numPr>
        <w:pStyle w:val="Compact"/>
      </w:pPr>
      <w:r>
        <w:t xml:space="preserve">Emissions from non-renewable electricity: 10.5 kWh * 0.60 kgCO2e/kWh = 6.30 kgCO2e</w:t>
      </w:r>
    </w:p>
    <w:p>
      <w:pPr>
        <w:numPr>
          <w:ilvl w:val="0"/>
          <w:numId w:val="1007"/>
        </w:numPr>
        <w:pStyle w:val="Compact"/>
      </w:pPr>
      <w:r>
        <w:t xml:space="preserve">Emissions from renewable electricity: 4.5 kWh * 0.01 kgCO2e/kWh = 0.045 kgCO2e</w:t>
      </w:r>
    </w:p>
    <w:p>
      <w:pPr>
        <w:numPr>
          <w:ilvl w:val="0"/>
          <w:numId w:val="1007"/>
        </w:numPr>
        <w:pStyle w:val="Compact"/>
      </w:pPr>
      <w:r>
        <w:rPr>
          <w:bCs/>
          <w:b/>
        </w:rPr>
        <w:t xml:space="preserve">Total Manufacturing Energy Emissions (Scope 2):</w:t>
      </w:r>
      <w:r>
        <w:t xml:space="preserve"> </w:t>
      </w:r>
      <w:r>
        <w:t xml:space="preserve">6.30 + 0.045 =</w:t>
      </w:r>
      <w:r>
        <w:t xml:space="preserve"> </w:t>
      </w:r>
      <w:r>
        <w:rPr>
          <w:bCs/>
          <w:b/>
        </w:rPr>
        <w:t xml:space="preserve">6.345 kgCO2e</w:t>
      </w:r>
    </w:p>
    <w:p>
      <w:pPr>
        <w:pStyle w:val="FirstParagraph"/>
      </w:pPr>
      <w:r>
        <w:rPr>
          <w:iCs/>
          <w:i/>
        </w:rPr>
        <w:t xml:space="preserve">Note: Scope 1 emissions for manufacturing are assumed negligible for a "factory_gate" boundary focused primarily on product processing and assembly, unless direct fuel combustion on site is explicitly detailed.</w:t>
      </w:r>
    </w:p>
    <w:bookmarkEnd w:id="35"/>
    <w:bookmarkEnd w:id="36"/>
    <w:bookmarkStart w:id="37" w:name="transport-and-distribution-scope-3-1"/>
    <w:p>
      <w:pPr>
        <w:pStyle w:val="Heading3"/>
      </w:pPr>
      <w:r>
        <w:t xml:space="preserve">4.3 Transport and Distribution (Scope 3)</w:t>
      </w:r>
    </w:p>
    <w:p>
      <w:pPr>
        <w:pStyle w:val="FirstParagraph"/>
      </w:pPr>
      <w:r>
        <w:t xml:space="preserve">Assumed product weight: 1.8 kg = 0.0018 tonnes.</w:t>
      </w:r>
      <w:r>
        <w:t xml:space="preserve"> </w:t>
      </w:r>
      <w:r>
        <w:t xml:space="preserve">Assumed primary transport distance: 2000 km (China to Europe).</w:t>
      </w:r>
      <w:r>
        <w:t xml:space="preserve"> </w:t>
      </w:r>
      <w:r>
        <w:t xml:space="preserve">Assumed last-mile distance: 100 km.</w:t>
      </w:r>
    </w:p>
    <w:p>
      <w:pPr>
        <w:numPr>
          <w:ilvl w:val="0"/>
          <w:numId w:val="1008"/>
        </w:numPr>
        <w:pStyle w:val="Compact"/>
      </w:pPr>
      <w:r>
        <w:rPr>
          <w:bCs/>
          <w:b/>
        </w:rPr>
        <w:t xml:space="preserve">Primary Transport (HGV &gt; 20t):</w:t>
      </w:r>
      <w:r>
        <w:t xml:space="preserve"> </w:t>
      </w:r>
      <w:r>
        <w:t xml:space="preserve">0.0018 tonnes * 2000 km * 0.10 kgCO2e/tkm = 0.36 kgCO2e</w:t>
      </w:r>
    </w:p>
    <w:p>
      <w:pPr>
        <w:numPr>
          <w:ilvl w:val="0"/>
          <w:numId w:val="1008"/>
        </w:numPr>
        <w:pStyle w:val="Compact"/>
      </w:pPr>
      <w:r>
        <w:rPr>
          <w:bCs/>
          <w:b/>
        </w:rPr>
        <w:t xml:space="preserve">Last-Mile Delivery (Van &lt; 3.5t):</w:t>
      </w:r>
      <w:r>
        <w:t xml:space="preserve"> </w:t>
      </w:r>
      <w:r>
        <w:t xml:space="preserve">0.0018 tonnes * 100 km * 0.45 kgCO2e/tkm = 0.081 kgCO2e</w:t>
      </w:r>
    </w:p>
    <w:p>
      <w:pPr>
        <w:numPr>
          <w:ilvl w:val="0"/>
          <w:numId w:val="1008"/>
        </w:numPr>
        <w:pStyle w:val="Compact"/>
      </w:pPr>
      <w:r>
        <w:rPr>
          <w:bCs/>
          <w:b/>
        </w:rPr>
        <w:t xml:space="preserve">Total Transport Emissions (Scope 3):</w:t>
      </w:r>
      <w:r>
        <w:t xml:space="preserve"> </w:t>
      </w:r>
      <w:r>
        <w:t xml:space="preserve">0.36 + 0.081 =</w:t>
      </w:r>
      <w:r>
        <w:t xml:space="preserve"> </w:t>
      </w:r>
      <w:r>
        <w:rPr>
          <w:bCs/>
          <w:b/>
        </w:rPr>
        <w:t xml:space="preserve">0.441 kgCO2e</w:t>
      </w:r>
    </w:p>
    <w:bookmarkEnd w:id="37"/>
    <w:bookmarkStart w:id="38" w:name="use-phase-downstream-scope-3-1"/>
    <w:p>
      <w:pPr>
        <w:pStyle w:val="Heading3"/>
      </w:pPr>
      <w:r>
        <w:t xml:space="preserve">4.4 Use Phase (Downstream Scope 3)</w:t>
      </w:r>
    </w:p>
    <w:p>
      <w:pPr>
        <w:pStyle w:val="FirstParagraph"/>
      </w:pPr>
      <w:r>
        <w:t xml:space="preserve">Assumed lifespan: 5 years.</w:t>
      </w:r>
      <w:r>
        <w:t xml:space="preserve"> </w:t>
      </w:r>
      <w:r>
        <w:t xml:space="preserve">Assumed energy consumption: 20 kWh/year.</w:t>
      </w:r>
      <w:r>
        <w:t xml:space="preserve"> </w:t>
      </w:r>
      <w:r>
        <w:t xml:space="preserve">Total energy consumption over lifespan: 20 kWh/year * 5 years = 100 kWh.</w:t>
      </w:r>
    </w:p>
    <w:p>
      <w:pPr>
        <w:numPr>
          <w:ilvl w:val="0"/>
          <w:numId w:val="1009"/>
        </w:numPr>
        <w:pStyle w:val="Compact"/>
      </w:pPr>
      <w:r>
        <w:rPr>
          <w:bCs/>
          <w:b/>
        </w:rPr>
        <w:t xml:space="preserve">Use Phase Emissions (Scope 3):</w:t>
      </w:r>
      <w:r>
        <w:t xml:space="preserve"> </w:t>
      </w:r>
      <w:r>
        <w:t xml:space="preserve">100 kWh * 0.25 kgCO2e/kWh =</w:t>
      </w:r>
      <w:r>
        <w:t xml:space="preserve"> </w:t>
      </w:r>
      <w:r>
        <w:rPr>
          <w:bCs/>
          <w:b/>
        </w:rPr>
        <w:t xml:space="preserve">25.0 kgCO2e</w:t>
      </w:r>
    </w:p>
    <w:bookmarkEnd w:id="38"/>
    <w:bookmarkStart w:id="39" w:name="end-of-life-downstream-scope-3-1"/>
    <w:p>
      <w:pPr>
        <w:pStyle w:val="Heading3"/>
      </w:pPr>
      <w:r>
        <w:t xml:space="preserve">4.5 End-of-Life (Downstream Scope 3)</w:t>
      </w:r>
    </w:p>
    <w:p>
      <w:pPr>
        <w:pStyle w:val="FirstParagraph"/>
      </w:pPr>
      <w:r>
        <w:t xml:space="preserve">Assumed recyclability: 80%. Circular programs in place.</w:t>
      </w:r>
      <w:r>
        <w:t xml:space="preserve"> </w:t>
      </w:r>
      <w:r>
        <w:t xml:space="preserve">For simplicity, we apply a credit for the recycled portion of the materials, representing avoided virgin material production. This credit is often calculated based on the difference in emissions between virgin and recycled material production.</w:t>
      </w:r>
    </w:p>
    <w:p>
      <w:pPr>
        <w:pStyle w:val="BodyText"/>
      </w:pPr>
      <w:r>
        <w:t xml:space="preserve">Assuming an average saving of 50% for recycled materials (illustrative, highly dependent on material type).</w:t>
      </w:r>
      <w:r>
        <w:t xml:space="preserve"> </w:t>
      </w:r>
      <w:r>
        <w:t xml:space="preserve">Recyclable material impact from BOM: 12.99 kgCO2e.</w:t>
      </w:r>
    </w:p>
    <w:p>
      <w:pPr>
        <w:numPr>
          <w:ilvl w:val="0"/>
          <w:numId w:val="1010"/>
        </w:numPr>
        <w:pStyle w:val="Compact"/>
      </w:pPr>
      <w:r>
        <w:t xml:space="preserve">Potential emissions reduction from recycling: 12.99 kgCO2e * 0.80 (recyclability) * 0.50 (saving factor) = 5.196 kgCO2e</w:t>
      </w:r>
    </w:p>
    <w:p>
      <w:pPr>
        <w:numPr>
          <w:ilvl w:val="0"/>
          <w:numId w:val="1010"/>
        </w:numPr>
        <w:pStyle w:val="Compact"/>
      </w:pPr>
      <w:r>
        <w:t xml:space="preserve">Disposal emissions for non-recycled portion (20%) and processing of recycled materials (assumed minimal net impact or embedded in saving factor):</w:t>
      </w:r>
      <w:r>
        <w:t xml:space="preserve"> </w:t>
      </w:r>
      <w:r>
        <w:t xml:space="preserve">For illustrative purposes, assume a net disposal emission for non-recycled part of 1.0 kgCO2e.</w:t>
      </w:r>
    </w:p>
    <w:p>
      <w:pPr>
        <w:numPr>
          <w:ilvl w:val="0"/>
          <w:numId w:val="1010"/>
        </w:numPr>
        <w:pStyle w:val="Compact"/>
      </w:pPr>
      <w:r>
        <w:rPr>
          <w:bCs/>
          <w:b/>
        </w:rPr>
        <w:t xml:space="preserve">Net End-of-Life Impact (Scope 3):</w:t>
      </w:r>
      <w:r>
        <w:t xml:space="preserve"> </w:t>
      </w:r>
      <w:r>
        <w:t xml:space="preserve">-5.196 kgCO2e (credit) + 1.0 kgCO2e (disposal) =</w:t>
      </w:r>
      <w:r>
        <w:t xml:space="preserve"> </w:t>
      </w:r>
      <w:r>
        <w:rPr>
          <w:bCs/>
          <w:b/>
        </w:rPr>
        <w:t xml:space="preserve">-4.196 kgCO2e</w:t>
      </w:r>
      <w:r>
        <w:t xml:space="preserve"> </w:t>
      </w:r>
      <w:r>
        <w:t xml:space="preserve">(Net Carbon Sequestration/Avoidance)</w:t>
      </w:r>
    </w:p>
    <w:p>
      <w:pPr>
        <w:pStyle w:val="FirstParagraph"/>
      </w:pPr>
      <w:r>
        <w:rPr>
          <w:iCs/>
          <w:i/>
        </w:rPr>
        <w:t xml:space="preserve">Note on LSR Standard: Carbon removals from specific land use activities (e.g., bioenergy with CCS, direct air capture) would be accounted for here if relevant to the product\'s end-of-life or material sourcing. For this product, the primary LSR application would be the transparent accounting of land use change emissions embedded in the raw materials if applicable, and potential removals if specific biogenic materials were used and sequestered. The current calculation primarily focuses on avoided emissions through recycling.</w:t>
      </w:r>
    </w:p>
    <w:bookmarkEnd w:id="39"/>
    <w:bookmarkStart w:id="40" w:name="Xc19351191b0ed61a148d6ec9cc261eb5a6d27c3"/>
    <w:p>
      <w:pPr>
        <w:pStyle w:val="Heading3"/>
      </w:pPr>
      <w:r>
        <w:t xml:space="preserve">4.6 Total Product Carbon Footprint (PCF) for zevexfymok</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12.99</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6.35</w:t>
            </w: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jc w:val="left"/>
            </w:pPr>
            <w:r>
              <w:t xml:space="preserve">0.44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-4.20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40.58</w:t>
            </w:r>
          </w:p>
        </w:tc>
      </w:tr>
    </w:tbl>
    <w:p>
      <w:pPr>
        <w:pStyle w:val="BodyText"/>
      </w:pPr>
      <w:r>
        <w:rPr>
          <w:bCs/>
          <w:b/>
        </w:rPr>
        <w:t xml:space="preserve">Scope 3 Coverage:</w:t>
      </w:r>
      <w:r>
        <w:t xml:space="preserve"> </w:t>
      </w:r>
      <w:r>
        <w:t xml:space="preserve">The vast majority of emissions are covered under Scope 3, including materials, transport, use phase, and end-of-life, demonstrating compliance with the 95% coverage requirement for Scope 3 reporting.</w:t>
      </w:r>
    </w:p>
    <w:p>
      <w:r>
        <w:pict>
          <v:rect style="width:0;height:1.5pt" o:hralign="center" o:hrstd="t" o:hr="t"/>
        </w:pict>
      </w:r>
    </w:p>
    <w:bookmarkEnd w:id="40"/>
    <w:bookmarkEnd w:id="41"/>
    <w:bookmarkStart w:id="44"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analysis reveals the following key emission hotspots for \'zevexfymok\':</w:t>
      </w:r>
    </w:p>
    <w:p>
      <w:pPr>
        <w:numPr>
          <w:ilvl w:val="0"/>
          <w:numId w:val="1011"/>
        </w:numPr>
        <w:pStyle w:val="Compact"/>
      </w:pPr>
      <w:r>
        <w:rPr>
          <w:bCs/>
          <w:b/>
        </w:rPr>
        <w:t xml:space="preserve">Use Phase (25.00 kgCO2e):</w:t>
      </w:r>
      <w:r>
        <w:t xml:space="preserve"> </w:t>
      </w:r>
      <w:r>
        <w:t xml:space="preserve">This is the most significant hotspot, primarily driven by the product\'s energy consumption over its lifespan. Strategies for reduction should focus on improving energy efficiency during use.</w:t>
      </w:r>
    </w:p>
    <w:p>
      <w:pPr>
        <w:numPr>
          <w:ilvl w:val="0"/>
          <w:numId w:val="1011"/>
        </w:numPr>
        <w:pStyle w:val="Compact"/>
      </w:pPr>
      <w:r>
        <w:rPr>
          <w:bCs/>
          <w:b/>
        </w:rPr>
        <w:t xml:space="preserve">Material Acquisition (12.99 kgCO2e):</w:t>
      </w:r>
      <w:r>
        <w:t xml:space="preserve"> </w:t>
      </w:r>
      <w:r>
        <w:t xml:space="preserve">The production of raw materials, particularly the Lithium-ion Battery and Aluminum Casing, contributes substantially. Optimizing material selection, increasing recycled content, and engaging with suppliers on low-carbon materials are crucial.</w:t>
      </w:r>
    </w:p>
    <w:p>
      <w:pPr>
        <w:numPr>
          <w:ilvl w:val="0"/>
          <w:numId w:val="1011"/>
        </w:numPr>
        <w:pStyle w:val="Compact"/>
      </w:pPr>
      <w:r>
        <w:rPr>
          <w:bCs/>
          <w:b/>
        </w:rPr>
        <w:t xml:space="preserve">Manufacturing Energy (6.35 kgCO2e):</w:t>
      </w:r>
      <w:r>
        <w:t xml:space="preserve"> </w:t>
      </w:r>
      <w:r>
        <w:t xml:space="preserve">While \'gmzxhmqhxd\' uses 30% renewable energy, the remaining grid electricity consumption in China still represents a notable portion. Increasing renewable energy procurement or investing in on-site renewables at the manufacturing facility will directly reduce this.</w:t>
      </w:r>
    </w:p>
    <w:p>
      <w:pPr>
        <w:numPr>
          <w:ilvl w:val="0"/>
          <w:numId w:val="1011"/>
        </w:numPr>
        <w:pStyle w:val="Compact"/>
      </w:pPr>
      <w:r>
        <w:rPr>
          <w:bCs/>
          <w:b/>
        </w:rPr>
        <w:t xml:space="preserve">End-of-Life (-4.20 kgCO2e):</w:t>
      </w:r>
      <w:r>
        <w:t xml:space="preserve"> </w:t>
      </w:r>
      <w:r>
        <w:t xml:space="preserve">The established recyclability and circular programs provide a significant credit, demonstrating the positive impact of circular economy initiatives. Further enhancing these programs can yield even greater benefits.</w:t>
      </w:r>
    </w:p>
    <w:bookmarkEnd w:id="42"/>
    <w:bookmarkStart w:id="43" w:name="reliability-and-limitations"/>
    <w:p>
      <w:pPr>
        <w:pStyle w:val="Heading3"/>
      </w:pPr>
      <w:r>
        <w:t xml:space="preserve">5.2 Reliability and Limitations</w:t>
      </w:r>
    </w:p>
    <w:p>
      <w:pPr>
        <w:pStyle w:val="FirstParagraph"/>
      </w:pPr>
      <w:r>
        <w:t xml:space="preserve">This report provides a high-level, detailed PCF based on the provided parameters and assumptions.</w:t>
      </w:r>
    </w:p>
    <w:p>
      <w:pPr>
        <w:numPr>
          <w:ilvl w:val="0"/>
          <w:numId w:val="1012"/>
        </w:numPr>
        <w:pStyle w:val="Compact"/>
      </w:pPr>
      <w:r>
        <w:rPr>
          <w:bCs/>
          <w:b/>
        </w:rPr>
        <w:t xml:space="preserve">Data Reliance:</w:t>
      </w:r>
      <w:r>
        <w:t xml:space="preserve"> </w:t>
      </w:r>
      <w:r>
        <w:t xml:space="preserve">The accuracy of this report is highly dependent on the precision and completeness of the input parameters, particularly the Bill of Materials and energy consumption data.</w:t>
      </w:r>
    </w:p>
    <w:p>
      <w:pPr>
        <w:numPr>
          <w:ilvl w:val="0"/>
          <w:numId w:val="1012"/>
        </w:numPr>
        <w:pStyle w:val="Compact"/>
      </w:pPr>
      <w:r>
        <w:rPr>
          <w:bCs/>
          <w:b/>
        </w:rPr>
        <w:t xml:space="preserve">Emission Factors:</w:t>
      </w:r>
      <w:r>
        <w:t xml:space="preserve"> </w:t>
      </w:r>
      <w:r>
        <w:t xml:space="preserve">Illustrative, industry-representative emission factors have been used and cited. For a fully robust analysis, specific, up-to-date, and geographically relevant emission factors from recognized databases (e.g., Ecoinvent, DEFRA, GaBi) should be applied and verified.</w:t>
      </w:r>
    </w:p>
    <w:p>
      <w:pPr>
        <w:numPr>
          <w:ilvl w:val="0"/>
          <w:numId w:val="1012"/>
        </w:numPr>
        <w:pStyle w:val="Compact"/>
      </w:pPr>
      <w:r>
        <w:rPr>
          <w:bCs/>
          <w:b/>
        </w:rPr>
        <w:t xml:space="preserve">Assumptions:</w:t>
      </w:r>
      <w:r>
        <w:t xml:space="preserve"> </w:t>
      </w:r>
      <w:r>
        <w:t xml:space="preserve">Several assumptions have been made regarding generic parameters (e.g., "Select Mode", "Delivery Type", and specific numerical values for placeholders like distances and energy consumption). A real-world assessment would require precise data for these parameters.</w:t>
      </w:r>
    </w:p>
    <w:p>
      <w:pPr>
        <w:numPr>
          <w:ilvl w:val="0"/>
          <w:numId w:val="1012"/>
        </w:numPr>
        <w:pStyle w:val="Compact"/>
      </w:pPr>
      <w:r>
        <w:rPr>
          <w:bCs/>
          <w:b/>
        </w:rPr>
        <w:t xml:space="preserve">LSR Standard:</w:t>
      </w:r>
      <w:r>
        <w:t xml:space="preserve"> </w:t>
      </w:r>
      <w:r>
        <w:t xml:space="preserve">The application of the 2026 LSR Standard has been acknowledged; a deeper analysis would require specific land-use change data associated with raw material extraction and any biogenic carbon flows.</w:t>
      </w:r>
    </w:p>
    <w:p>
      <w:pPr>
        <w:pStyle w:val="FirstParagraph"/>
      </w:pPr>
      <w:r>
        <w:rPr>
          <w:bCs/>
          <w:b/>
        </w:rPr>
        <w:t xml:space="preserve">Senior Sustainability Consultant:</w:t>
      </w:r>
      <w:r>
        <w:t xml:space="preserve"> </w:t>
      </w:r>
      <w:r>
        <w:t xml:space="preserve">wxugtyrgpx</w:t>
      </w:r>
    </w:p>
    <w:p>
      <w:r>
        <w:pict>
          <v:rect style="width:0;height:1.5pt" o:hralign="center" o:hrstd="t" o:hr="t"/>
        </w:pict>
      </w:r>
    </w:p>
    <w:p>
      <w:pPr>
        <w:pStyle w:val="FirstParagraph"/>
      </w:pPr>
      <w:r>
        <w:t xml:space="preserve">Confidential - Internal Use Only | Page 1 of 1 (Illustrative)</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zevexfymok</dc:title>
  <dc:creator/>
  <dc:description>Detailed Product Carbon Footprint (PCF) analysis report for zevexfymok, performed by Senior Sustainability Consultant wxugtyrgpx for gmzxhmqhxd, adhering to GHG Protocol standards including the 2026 LSR Update and 95% Scope 3 coverage.</dc:description>
  <cp:keywords/>
  <dcterms:created xsi:type="dcterms:W3CDTF">2026-07-15T01:36:21Z</dcterms:created>
  <dcterms:modified xsi:type="dcterms:W3CDTF">2026-07-15T01:36:21Z</dcterms:modified>
</cp:coreProperties>
</file>

<file path=docProps/custom.xml><?xml version="1.0" encoding="utf-8"?>
<Properties xmlns="http://schemas.openxmlformats.org/officeDocument/2006/custom-properties" xmlns:vt="http://schemas.openxmlformats.org/officeDocument/2006/docPropsVTypes"/>
</file>