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yjtdvjrmzm</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yjtdvjrmzm</w:t>
      </w:r>
    </w:p>
    <w:p>
      <w:pPr>
        <w:pStyle w:val="BodyText"/>
      </w:pPr>
      <w:r>
        <w:rPr>
          <w:bCs/>
          <w:b/>
        </w:rPr>
        <w:t xml:space="preserve">Company Name:</w:t>
      </w:r>
      <w:r>
        <w:t xml:space="preserve"> </w:t>
      </w:r>
      <w:r>
        <w:t xml:space="preserve">xmexqsotjg</w:t>
      </w:r>
    </w:p>
    <w:p>
      <w:pPr>
        <w:pStyle w:val="BodyText"/>
      </w:pPr>
      <w:r>
        <w:rPr>
          <w:bCs/>
          <w:b/>
        </w:rPr>
        <w:t xml:space="preserve">Senior Sustainability Consultant:</w:t>
      </w:r>
      <w:r>
        <w:t xml:space="preserve"> </w:t>
      </w:r>
      <w:r>
        <w:t xml:space="preserve">usjxhetzje</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estimated Product Carbon Footprint. While efforts have been made to ensure accuracy, actual emissions may vary based on real-world conditions and further granular data.</w:t>
      </w:r>
    </w:p>
    <w:bookmarkEnd w:id="20"/>
    <w:bookmarkStart w:id="21" w:name="X7a61e844f2967dba20d57195d6eeb4ee9bf4f80"/>
    <w:p>
      <w:pPr>
        <w:pStyle w:val="Heading1"/>
      </w:pPr>
      <w:r>
        <w:t xml:space="preserve">Product Carbon Footprint Report: yjtdvjrmzm</w:t>
      </w:r>
    </w:p>
    <w:p>
      <w:pPr>
        <w:pStyle w:val="FirstParagraph"/>
      </w:pPr>
      <w:r>
        <w:rPr>
          <w:bCs/>
          <w:b/>
        </w:rPr>
        <w:t xml:space="preserve">Generated Date:</w:t>
      </w:r>
      <w:r>
        <w:t xml:space="preserve"> </w:t>
      </w:r>
      <w:r>
        <w:t xml:space="preserve">June 1, 2026</w:t>
      </w:r>
    </w:p>
    <w:p>
      <w:pPr>
        <w:pStyle w:val="BodyText"/>
      </w:pPr>
      <w:r>
        <w:rPr>
          <w:bCs/>
          <w:b/>
        </w:rPr>
        <w:t xml:space="preserve">Consultant:</w:t>
      </w:r>
      <w:r>
        <w:t xml:space="preserve"> </w:t>
      </w:r>
      <w:r>
        <w:t xml:space="preserve">usjxhetzje,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yjtdvjrmzm, manufactured by xmexqsotjg. Conducted by usjxhetzje, a Senior Sustainability Consultant specializing in GHG Protocol, this analysis adheres to the Greenhouse Gas Protocol Corporate Accounting and Reporting Standard, including the 2026 Land Sector and Removals (LSR) update. The assessment covers the full lifecycle from material acquisition to end-of-life, with a focus on comprehensive Scope 3 reporting to achieve at least 95% coverage as per 2026 requirements. Key emission hotspots are identified, and recommendations for reduction are provided.</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initial step establishes the fundamental parameters of the PCF study to ensure consistency and relevance.</w:t>
      </w:r>
    </w:p>
    <w:p>
      <w:pPr>
        <w:numPr>
          <w:ilvl w:val="0"/>
          <w:numId w:val="1001"/>
        </w:numPr>
        <w:pStyle w:val="Compact"/>
      </w:pPr>
      <w:r>
        <w:rPr>
          <w:bCs/>
          <w:b/>
        </w:rPr>
        <w:t xml:space="preserve">Functional Unit:</w:t>
      </w:r>
      <w:r>
        <w:t xml:space="preserve"> </w:t>
      </w:r>
      <w:r>
        <w:t xml:space="preserve">The reference flow for this analysis is 1.0 unit of yjtdvjrmzm.</w:t>
      </w:r>
    </w:p>
    <w:p>
      <w:pPr>
        <w:numPr>
          <w:ilvl w:val="0"/>
          <w:numId w:val="1001"/>
        </w:numPr>
        <w:pStyle w:val="Compact"/>
      </w:pPr>
      <w:r>
        <w:rPr>
          <w:bCs/>
          <w:b/>
        </w:rPr>
        <w:t xml:space="preserve">System Boundary:</w:t>
      </w:r>
      <w:r>
        <w:t xml:space="preserve"> </w:t>
      </w:r>
      <w:r>
        <w:t xml:space="preserve">The system boundary for this PCF is "factory_gate". This means the assessment covers emissions from raw material extraction, processing, manufacturing up to the point the product leaves the factory gate. While the primary system boundary is factory_gate, the full lifecycle assessment (including transport, use phase, and end-of-life) is performed to provide a comprehensive view in line with Scope 3 reporting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some distribution stages may originate from or pass through Europe).</w:t>
      </w:r>
    </w:p>
    <w:p>
      <w:pPr>
        <w:numPr>
          <w:ilvl w:val="0"/>
          <w:numId w:val="1001"/>
        </w:numPr>
        <w:pStyle w:val="Compact"/>
      </w:pPr>
      <w:r>
        <w:rPr>
          <w:bCs/>
          <w:b/>
        </w:rPr>
        <w:t xml:space="preserve">Accounting Standard:</w:t>
      </w:r>
      <w:r>
        <w:t xml:space="preserve"> </w:t>
      </w:r>
      <w:r>
        <w:t xml:space="preserve">The Greenhouse Gas Protocol Product Standard (a subset of the GHG Protocol Corporate Standard, applied to products) is the primary accounting standard used for this analysis. Emissions are categorized into Scope 1 (direct emissions), Scope 2 (purchased electricity, heat, or steam), and Scope 3 (all other indirect emissions in the value chain). The 2026 Land Sector and Removals (LSR) Standard is applied for land use and carbon removals.</w:t>
      </w:r>
    </w:p>
    <w:p>
      <w:pPr>
        <w:numPr>
          <w:ilvl w:val="0"/>
          <w:numId w:val="1001"/>
        </w:numPr>
        <w:pStyle w:val="Compact"/>
      </w:pPr>
      <w:r>
        <w:rPr>
          <w:bCs/>
          <w:b/>
        </w:rPr>
        <w:t xml:space="preserve">Allocation:</w:t>
      </w:r>
      <w:r>
        <w:t xml:space="preserve"> </w:t>
      </w:r>
      <w:r>
        <w:t xml:space="preserve">Mass allocation is generally applied for co-products and recycling scenarios where applicable, distributing environmental burdens proportionally based on the mass of the output.</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The lifecycle of yjtdvjrmzm is mapped across several stages to capture all relevant emissions. These stages include material acquisition, manufacturing, transportation, the use phase, and end-of-life.</w:t>
      </w:r>
    </w:p>
    <w:bookmarkStart w:id="24" w:name="X5895d2a093bf72327af3b08129fc8f3e171d926"/>
    <w:p>
      <w:pPr>
        <w:pStyle w:val="Heading3"/>
      </w:pPr>
      <w:r>
        <w:t xml:space="preserve">Materials Acquisition &amp; Processing (Scope 3 - Upstream)</w:t>
      </w:r>
    </w:p>
    <w:p>
      <w:pPr>
        <w:pStyle w:val="FirstParagraph"/>
      </w:pPr>
      <w:r>
        <w:t xml:space="preserve">This stage accounts for the extraction of raw materials, their initial processing, and the production of components detailed in the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3</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4</w:t>
            </w:r>
          </w:p>
        </w:tc>
        <w:tc>
          <w:tcPr/>
          <w:p>
            <w:pPr>
              <w:pStyle w:val="Compact"/>
              <w:jc w:val="left"/>
            </w:pPr>
            <w:r>
              <w:t xml:space="preserve">Glass Screen</w:t>
            </w:r>
          </w:p>
        </w:tc>
        <w:tc>
          <w:tcPr/>
          <w:p>
            <w:pPr>
              <w:pStyle w:val="Compact"/>
              <w:jc w:val="left"/>
            </w:pPr>
            <w:r>
              <w:t xml:space="preserve">Mineral</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p>
            <w:pPr>
              <w:pStyle w:val="Compact"/>
              <w:jc w:val="left"/>
            </w:pPr>
            <w:r>
              <w:t xml:space="preserve">5</w:t>
            </w:r>
          </w:p>
        </w:tc>
        <w:tc>
          <w:tcPr/>
          <w:p>
            <w:pPr>
              <w:pStyle w:val="Compact"/>
              <w:jc w:val="left"/>
            </w:pPr>
            <w:r>
              <w:t xml:space="preserve">Processor Unit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7.5</w:t>
            </w:r>
          </w:p>
        </w:tc>
      </w:tr>
    </w:tbl>
    <w:p>
      <w:pPr>
        <w:pStyle w:val="BodyText"/>
      </w:pPr>
      <w:r>
        <w:rPr>
          <w:iCs/>
          <w:i/>
        </w:rPr>
        <w:t xml:space="preserve">Note: The "Total Carbon (kg CO2e)" for each BOM item is derived directly from the provided data: mqpmfpov, representing the carbon footprint of the material up to the factory gate for that specific quantity.</w:t>
      </w:r>
    </w:p>
    <w:bookmarkEnd w:id="24"/>
    <w:bookmarkStart w:id="25" w:name="manufacturing-scope-1-2"/>
    <w:p>
      <w:pPr>
        <w:pStyle w:val="Heading3"/>
      </w:pPr>
      <w:r>
        <w:t xml:space="preserve">Manufacturing (Scope 1 &amp; 2)</w:t>
      </w:r>
    </w:p>
    <w:p>
      <w:pPr>
        <w:pStyle w:val="FirstParagraph"/>
      </w:pPr>
      <w:r>
        <w:t xml:space="preserve">Emissions from the direct manufacturing processes at the production facility in China, including energy consumption.</w:t>
      </w:r>
    </w:p>
    <w:bookmarkEnd w:id="25"/>
    <w:bookmarkStart w:id="26" w:name="transport-scope-3---upstream-downstream"/>
    <w:p>
      <w:pPr>
        <w:pStyle w:val="Heading3"/>
      </w:pPr>
      <w:r>
        <w:t xml:space="preserve">Transport (Scope 3 - Upstream &amp; Downstream)</w:t>
      </w:r>
    </w:p>
    <w:p>
      <w:pPr>
        <w:pStyle w:val="FirstParagraph"/>
      </w:pPr>
      <w:r>
        <w:t xml:space="preserve">Covers transportation of raw materials to the factory (upstream) and distribution of the finished product to the end-user (downstream).</w:t>
      </w:r>
    </w:p>
    <w:bookmarkEnd w:id="26"/>
    <w:bookmarkStart w:id="27" w:name="use-phase-scope-3---downstream"/>
    <w:p>
      <w:pPr>
        <w:pStyle w:val="Heading3"/>
      </w:pPr>
      <w:r>
        <w:t xml:space="preserve">Use Phase (Scope 3 - Downstream)</w:t>
      </w:r>
    </w:p>
    <w:p>
      <w:pPr>
        <w:pStyle w:val="FirstParagraph"/>
      </w:pPr>
      <w:r>
        <w:t xml:space="preserve">Emissions associated with the product\'s energy consumption during its active lifespan.</w:t>
      </w:r>
    </w:p>
    <w:bookmarkEnd w:id="27"/>
    <w:bookmarkStart w:id="28" w:name="end-of-life-scope-3---downstream"/>
    <w:p>
      <w:pPr>
        <w:pStyle w:val="Heading3"/>
      </w:pPr>
      <w:r>
        <w:t xml:space="preserve">End-of-Life (Scope 3 - Downstream)</w:t>
      </w:r>
    </w:p>
    <w:p>
      <w:pPr>
        <w:pStyle w:val="FirstParagraph"/>
      </w:pPr>
      <w:r>
        <w:t xml:space="preserve">Emissions or avoided emissions related to the disposal, recycling, or recovery of the product at the end of its life.</w:t>
      </w:r>
    </w:p>
    <w:p>
      <w:r>
        <w:pict>
          <v:rect style="width:0;height:1.5pt" o:hralign="center" o:hrstd="t" o:hr="t"/>
        </w:pict>
      </w:r>
    </w:p>
    <w:bookmarkEnd w:id="28"/>
    <w:bookmarkEnd w:id="29"/>
    <w:bookmarkStart w:id="32" w:name="collect-data"/>
    <w:p>
      <w:pPr>
        <w:pStyle w:val="Heading2"/>
      </w:pPr>
      <w:r>
        <w:t xml:space="preserve">3. Collect Data</w:t>
      </w:r>
    </w:p>
    <w:p>
      <w:pPr>
        <w:pStyle w:val="FirstParagraph"/>
      </w:pPr>
      <w:r>
        <w:t xml:space="preserve">Data collection involved gathering specific primary and secondary data points relevant to each lifecycle stage, utilizing provided parameters for accuracy.</w:t>
      </w:r>
    </w:p>
    <w:bookmarkStart w:id="30" w:name="X0db3e1c494a248f6c9c0bc88f25bb2cb32625f1"/>
    <w:p>
      <w:pPr>
        <w:pStyle w:val="Heading3"/>
      </w:pPr>
      <w:r>
        <w:t xml:space="preserve">Primary Data Points (Provided by xmexqsotjg)</w:t>
      </w:r>
    </w:p>
    <w:p>
      <w:pPr>
        <w:numPr>
          <w:ilvl w:val="0"/>
          <w:numId w:val="1003"/>
        </w:numPr>
        <w:pStyle w:val="Compact"/>
      </w:pPr>
      <w:r>
        <w:rPr>
          <w:bCs/>
          <w:b/>
        </w:rPr>
        <w:t xml:space="preserve">Detailed Bill of Materials (BOM):</w:t>
      </w:r>
      <w:r>
        <w:t xml:space="preserve"> </w:t>
      </w:r>
      <w:r>
        <w:t xml:space="preserve">The raw material and component data was directly provided as \'mqpmfpov\'. This detailed BOM includes specific emission factors and total carbon values for each item, which are directly incorporated into the material impact calculation.</w:t>
      </w:r>
    </w:p>
    <w:p>
      <w:pPr>
        <w:numPr>
          <w:ilvl w:val="0"/>
          <w:numId w:val="1003"/>
        </w:numPr>
        <w:pStyle w:val="Compact"/>
      </w:pPr>
      <w:r>
        <w:rPr>
          <w:bCs/>
          <w:b/>
        </w:rPr>
        <w:t xml:space="preserve">Energy Customization Data:</w:t>
      </w:r>
    </w:p>
    <w:p>
      <w:pPr>
        <w:numPr>
          <w:ilvl w:val="1"/>
          <w:numId w:val="1004"/>
        </w:numPr>
        <w:pStyle w:val="Compact"/>
      </w:pPr>
      <w:r>
        <w:rPr>
          <w:bCs/>
          <w:b/>
        </w:rPr>
        <w:t xml:space="preserve">Renewable Energy Usage:</w:t>
      </w:r>
      <w:r>
        <w:t xml:space="preserve"> </w:t>
      </w:r>
      <w:r>
        <w:t xml:space="preserve">orvmvmxsvz (e.g., "50%") of electricity consumed during manufacturing is from renewable sources.</w:t>
      </w:r>
    </w:p>
    <w:p>
      <w:pPr>
        <w:numPr>
          <w:ilvl w:val="1"/>
          <w:numId w:val="1004"/>
        </w:numPr>
        <w:pStyle w:val="Compact"/>
      </w:pPr>
      <w:r>
        <w:rPr>
          <w:bCs/>
          <w:b/>
        </w:rPr>
        <w:t xml:space="preserve">Energy Intensity (kWh/unit):</w:t>
      </w:r>
      <w:r>
        <w:t xml:space="preserve"> </w:t>
      </w:r>
      <w:r>
        <w:t xml:space="preserve">upydwhznvq kWh per unit of yjtdvjrmzm during production.</w:t>
      </w:r>
    </w:p>
    <w:p>
      <w:pPr>
        <w:numPr>
          <w:ilvl w:val="0"/>
          <w:numId w:val="1003"/>
        </w:numPr>
        <w:pStyle w:val="Compact"/>
      </w:pPr>
      <w:r>
        <w:rPr>
          <w:bCs/>
          <w:b/>
        </w:rPr>
        <w:t xml:space="preserve">Logistics Data:</w:t>
      </w:r>
    </w:p>
    <w:p>
      <w:pPr>
        <w:numPr>
          <w:ilvl w:val="1"/>
          <w:numId w:val="1005"/>
        </w:numPr>
        <w:pStyle w:val="Compact"/>
      </w:pPr>
      <w:r>
        <w:rPr>
          <w:bCs/>
          <w:b/>
        </w:rPr>
        <w:t xml:space="preserve">Transport Mode (main):</w:t>
      </w:r>
      <w:r>
        <w:t xml:space="preserve"> </w:t>
      </w:r>
      <w:r>
        <w:t xml:space="preserve">Select Mode (e.g., "Road Freight")</w:t>
      </w:r>
    </w:p>
    <w:p>
      <w:pPr>
        <w:numPr>
          <w:ilvl w:val="1"/>
          <w:numId w:val="1005"/>
        </w:numPr>
        <w:pStyle w:val="Compact"/>
      </w:pPr>
      <w:r>
        <w:rPr>
          <w:bCs/>
          <w:b/>
        </w:rPr>
        <w:t xml:space="preserve">Transport Distance (main):</w:t>
      </w:r>
      <w:r>
        <w:t xml:space="preserve"> </w:t>
      </w:r>
      <w:r>
        <w:t xml:space="preserve">nltqjlvdnx (e.g., "1500") km</w:t>
      </w:r>
    </w:p>
    <w:p>
      <w:pPr>
        <w:numPr>
          <w:ilvl w:val="1"/>
          <w:numId w:val="1005"/>
        </w:numPr>
        <w:pStyle w:val="Compact"/>
      </w:pPr>
      <w:r>
        <w:rPr>
          <w:bCs/>
          <w:b/>
        </w:rPr>
        <w:t xml:space="preserve">Last-Mile Delivery Channel:</w:t>
      </w:r>
      <w:r>
        <w:t xml:space="preserve"> </w:t>
      </w:r>
      <w:r>
        <w:t xml:space="preserve">Delivery Type (e.g., "Parcel Post")</w:t>
      </w:r>
    </w:p>
    <w:p>
      <w:pPr>
        <w:numPr>
          <w:ilvl w:val="0"/>
          <w:numId w:val="1003"/>
        </w:numPr>
        <w:pStyle w:val="Compact"/>
      </w:pPr>
      <w:r>
        <w:rPr>
          <w:bCs/>
          <w:b/>
        </w:rPr>
        <w:t xml:space="preserve">Use Phase Data:</w:t>
      </w:r>
    </w:p>
    <w:p>
      <w:pPr>
        <w:numPr>
          <w:ilvl w:val="1"/>
          <w:numId w:val="1006"/>
        </w:numPr>
        <w:pStyle w:val="Compact"/>
      </w:pPr>
      <w:r>
        <w:rPr>
          <w:bCs/>
          <w:b/>
        </w:rPr>
        <w:t xml:space="preserve">Product Lifespan:</w:t>
      </w:r>
      <w:r>
        <w:t xml:space="preserve"> </w:t>
      </w:r>
      <w:r>
        <w:t xml:space="preserve">rvvjpfqsls (e.g., "5") years</w:t>
      </w:r>
    </w:p>
    <w:p>
      <w:pPr>
        <w:numPr>
          <w:ilvl w:val="1"/>
          <w:numId w:val="1006"/>
        </w:numPr>
        <w:pStyle w:val="Compact"/>
      </w:pPr>
      <w:r>
        <w:rPr>
          <w:bCs/>
          <w:b/>
        </w:rPr>
        <w:t xml:space="preserve">Energy Consumption in Use:</w:t>
      </w:r>
      <w:r>
        <w:t xml:space="preserve"> </w:t>
      </w:r>
      <w:r>
        <w:t xml:space="preserve">ineqjydxjn (e.g., "50") kWh/lifespan</w:t>
      </w:r>
    </w:p>
    <w:p>
      <w:pPr>
        <w:numPr>
          <w:ilvl w:val="0"/>
          <w:numId w:val="1003"/>
        </w:numPr>
        <w:pStyle w:val="Compact"/>
      </w:pPr>
      <w:r>
        <w:rPr>
          <w:bCs/>
          <w:b/>
        </w:rPr>
        <w:t xml:space="preserve">End-of-Life (EoL) Scenarios:</w:t>
      </w:r>
    </w:p>
    <w:p>
      <w:pPr>
        <w:numPr>
          <w:ilvl w:val="1"/>
          <w:numId w:val="1007"/>
        </w:numPr>
        <w:pStyle w:val="Compact"/>
      </w:pPr>
      <w:r>
        <w:rPr>
          <w:bCs/>
          <w:b/>
        </w:rPr>
        <w:t xml:space="preserve">Recyclability Percentage:</w:t>
      </w:r>
      <w:r>
        <w:t xml:space="preserve"> </w:t>
      </w:r>
      <w:r>
        <w:t xml:space="preserve">uyvdwhgkqk (e.g., "80%") of the product\'s mass is recyclable.</w:t>
      </w:r>
    </w:p>
    <w:p>
      <w:pPr>
        <w:numPr>
          <w:ilvl w:val="1"/>
          <w:numId w:val="1007"/>
        </w:numPr>
        <w:pStyle w:val="Compact"/>
      </w:pPr>
      <w:r>
        <w:rPr>
          <w:bCs/>
          <w:b/>
        </w:rPr>
        <w:t xml:space="preserve">Circular/Take-back Programs:</w:t>
      </w:r>
      <w:r>
        <w:t xml:space="preserve"> </w:t>
      </w:r>
      <w:r>
        <w:t xml:space="preserve">kwvlfveooy (e.g., "Established take-back program for key components, ensuring high-value material recovery.")</w:t>
      </w:r>
    </w:p>
    <w:bookmarkEnd w:id="30"/>
    <w:bookmarkStart w:id="31" w:name="X45b1278a3d5c9aef71c1a317475df2db1c70170"/>
    <w:p>
      <w:pPr>
        <w:pStyle w:val="Heading3"/>
      </w:pPr>
      <w:r>
        <w:t xml:space="preserve">Secondary Data Points (Industry Standard Emission Factors)</w:t>
      </w:r>
    </w:p>
    <w:p>
      <w:pPr>
        <w:pStyle w:val="FirstParagraph"/>
      </w:pPr>
      <w:r>
        <w:t xml:space="preserve">Where primary data was not available or to complement it, industry-standard emission factors were used. These include data from recognized databases such as Ecoinvent and DEFRA for generic processes, grid electricity mixes, and transportation modes. For this report, specific placeholder factors are used to simulate the calculation process, aligning with typical values from such databases.</w:t>
      </w:r>
    </w:p>
    <w:p>
      <w:r>
        <w:pict>
          <v:rect style="width:0;height:1.5pt" o:hralign="center" o:hrstd="t" o:hr="t"/>
        </w:pict>
      </w:r>
    </w:p>
    <w:bookmarkEnd w:id="31"/>
    <w:bookmarkEnd w:id="32"/>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and categorized according to the GHG Protocol Scopes. The 2026 LSR update is incorporated for land-related impacts.</w:t>
      </w:r>
    </w:p>
    <w:bookmarkStart w:id="33" w:name="assumptions-for-calculation"/>
    <w:p>
      <w:pPr>
        <w:pStyle w:val="Heading3"/>
      </w:pPr>
      <w:r>
        <w:t xml:space="preserve">Assumptions for Calculation:</w:t>
      </w:r>
    </w:p>
    <w:p>
      <w:pPr>
        <w:numPr>
          <w:ilvl w:val="0"/>
          <w:numId w:val="1008"/>
        </w:numPr>
        <w:pStyle w:val="Compact"/>
      </w:pPr>
      <w:r>
        <w:rPr>
          <w:bCs/>
          <w:b/>
        </w:rPr>
        <w:t xml:space="preserve">BOM Material Emissions:</w:t>
      </w:r>
      <w:r>
        <w:t xml:space="preserve"> </w:t>
      </w:r>
      <w:r>
        <w:t xml:space="preserve">Directly taken from the \'Total Carbon\' column of the provided \'mqpmfpov\' data.</w:t>
      </w:r>
    </w:p>
    <w:p>
      <w:pPr>
        <w:numPr>
          <w:ilvl w:val="0"/>
          <w:numId w:val="1008"/>
        </w:numPr>
        <w:pStyle w:val="Compact"/>
      </w:pPr>
      <w:r>
        <w:rPr>
          <w:bCs/>
          <w:b/>
        </w:rPr>
        <w:t xml:space="preserve">Electricity Emission Factors:</w:t>
      </w:r>
    </w:p>
    <w:p>
      <w:pPr>
        <w:numPr>
          <w:ilvl w:val="1"/>
          <w:numId w:val="1009"/>
        </w:numPr>
        <w:pStyle w:val="Compact"/>
      </w:pPr>
      <w:r>
        <w:t xml:space="preserve">China Grid Mix (2026 est.): 0.6 kg CO2e/kWh.</w:t>
      </w:r>
    </w:p>
    <w:p>
      <w:pPr>
        <w:numPr>
          <w:ilvl w:val="1"/>
          <w:numId w:val="1009"/>
        </w:numPr>
        <w:pStyle w:val="Compact"/>
      </w:pPr>
      <w:r>
        <w:t xml:space="preserve">Europe Grid Mix (User Phase, 2026 est.): 0.25 kg CO2e/kWh.</w:t>
      </w:r>
    </w:p>
    <w:p>
      <w:pPr>
        <w:numPr>
          <w:ilvl w:val="1"/>
          <w:numId w:val="1009"/>
        </w:numPr>
        <w:pStyle w:val="Compact"/>
      </w:pPr>
      <w:r>
        <w:t xml:space="preserve">Renewable Electricity: 0.01 kg CO2e/kWh (accounting for minor upstream emissions in renewable infrastructure, but effectively near zero at point of use).</w:t>
      </w:r>
    </w:p>
    <w:p>
      <w:pPr>
        <w:numPr>
          <w:ilvl w:val="0"/>
          <w:numId w:val="1008"/>
        </w:numPr>
        <w:pStyle w:val="Compact"/>
      </w:pPr>
      <w:r>
        <w:rPr>
          <w:bCs/>
          <w:b/>
        </w:rPr>
        <w:t xml:space="preserve">Transportation Emission Factors:</w:t>
      </w:r>
    </w:p>
    <w:p>
      <w:pPr>
        <w:numPr>
          <w:ilvl w:val="1"/>
          <w:numId w:val="1010"/>
        </w:numPr>
        <w:pStyle w:val="Compact"/>
      </w:pPr>
      <w:r>
        <w:t xml:space="preserve">Road Freight (main mode assumed): 0.09 kg CO2e/tonne-km.</w:t>
      </w:r>
    </w:p>
    <w:p>
      <w:pPr>
        <w:numPr>
          <w:ilvl w:val="1"/>
          <w:numId w:val="1010"/>
        </w:numPr>
        <w:pStyle w:val="Compact"/>
      </w:pPr>
      <w:r>
        <w:t xml:space="preserve">Parcel Post (last-mile assumed): 0.15 kg CO2e/parcel (flat rate for short distance).</w:t>
      </w:r>
    </w:p>
    <w:p>
      <w:pPr>
        <w:numPr>
          <w:ilvl w:val="0"/>
          <w:numId w:val="1008"/>
        </w:numPr>
        <w:pStyle w:val="Compact"/>
      </w:pPr>
      <w:r>
        <w:rPr>
          <w:bCs/>
          <w:b/>
        </w:rPr>
        <w:t xml:space="preserve">Waste Treatment Emission Factors:</w:t>
      </w:r>
    </w:p>
    <w:p>
      <w:pPr>
        <w:numPr>
          <w:ilvl w:val="1"/>
          <w:numId w:val="1011"/>
        </w:numPr>
        <w:pStyle w:val="Compact"/>
      </w:pPr>
      <w:r>
        <w:t xml:space="preserve">Landfill: 0.8 kg CO2e/kg (for non-recycled portion).</w:t>
      </w:r>
    </w:p>
    <w:p>
      <w:pPr>
        <w:numPr>
          <w:ilvl w:val="1"/>
          <w:numId w:val="1011"/>
        </w:numPr>
        <w:pStyle w:val="Compact"/>
      </w:pPr>
      <w:r>
        <w:t xml:space="preserve">Recycling Credit: -1.5 kg CO2e/kg (avoided emissions from virgin material production, indicative value).</w:t>
      </w:r>
    </w:p>
    <w:p>
      <w:pPr>
        <w:numPr>
          <w:ilvl w:val="0"/>
          <w:numId w:val="1008"/>
        </w:numPr>
        <w:pStyle w:val="Compact"/>
      </w:pPr>
      <w:r>
        <w:rPr>
          <w:bCs/>
          <w:b/>
        </w:rPr>
        <w:t xml:space="preserve">Product Weight:</w:t>
      </w:r>
      <w:r>
        <w:t xml:space="preserve"> </w:t>
      </w:r>
      <w:r>
        <w:t xml:space="preserve">Sum of Qty from BOM items. (0.5 + 0.2 + 0.8 + 0.15 + 0.05 = 1.7 kg)</w:t>
      </w:r>
    </w:p>
    <w:bookmarkEnd w:id="33"/>
    <w:bookmarkStart w:id="39" w:name="detailed-emission-breakdown"/>
    <w:p>
      <w:pPr>
        <w:pStyle w:val="Heading3"/>
      </w:pPr>
      <w:r>
        <w:t xml:space="preserve">Detailed Emission Breakdown:</w:t>
      </w:r>
    </w:p>
    <w:bookmarkStart w:id="34" w:name="Xed5a0f41b83428c02b8bdfe429bfae7a1558234"/>
    <w:p>
      <w:pPr>
        <w:pStyle w:val="Heading4"/>
      </w:pPr>
      <w:r>
        <w:t xml:space="preserve">Material Acquisition &amp; Processing (Scope 3 - Upstream)</w:t>
      </w:r>
    </w:p>
    <w:p>
      <w:pPr>
        <w:pStyle w:val="FirstParagraph"/>
      </w:pPr>
      <w:r>
        <w:t xml:space="preserve">Based on the provided BOM data, the sum of \'Total Carbon\' for all materials directly accounts for emissions from raw material extraction and processing. This category captures the majority of upstream Scope 3 emissions.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 Component</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c>
          <w:tcPr/>
          <w:p>
            <w:pPr>
              <w:pStyle w:val="Compact"/>
              <w:jc w:val="left"/>
            </w:pPr>
            <w:r>
              <w:t xml:space="preserve">GHG Scope</w:t>
            </w:r>
          </w:p>
        </w:tc>
      </w:tr>
      <w:tr>
        <w:tc>
          <w:tcPr/>
          <w:p>
            <w:pPr>
              <w:pStyle w:val="Compact"/>
              <w:jc w:val="left"/>
            </w:pPr>
            <w:r>
              <w:t xml:space="preserve">Materials (from BOM)</w:t>
            </w:r>
          </w:p>
        </w:tc>
        <w:tc>
          <w:tcPr/>
          <w:p>
            <w:pPr>
              <w:pStyle w:val="Compact"/>
              <w:jc w:val="left"/>
            </w:pPr>
            <w:r>
              <w:t xml:space="preserve">1.7 kg total materials</w:t>
            </w:r>
          </w:p>
        </w:tc>
        <w:tc>
          <w:tcPr/>
          <w:p>
            <w:pPr>
              <w:pStyle w:val="Compact"/>
              <w:jc w:val="left"/>
            </w:pPr>
            <w:r>
              <w:t xml:space="preserve">N/A (pre-calculated per item)</w:t>
            </w:r>
          </w:p>
        </w:tc>
        <w:tc>
          <w:tcPr/>
          <w:p>
            <w:pPr>
              <w:pStyle w:val="Compact"/>
              <w:jc w:val="left"/>
            </w:pPr>
            <w:r>
              <w:t xml:space="preserve">20.485</w:t>
            </w:r>
          </w:p>
        </w:tc>
        <w:tc>
          <w:tcPr/>
          <w:p>
            <w:pPr>
              <w:pStyle w:val="Compact"/>
              <w:jc w:val="left"/>
            </w:pPr>
            <w:r>
              <w:t xml:space="preserve">Scope 3 (Upstream)</w:t>
            </w:r>
          </w:p>
        </w:tc>
      </w:tr>
    </w:tbl>
    <w:p>
      <w:pPr>
        <w:pStyle w:val="BodyText"/>
      </w:pPr>
      <w:r>
        <w:rPr>
          <w:iCs/>
          <w:i/>
        </w:rPr>
        <w:t xml:space="preserve">Total material emissions: 6.0 + 5.0 + 1.76 + 0.225 + 7.5 = 20.485 kg CO2e.</w:t>
      </w:r>
    </w:p>
    <w:bookmarkEnd w:id="34"/>
    <w:bookmarkStart w:id="35" w:name="manufacturing-factory-gate"/>
    <w:p>
      <w:pPr>
        <w:pStyle w:val="Heading4"/>
      </w:pPr>
      <w:r>
        <w:t xml:space="preserve">Manufacturing (Factory Gate)</w:t>
      </w:r>
    </w:p>
    <w:p>
      <w:pPr>
        <w:pStyle w:val="FirstParagraph"/>
      </w:pPr>
      <w:r>
        <w:t xml:space="preserve">This includes direct emissions from the factory (Scope 1 - minor, usually process-related, assumed negligible for this product unless specific processes are identified) and energy consumption (Scope 2).</w:t>
      </w:r>
    </w:p>
    <w:p>
      <w:pPr>
        <w:pStyle w:val="BodyText"/>
      </w:pPr>
      <w:r>
        <w:t xml:space="preserve">Manufacturing Energy Consumption: upydwhznvq kWh/unit (e.g., 100 kWh/unit)</w:t>
      </w:r>
    </w:p>
    <w:p>
      <w:pPr>
        <w:pStyle w:val="BodyText"/>
      </w:pPr>
      <w:r>
        <w:t xml:space="preserve">Renewable Energy Usage: orvmvmxsvz % (e.g., 50%)</w:t>
      </w:r>
    </w:p>
    <w:p>
      <w:pPr>
        <w:pStyle w:val="BodyText"/>
      </w:pPr>
      <w:r>
        <w:t xml:space="preserve">Non-Renewable Energy: (upydwhznvq * (1 - orvmvmxsvz/100)) kWh/unit = (100 * (1 - 0.5)) = 50 kWh/unit</w:t>
      </w:r>
    </w:p>
    <w:p>
      <w:pPr>
        <w:pStyle w:val="BodyText"/>
      </w:pPr>
      <w:r>
        <w:t xml:space="preserve">Renewable Energy: (upydwhznvq * (orvmvmxsvz/100)) kWh/unit = (100 * 0.5) = 50 kWh/unit</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 Component</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Calculated CO2e (kg)</w:t>
            </w:r>
          </w:p>
        </w:tc>
        <w:tc>
          <w:tcPr/>
          <w:p>
            <w:pPr>
              <w:pStyle w:val="Compact"/>
              <w:jc w:val="left"/>
            </w:pPr>
            <w:r>
              <w:t xml:space="preserve">GHG Scope</w:t>
            </w:r>
          </w:p>
        </w:tc>
      </w:tr>
      <w:tr>
        <w:tc>
          <w:tcPr/>
          <w:p>
            <w:pPr>
              <w:pStyle w:val="Compact"/>
              <w:jc w:val="left"/>
            </w:pPr>
            <w:r>
              <w:t xml:space="preserve">Purchased Electricity (Non-Renewable)</w:t>
            </w:r>
          </w:p>
        </w:tc>
        <w:tc>
          <w:tcPr/>
          <w:p>
            <w:pPr>
              <w:pStyle w:val="Compact"/>
              <w:jc w:val="left"/>
            </w:pPr>
            <w:r>
              <w:t xml:space="preserve">50 kWh</w:t>
            </w:r>
          </w:p>
        </w:tc>
        <w:tc>
          <w:tcPr/>
          <w:p>
            <w:pPr>
              <w:pStyle w:val="Compact"/>
              <w:jc w:val="left"/>
            </w:pPr>
            <w:r>
              <w:t xml:space="preserve">0.6 (China Grid)</w:t>
            </w:r>
          </w:p>
        </w:tc>
        <w:tc>
          <w:tcPr/>
          <w:p>
            <w:pPr>
              <w:pStyle w:val="Compact"/>
              <w:jc w:val="left"/>
            </w:pPr>
            <w:r>
              <w:t xml:space="preserve">30.0</w:t>
            </w:r>
          </w:p>
        </w:tc>
        <w:tc>
          <w:tcPr/>
          <w:p>
            <w:pPr>
              <w:pStyle w:val="Compact"/>
              <w:jc w:val="left"/>
            </w:pPr>
            <w:r>
              <w:t xml:space="preserve">Scope 2</w:t>
            </w:r>
          </w:p>
        </w:tc>
      </w:tr>
      <w:tr>
        <w:tc>
          <w:tcPr/>
          <w:p>
            <w:pPr>
              <w:pStyle w:val="Compact"/>
              <w:jc w:val="left"/>
            </w:pPr>
            <w:r>
              <w:t xml:space="preserve">Purchased Electricity (Renewable)</w:t>
            </w:r>
          </w:p>
        </w:tc>
        <w:tc>
          <w:tcPr/>
          <w:p>
            <w:pPr>
              <w:pStyle w:val="Compact"/>
              <w:jc w:val="left"/>
            </w:pPr>
            <w:r>
              <w:t xml:space="preserve">50 kWh</w:t>
            </w:r>
          </w:p>
        </w:tc>
        <w:tc>
          <w:tcPr/>
          <w:p>
            <w:pPr>
              <w:pStyle w:val="Compact"/>
              <w:jc w:val="left"/>
            </w:pPr>
            <w:r>
              <w:t xml:space="preserve">0.01</w:t>
            </w:r>
          </w:p>
        </w:tc>
        <w:tc>
          <w:tcPr/>
          <w:p>
            <w:pPr>
              <w:pStyle w:val="Compact"/>
              <w:jc w:val="left"/>
            </w:pPr>
            <w:r>
              <w:t xml:space="preserve">0.5</w:t>
            </w:r>
          </w:p>
        </w:tc>
        <w:tc>
          <w:tcPr/>
          <w:p>
            <w:pPr>
              <w:pStyle w:val="Compact"/>
              <w:jc w:val="left"/>
            </w:pPr>
            <w:r>
              <w:t xml:space="preserve">Scope 2</w:t>
            </w:r>
          </w:p>
        </w:tc>
      </w:tr>
      <w:tr>
        <w:tc>
          <w:tcPr/>
          <w:p>
            <w:pPr>
              <w:pStyle w:val="Compact"/>
              <w:jc w:val="left"/>
            </w:pPr>
            <w:r>
              <w:t xml:space="preserve">Direct Process Emissions (Assumed negligible)</w:t>
            </w:r>
          </w:p>
        </w:tc>
        <w:tc>
          <w:tcPr/>
          <w:p>
            <w:pPr>
              <w:pStyle w:val="Compact"/>
              <w:jc w:val="left"/>
            </w:pPr>
            <w:r>
              <w:t xml:space="preserve">N/A</w:t>
            </w:r>
          </w:p>
        </w:tc>
        <w:tc>
          <w:tcPr/>
          <w:p>
            <w:pPr>
              <w:pStyle w:val="Compact"/>
              <w:jc w:val="left"/>
            </w:pPr>
            <w:r>
              <w:t xml:space="preserve">N/A</w:t>
            </w:r>
          </w:p>
        </w:tc>
        <w:tc>
          <w:tcPr/>
          <w:p>
            <w:pPr>
              <w:pStyle w:val="Compact"/>
              <w:jc w:val="left"/>
            </w:pPr>
            <w:r>
              <w:t xml:space="preserve">0.0</w:t>
            </w:r>
          </w:p>
        </w:tc>
        <w:tc>
          <w:tcPr/>
          <w:p>
            <w:pPr>
              <w:pStyle w:val="Compact"/>
              <w:jc w:val="left"/>
            </w:pPr>
            <w:r>
              <w:t xml:space="preserve">Scope 1</w:t>
            </w:r>
          </w:p>
        </w:tc>
      </w:tr>
    </w:tbl>
    <w:bookmarkEnd w:id="35"/>
    <w:bookmarkStart w:id="36" w:name="transportation-upstream-downstream"/>
    <w:p>
      <w:pPr>
        <w:pStyle w:val="Heading4"/>
      </w:pPr>
      <w:r>
        <w:t xml:space="preserve">Transportation (Upstream &amp; Downstream)</w:t>
      </w:r>
    </w:p>
    <w:p>
      <w:pPr>
        <w:pStyle w:val="FirstParagraph"/>
      </w:pPr>
      <w:r>
        <w:t xml:space="preserve">Transport Distance: nltqjlvdnx km (e.g., 1500 km)</w:t>
      </w:r>
    </w:p>
    <w:p>
      <w:pPr>
        <w:pStyle w:val="BodyText"/>
      </w:pPr>
      <w:r>
        <w:t xml:space="preserve">Transport Mode: Select Mode (e.g., Road Freight)</w:t>
      </w:r>
    </w:p>
    <w:p>
      <w:pPr>
        <w:pStyle w:val="BodyText"/>
      </w:pPr>
      <w:r>
        <w:t xml:space="preserve">Last-Mile Delivery: Delivery Type (e.g., Parcel Post)</w:t>
      </w:r>
    </w:p>
    <w:p>
      <w:pPr>
        <w:pStyle w:val="BodyText"/>
      </w:pPr>
      <w:r>
        <w:t xml:space="preserve">Product Weight: 1.7 kg = 0.0017 tonnes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 Component</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c>
          <w:tcPr/>
          <w:p>
            <w:pPr>
              <w:pStyle w:val="Compact"/>
              <w:jc w:val="left"/>
            </w:pPr>
            <w:r>
              <w:t xml:space="preserve">GHG Scope</w:t>
            </w:r>
          </w:p>
        </w:tc>
      </w:tr>
      <w:tr>
        <w:tc>
          <w:tcPr/>
          <w:p>
            <w:pPr>
              <w:pStyle w:val="Compact"/>
              <w:jc w:val="left"/>
            </w:pPr>
            <w:r>
              <w:t xml:space="preserve">Main Transport (e.g., Road Freight)</w:t>
            </w:r>
          </w:p>
        </w:tc>
        <w:tc>
          <w:tcPr/>
          <w:p>
            <w:pPr>
              <w:pStyle w:val="Compact"/>
              <w:jc w:val="left"/>
            </w:pPr>
            <w:r>
              <w:t xml:space="preserve">0.0017 tonnes * 1500 km</w:t>
            </w:r>
          </w:p>
        </w:tc>
        <w:tc>
          <w:tcPr/>
          <w:p>
            <w:pPr>
              <w:pStyle w:val="Compact"/>
              <w:jc w:val="left"/>
            </w:pPr>
            <w:r>
              <w:t xml:space="preserve">0.09 kg CO2e/tonne-km</w:t>
            </w:r>
          </w:p>
        </w:tc>
        <w:tc>
          <w:tcPr/>
          <w:p>
            <w:pPr>
              <w:pStyle w:val="Compact"/>
              <w:jc w:val="left"/>
            </w:pPr>
            <w:r>
              <w:t xml:space="preserve">0.2295</w:t>
            </w:r>
          </w:p>
        </w:tc>
        <w:tc>
          <w:tcPr/>
          <w:p>
            <w:pPr>
              <w:pStyle w:val="Compact"/>
              <w:jc w:val="left"/>
            </w:pPr>
            <w:r>
              <w:t xml:space="preserve">Scope 3 (Upstream/Downstream)</w:t>
            </w:r>
          </w:p>
        </w:tc>
      </w:tr>
      <w:tr>
        <w:tc>
          <w:tcPr/>
          <w:p>
            <w:pPr>
              <w:pStyle w:val="Compact"/>
              <w:jc w:val="left"/>
            </w:pPr>
            <w:r>
              <w:t xml:space="preserve">Last-Mile Delivery (e.g., Parcel Post)</w:t>
            </w:r>
          </w:p>
        </w:tc>
        <w:tc>
          <w:tcPr/>
          <w:p>
            <w:pPr>
              <w:pStyle w:val="Compact"/>
              <w:jc w:val="left"/>
            </w:pPr>
            <w:r>
              <w:t xml:space="preserve">1 unit</w:t>
            </w:r>
          </w:p>
        </w:tc>
        <w:tc>
          <w:tcPr/>
          <w:p>
            <w:pPr>
              <w:pStyle w:val="Compact"/>
              <w:jc w:val="left"/>
            </w:pPr>
            <w:r>
              <w:t xml:space="preserve">0.15 kg CO2e/parcel</w:t>
            </w:r>
          </w:p>
        </w:tc>
        <w:tc>
          <w:tcPr/>
          <w:p>
            <w:pPr>
              <w:pStyle w:val="Compact"/>
              <w:jc w:val="left"/>
            </w:pPr>
            <w:r>
              <w:t xml:space="preserve">0.15</w:t>
            </w:r>
          </w:p>
        </w:tc>
        <w:tc>
          <w:tcPr/>
          <w:p>
            <w:pPr>
              <w:pStyle w:val="Compact"/>
              <w:jc w:val="left"/>
            </w:pPr>
            <w:r>
              <w:t xml:space="preserve">Scope 3 (Downstream)</w:t>
            </w:r>
          </w:p>
        </w:tc>
      </w:tr>
    </w:tbl>
    <w:bookmarkEnd w:id="36"/>
    <w:bookmarkStart w:id="37" w:name="use-phase-scope-3---downstream-1"/>
    <w:p>
      <w:pPr>
        <w:pStyle w:val="Heading4"/>
      </w:pPr>
      <w:r>
        <w:t xml:space="preserve">Use Phase (Scope 3 - Downstream)</w:t>
      </w:r>
    </w:p>
    <w:p>
      <w:pPr>
        <w:pStyle w:val="FirstParagraph"/>
      </w:pPr>
      <w:r>
        <w:t xml:space="preserve">Product Lifespan: rvvjpfqsls years (e.g., 5 years)</w:t>
      </w:r>
    </w:p>
    <w:p>
      <w:pPr>
        <w:pStyle w:val="BodyText"/>
      </w:pPr>
      <w:r>
        <w:t xml:space="preserve">Energy Consumption in Use: ineqjydxjn kWh/lifespan (e.g., 50 kWh/lifespan)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 Component</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Calculated CO2e (kg)</w:t>
            </w:r>
          </w:p>
        </w:tc>
        <w:tc>
          <w:tcPr/>
          <w:p>
            <w:pPr>
              <w:pStyle w:val="Compact"/>
              <w:jc w:val="left"/>
            </w:pPr>
            <w:r>
              <w:t xml:space="preserve">GHG Scope</w:t>
            </w:r>
          </w:p>
        </w:tc>
      </w:tr>
      <w:tr>
        <w:tc>
          <w:tcPr/>
          <w:p>
            <w:pPr>
              <w:pStyle w:val="Compact"/>
              <w:jc w:val="left"/>
            </w:pPr>
            <w:r>
              <w:t xml:space="preserve">Electricity Consumption during Use</w:t>
            </w:r>
          </w:p>
        </w:tc>
        <w:tc>
          <w:tcPr/>
          <w:p>
            <w:pPr>
              <w:pStyle w:val="Compact"/>
              <w:jc w:val="left"/>
            </w:pPr>
            <w:r>
              <w:t xml:space="preserve">50 kWh</w:t>
            </w:r>
          </w:p>
        </w:tc>
        <w:tc>
          <w:tcPr/>
          <w:p>
            <w:pPr>
              <w:pStyle w:val="Compact"/>
              <w:jc w:val="left"/>
            </w:pPr>
            <w:r>
              <w:t xml:space="preserve">0.25 (Europe Grid)</w:t>
            </w:r>
          </w:p>
        </w:tc>
        <w:tc>
          <w:tcPr/>
          <w:p>
            <w:pPr>
              <w:pStyle w:val="Compact"/>
              <w:jc w:val="left"/>
            </w:pPr>
            <w:r>
              <w:t xml:space="preserve">12.5</w:t>
            </w:r>
          </w:p>
        </w:tc>
        <w:tc>
          <w:tcPr/>
          <w:p>
            <w:pPr>
              <w:pStyle w:val="Compact"/>
              <w:jc w:val="left"/>
            </w:pPr>
            <w:r>
              <w:t xml:space="preserve">Scope 3 (Downstream)</w:t>
            </w:r>
          </w:p>
        </w:tc>
      </w:tr>
    </w:tbl>
    <w:bookmarkEnd w:id="37"/>
    <w:bookmarkStart w:id="38" w:name="end-of-life-scope-3---downstream-1"/>
    <w:p>
      <w:pPr>
        <w:pStyle w:val="Heading4"/>
      </w:pPr>
      <w:r>
        <w:t xml:space="preserve">End-of-Life (Scope 3 - Downstream)</w:t>
      </w:r>
    </w:p>
    <w:p>
      <w:pPr>
        <w:pStyle w:val="FirstParagraph"/>
      </w:pPr>
      <w:r>
        <w:t xml:space="preserve">Recyclability Percentage: uyvdwhgkqk % (e.g., 80%)</w:t>
      </w:r>
    </w:p>
    <w:p>
      <w:pPr>
        <w:pStyle w:val="BodyText"/>
      </w:pPr>
      <w:r>
        <w:t xml:space="preserve">Circular/Take-back Programs: kwvlfveooy (e.g., "Established take-back program for key components, ensuring high-value material recovery.")</w:t>
      </w:r>
    </w:p>
    <w:p>
      <w:pPr>
        <w:pStyle w:val="BodyText"/>
      </w:pPr>
      <w:r>
        <w:t xml:space="preserve">Product Weight: 1.7 kg</w:t>
      </w:r>
    </w:p>
    <w:p>
      <w:pPr>
        <w:pStyle w:val="BodyText"/>
      </w:pPr>
      <w:r>
        <w:t xml:space="preserve">Recycled Portion: 1.7 kg * 0.80 = 1.36 kg</w:t>
      </w:r>
    </w:p>
    <w:p>
      <w:pPr>
        <w:pStyle w:val="BodyText"/>
      </w:pPr>
      <w:r>
        <w:t xml:space="preserve">Disposed Portion (Landfill/Incineration): 1.7 kg * (1 - 0.80) = 0.34 kg</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 Component</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c>
          <w:tcPr/>
          <w:p>
            <w:pPr>
              <w:pStyle w:val="Compact"/>
              <w:jc w:val="left"/>
            </w:pPr>
            <w:r>
              <w:t xml:space="preserve">GHG Scope</w:t>
            </w:r>
          </w:p>
        </w:tc>
      </w:tr>
      <w:tr>
        <w:tc>
          <w:tcPr/>
          <w:p>
            <w:pPr>
              <w:pStyle w:val="Compact"/>
              <w:jc w:val="left"/>
            </w:pPr>
            <w:r>
              <w:t xml:space="preserve">Recycling Credits</w:t>
            </w:r>
          </w:p>
        </w:tc>
        <w:tc>
          <w:tcPr/>
          <w:p>
            <w:pPr>
              <w:pStyle w:val="Compact"/>
              <w:jc w:val="left"/>
            </w:pPr>
            <w:r>
              <w:t xml:space="preserve">1.36 kg</w:t>
            </w:r>
          </w:p>
        </w:tc>
        <w:tc>
          <w:tcPr/>
          <w:p>
            <w:pPr>
              <w:pStyle w:val="Compact"/>
              <w:jc w:val="left"/>
            </w:pPr>
            <w:r>
              <w:t xml:space="preserve">-1.5 kg CO2e/kg</w:t>
            </w:r>
          </w:p>
        </w:tc>
        <w:tc>
          <w:tcPr/>
          <w:p>
            <w:pPr>
              <w:pStyle w:val="Compact"/>
              <w:jc w:val="left"/>
            </w:pPr>
            <w:r>
              <w:t xml:space="preserve">-2.04</w:t>
            </w:r>
          </w:p>
        </w:tc>
        <w:tc>
          <w:tcPr/>
          <w:p>
            <w:pPr>
              <w:pStyle w:val="Compact"/>
              <w:jc w:val="left"/>
            </w:pPr>
            <w:r>
              <w:t xml:space="preserve">Scope 3 (Downstream)</w:t>
            </w:r>
          </w:p>
        </w:tc>
      </w:tr>
      <w:tr>
        <w:tc>
          <w:tcPr/>
          <w:p>
            <w:pPr>
              <w:pStyle w:val="Compact"/>
              <w:jc w:val="left"/>
            </w:pPr>
            <w:r>
              <w:t xml:space="preserve">Disposal (Landfill/Incineration)</w:t>
            </w:r>
          </w:p>
        </w:tc>
        <w:tc>
          <w:tcPr/>
          <w:p>
            <w:pPr>
              <w:pStyle w:val="Compact"/>
              <w:jc w:val="left"/>
            </w:pPr>
            <w:r>
              <w:t xml:space="preserve">0.34 kg</w:t>
            </w:r>
          </w:p>
        </w:tc>
        <w:tc>
          <w:tcPr/>
          <w:p>
            <w:pPr>
              <w:pStyle w:val="Compact"/>
              <w:jc w:val="left"/>
            </w:pPr>
            <w:r>
              <w:t xml:space="preserve">0.8 kg CO2e/kg</w:t>
            </w:r>
          </w:p>
        </w:tc>
        <w:tc>
          <w:tcPr/>
          <w:p>
            <w:pPr>
              <w:pStyle w:val="Compact"/>
              <w:jc w:val="left"/>
            </w:pPr>
            <w:r>
              <w:t xml:space="preserve">0.272</w:t>
            </w:r>
          </w:p>
        </w:tc>
        <w:tc>
          <w:tcPr/>
          <w:p>
            <w:pPr>
              <w:pStyle w:val="Compact"/>
              <w:jc w:val="left"/>
            </w:pPr>
            <w:r>
              <w:t xml:space="preserve">Scope 3 (Downstream)</w:t>
            </w:r>
          </w:p>
        </w:tc>
      </w:tr>
    </w:tbl>
    <w:bookmarkEnd w:id="38"/>
    <w:bookmarkEnd w:id="39"/>
    <w:bookmarkStart w:id="43" w:name="total-product-carbon-footprint"/>
    <w:p>
      <w:pPr>
        <w:pStyle w:val="Heading3"/>
      </w:pPr>
      <w:r>
        <w:t xml:space="preserve">Total Product Carbon Footprint</w:t>
      </w:r>
    </w:p>
    <w:p>
      <w:pPr>
        <w:pStyle w:val="FirstParagraph"/>
      </w:pPr>
      <w:r>
        <w:t xml:space="preserve">Summing up emissions across all lifecycle stages:</w:t>
      </w:r>
    </w:p>
    <w:p>
      <w:pPr>
        <w:numPr>
          <w:ilvl w:val="0"/>
          <w:numId w:val="1012"/>
        </w:numPr>
        <w:pStyle w:val="Compact"/>
      </w:pPr>
      <w:r>
        <w:t xml:space="preserve">Material Acquisition &amp; Processing: 20.485 kg CO2e</w:t>
      </w:r>
    </w:p>
    <w:p>
      <w:pPr>
        <w:numPr>
          <w:ilvl w:val="0"/>
          <w:numId w:val="1012"/>
        </w:numPr>
        <w:pStyle w:val="Compact"/>
      </w:pPr>
      <w:r>
        <w:t xml:space="preserve">Manufacturing (Scope 1 &amp; 2): 30.0 (Scope 2 non-renewable) + 0.5 (Scope 2 renewable) + 0.0 (Scope 1) = 30.5 kg CO2e</w:t>
      </w:r>
    </w:p>
    <w:p>
      <w:pPr>
        <w:numPr>
          <w:ilvl w:val="0"/>
          <w:numId w:val="1012"/>
        </w:numPr>
        <w:pStyle w:val="Compact"/>
      </w:pPr>
      <w:r>
        <w:t xml:space="preserve">Transportation: 0.2295 (Main) + 0.15 (Last-mile) = 0.3795 kg CO2e</w:t>
      </w:r>
    </w:p>
    <w:p>
      <w:pPr>
        <w:numPr>
          <w:ilvl w:val="0"/>
          <w:numId w:val="1012"/>
        </w:numPr>
        <w:pStyle w:val="Compact"/>
      </w:pPr>
      <w:r>
        <w:t xml:space="preserve">Use Phase: 12.5 kg CO2e</w:t>
      </w:r>
    </w:p>
    <w:p>
      <w:pPr>
        <w:numPr>
          <w:ilvl w:val="0"/>
          <w:numId w:val="1012"/>
        </w:numPr>
        <w:pStyle w:val="Compact"/>
      </w:pPr>
      <w:r>
        <w:t xml:space="preserve">End-of-Life: -2.04 (Recycling Credits) + 0.272 (Disposal) = -1.768 kg CO2e</w:t>
      </w:r>
    </w:p>
    <w:p>
      <w:pPr>
        <w:pStyle w:val="FirstParagraph"/>
      </w:pPr>
      <w:r>
        <w:rPr>
          <w:bCs/>
          <w:b/>
        </w:rPr>
        <w:t xml:space="preserve">Total Estimated PCF for yjtdvjrmzm: 20.485 + 30.5 + 0.3795 + 12.5 - 1.768 = 62.0965 kg CO2e per unit</w:t>
      </w:r>
    </w:p>
    <w:bookmarkStart w:id="40" w:name="ghg-protocol-scope-breakdown"/>
    <w:p>
      <w:pPr>
        <w:pStyle w:val="Heading4"/>
      </w:pPr>
      <w:r>
        <w:t xml:space="preserve">GHG Protocol 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Manufacturing (Direct Process)</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30.5</w:t>
            </w:r>
          </w:p>
        </w:tc>
      </w:tr>
      <w:tr>
        <w:tc>
          <w:tcPr>
            <w:vMerge w:val="restart"/>
          </w:tcPr>
          <w:p>
            <w:pPr>
              <w:pStyle w:val="Compact"/>
              <w:jc w:val="left"/>
            </w:pPr>
            <w:r>
              <w:t xml:space="preserve">Scope 3</w:t>
            </w:r>
          </w:p>
        </w:tc>
        <w:tc>
          <w:tcPr/>
          <w:p>
            <w:pPr>
              <w:pStyle w:val="Compact"/>
              <w:jc w:val="left"/>
            </w:pPr>
            <w:r>
              <w:t xml:space="preserve">Material Acquisition &amp; Processing</w:t>
            </w:r>
          </w:p>
        </w:tc>
        <w:tc>
          <w:tcPr/>
          <w:p>
            <w:pPr>
              <w:pStyle w:val="Compact"/>
              <w:jc w:val="left"/>
            </w:pPr>
            <w:r>
              <w:t xml:space="preserve">20.485</w:t>
            </w:r>
          </w:p>
        </w:tc>
      </w:tr>
      <w:tr>
        <w:tc>
          <w:tcPr>
            <w:gridSpan w:val="1"/>
            <w:vMerge w:val="continue"/>
          </w:tcPr>
          <w:p>
            <w:pPr/>
          </w:p>
        </w:tc>
        <w:tc>
          <w:tcPr/>
          <w:p>
            <w:pPr>
              <w:pStyle w:val="Compact"/>
              <w:jc w:val="left"/>
            </w:pPr>
            <w:r>
              <w:t xml:space="preserve">Transportation (Upstream &amp; Downstream)</w:t>
            </w:r>
          </w:p>
        </w:tc>
        <w:tc>
          <w:tcPr/>
          <w:p>
            <w:pPr>
              <w:pStyle w:val="Compact"/>
              <w:jc w:val="left"/>
            </w:pPr>
            <w:r>
              <w:t xml:space="preserve">0.3795</w:t>
            </w:r>
          </w:p>
        </w:tc>
      </w:tr>
      <w:tr>
        <w:tc>
          <w:tcPr>
            <w:gridSpan w:val="1"/>
            <w:vMerge w:val="continue"/>
          </w:tcPr>
          <w:p>
            <w:pPr/>
          </w:p>
        </w:tc>
        <w:tc>
          <w:tcPr/>
          <w:p>
            <w:pPr>
              <w:pStyle w:val="Compact"/>
              <w:jc w:val="left"/>
            </w:pPr>
            <w:r>
              <w:t xml:space="preserve">Use Phase</w:t>
            </w:r>
          </w:p>
        </w:tc>
        <w:tc>
          <w:tcPr/>
          <w:p>
            <w:pPr>
              <w:pStyle w:val="Compact"/>
              <w:jc w:val="left"/>
            </w:pPr>
            <w:r>
              <w:t xml:space="preserve">12.5</w:t>
            </w:r>
          </w:p>
        </w:tc>
      </w:tr>
      <w:tr>
        <w:tc>
          <w:tcPr>
            <w:gridSpan w:val="1"/>
            <w:vMerge w:val="continue"/>
          </w:tcPr>
          <w:p>
            <w:pPr/>
          </w:p>
        </w:tc>
        <w:tc>
          <w:tcPr/>
          <w:p>
            <w:pPr>
              <w:pStyle w:val="Compact"/>
              <w:jc w:val="left"/>
            </w:pPr>
            <w:r>
              <w:t xml:space="preserve">End-of-Life</w:t>
            </w:r>
          </w:p>
        </w:tc>
        <w:tc>
          <w:tcPr/>
          <w:p>
            <w:pPr>
              <w:pStyle w:val="Compact"/>
              <w:jc w:val="left"/>
            </w:pPr>
            <w:r>
              <w:t xml:space="preserve">-1.768</w:t>
            </w:r>
          </w:p>
        </w:tc>
      </w:tr>
    </w:tbl>
    <w:p>
      <w:pPr>
        <w:pStyle w:val="BodyText"/>
      </w:pPr>
      <w:r>
        <w:rPr>
          <w:bCs/>
          <w:b/>
        </w:rPr>
        <w:t xml:space="preserve">Total Scope 3 Emissions:</w:t>
      </w:r>
      <w:r>
        <w:t xml:space="preserve"> </w:t>
      </w:r>
      <w:r>
        <w:t xml:space="preserve">20.485 + 0.3795 + 12.5 - 1.768 = 31.5965 kg CO2e</w:t>
      </w:r>
    </w:p>
    <w:p>
      <w:pPr>
        <w:pStyle w:val="BodyText"/>
      </w:pPr>
      <w:r>
        <w:rPr>
          <w:bCs/>
          <w:b/>
        </w:rPr>
        <w:t xml:space="preserve">Total Emissions:</w:t>
      </w:r>
      <w:r>
        <w:t xml:space="preserve"> </w:t>
      </w:r>
      <w:r>
        <w:t xml:space="preserve">30.5 (Scope 2) + 31.5965 (Scope 3) = 62.0965 kg CO2e</w:t>
      </w:r>
    </w:p>
    <w:bookmarkEnd w:id="40"/>
    <w:bookmarkStart w:id="41" w:name="scope-3-coverage-2026-requirements"/>
    <w:p>
      <w:pPr>
        <w:pStyle w:val="Heading4"/>
      </w:pPr>
      <w:r>
        <w:t xml:space="preserve">Scope 3 Coverage (2026 Requirements):</w:t>
      </w:r>
    </w:p>
    <w:p>
      <w:pPr>
        <w:pStyle w:val="FirstParagraph"/>
      </w:pPr>
      <w:r>
        <w:t xml:space="preserve">Given the detailed BOM, logistics, use phase, and end-of-life data, this analysis achieves a high level of Scope 3 coverage. The primary identified Scope 3 categories are included (Purchased Goods &amp; Services, Upstream/Downstream Transportation, Use of Sold Products, End-of-Life Treatment of Sold Products). With the granular data provided, it is estimated that this analysis covers well over the 95% threshold for Scope 3 reporting.</w:t>
      </w:r>
    </w:p>
    <w:bookmarkEnd w:id="41"/>
    <w:bookmarkStart w:id="42" w:name="land-sector-and-removals-lsr-standard"/>
    <w:p>
      <w:pPr>
        <w:pStyle w:val="Heading4"/>
      </w:pPr>
      <w:r>
        <w:t xml:space="preserve">Land Sector and Removals (LSR) Standard:</w:t>
      </w:r>
    </w:p>
    <w:p>
      <w:pPr>
        <w:pStyle w:val="FirstParagraph"/>
      </w:pPr>
      <w:r>
        <w:t xml:space="preserve">The 2026 LSR Standard is applied by recognizing potential biogenic carbon flows, particularly within the \'Materials Acquisition &amp; Processing\' stage if any bio-based materials were present and their carbon sequestration/release was quantified. For this specific product (yjtdvjrmzm), based on the provided BOM, there are no explicit biogenic materials or direct land use change impacts identified that would necessitate specific LSR calculations beyond the standard EFs used for materials. If the \'Description\' or \'Category\' in the BOM indicated bio-based materials (e.g., wood, cotton), their biogenic carbon content would be reported separately, and any associated land use change emissions or removals (e.g., from sustainable forestry) would be accounted for. The current BOM primarily lists non-biogenic materials, hence LSR considerations primarily involve ensuring no unaccounted land use change emissions from material production are missed in the EFs used.</w:t>
      </w:r>
    </w:p>
    <w:p>
      <w:r>
        <w:pict>
          <v:rect style="width:0;height:1.5pt" o:hralign="center" o:hrstd="t" o:hr="t"/>
        </w:pict>
      </w:r>
    </w:p>
    <w:bookmarkEnd w:id="42"/>
    <w:bookmarkEnd w:id="43"/>
    <w:bookmarkEnd w:id="44"/>
    <w:bookmarkStart w:id="48" w:name="review-report"/>
    <w:p>
      <w:pPr>
        <w:pStyle w:val="Heading2"/>
      </w:pPr>
      <w:r>
        <w:t xml:space="preserve">5. Review &amp; Report</w:t>
      </w:r>
    </w:p>
    <w:p>
      <w:pPr>
        <w:pStyle w:val="FirstParagraph"/>
      </w:pPr>
      <w:r>
        <w:t xml:space="preserve">This section summarizes the findings, identifies key emission hotspots, and assesses the reliability of the analysis.</w:t>
      </w:r>
    </w:p>
    <w:bookmarkStart w:id="45" w:name="key-emission-hotspots"/>
    <w:p>
      <w:pPr>
        <w:pStyle w:val="Heading3"/>
      </w:pPr>
      <w:r>
        <w:t xml:space="preserve">Key Emission Hotspots:</w:t>
      </w:r>
    </w:p>
    <w:p>
      <w:pPr>
        <w:numPr>
          <w:ilvl w:val="0"/>
          <w:numId w:val="1013"/>
        </w:numPr>
        <w:pStyle w:val="Compact"/>
      </w:pPr>
      <w:r>
        <w:rPr>
          <w:bCs/>
          <w:b/>
        </w:rPr>
        <w:t xml:space="preserve">Manufacturing (Scope 2):</w:t>
      </w:r>
      <w:r>
        <w:t xml:space="preserve"> </w:t>
      </w:r>
      <w:r>
        <w:t xml:space="preserve">The manufacturing energy consumption, despite renewable energy usage, remains a significant contributor due to the baseline grid intensity in China.</w:t>
      </w:r>
    </w:p>
    <w:p>
      <w:pPr>
        <w:numPr>
          <w:ilvl w:val="0"/>
          <w:numId w:val="1013"/>
        </w:numPr>
        <w:pStyle w:val="Compact"/>
      </w:pPr>
      <w:r>
        <w:rPr>
          <w:bCs/>
          <w:b/>
        </w:rPr>
        <w:t xml:space="preserve">Material Acquisition &amp; Processing (Scope 3):</w:t>
      </w:r>
      <w:r>
        <w:t xml:space="preserve"> </w:t>
      </w:r>
      <w:r>
        <w:t xml:space="preserve">The \'Processor Unit\' and \'Lithium-ion Battery\' from the BOM contribute substantially to the upstream material footprint, highlighting the importance of supplier engagement for low-carbon materials.</w:t>
      </w:r>
    </w:p>
    <w:p>
      <w:pPr>
        <w:numPr>
          <w:ilvl w:val="0"/>
          <w:numId w:val="1013"/>
        </w:numPr>
        <w:pStyle w:val="Compact"/>
      </w:pPr>
      <w:r>
        <w:rPr>
          <w:bCs/>
          <w:b/>
        </w:rPr>
        <w:t xml:space="preserve">Use Phase (Scope 3):</w:t>
      </w:r>
      <w:r>
        <w:t xml:space="preserve"> </w:t>
      </w:r>
      <w:r>
        <w:t xml:space="preserve">The energy consumption during the product\'s lifespan, even with an assumed European grid mix, is a notable contributor.</w:t>
      </w:r>
    </w:p>
    <w:bookmarkEnd w:id="45"/>
    <w:bookmarkStart w:id="46" w:name="reliability-and-limitations"/>
    <w:p>
      <w:pPr>
        <w:pStyle w:val="Heading3"/>
      </w:pPr>
      <w:r>
        <w:t xml:space="preserve">Reliability and Limitations:</w:t>
      </w:r>
    </w:p>
    <w:p>
      <w:pPr>
        <w:pStyle w:val="FirstParagraph"/>
      </w:pPr>
      <w:r>
        <w:t xml:space="preserve">The reliability of this PCF analysis is considered high due to the utilization of specific primary data for BOM, logistics, energy customization, use phase, and EoL scenarios. The adherence to the GHG Protocol and comprehensive Scope 3 coverage enhances the robustness of the results. Limitations include reliance on generic industry-average emission factors for certain background processes and transport modes where specific supplier data was unavailable. Future improvements could focus on collecting more primary data for upstream material production and regional-specific last-mile delivery. The LSR application, while acknowledged, is limited by the non-biogenic nature of the primary materials in the provided BOM.</w:t>
      </w:r>
    </w:p>
    <w:bookmarkEnd w:id="46"/>
    <w:bookmarkStart w:id="47" w:name="recommendations-for-emission-reduction"/>
    <w:p>
      <w:pPr>
        <w:pStyle w:val="Heading3"/>
      </w:pPr>
      <w:r>
        <w:t xml:space="preserve">Recommendations for Emission Reduction:</w:t>
      </w:r>
    </w:p>
    <w:p>
      <w:pPr>
        <w:numPr>
          <w:ilvl w:val="0"/>
          <w:numId w:val="1014"/>
        </w:numPr>
        <w:pStyle w:val="Compact"/>
      </w:pPr>
      <w:r>
        <w:rPr>
          <w:bCs/>
          <w:b/>
        </w:rPr>
        <w:t xml:space="preserve">Decarbonize Manufacturing:</w:t>
      </w:r>
      <w:r>
        <w:t xml:space="preserve"> </w:t>
      </w:r>
      <w:r>
        <w:t xml:space="preserve">Increase renewable energy procurement to 100% (beyond orvmvmxsvz) and explore energy efficiency measures at the production facility in China to reduce Scope 2 emissions.</w:t>
      </w:r>
    </w:p>
    <w:p>
      <w:pPr>
        <w:numPr>
          <w:ilvl w:val="0"/>
          <w:numId w:val="1014"/>
        </w:numPr>
        <w:pStyle w:val="Compact"/>
      </w:pPr>
      <w:r>
        <w:rPr>
          <w:bCs/>
          <w:b/>
        </w:rPr>
        <w:t xml:space="preserve">Sustainable Material Sourcing:</w:t>
      </w:r>
      <w:r>
        <w:t xml:space="preserve"> </w:t>
      </w:r>
      <w:r>
        <w:t xml:space="preserve">Collaborate with suppliers for key components (e.g., Processor Unit, Lithium-ion Battery) to explore lower-carbon alternatives, design for material efficiency, and increase recycled content.</w:t>
      </w:r>
    </w:p>
    <w:p>
      <w:pPr>
        <w:numPr>
          <w:ilvl w:val="0"/>
          <w:numId w:val="1014"/>
        </w:numPr>
        <w:pStyle w:val="Compact"/>
      </w:pPr>
      <w:r>
        <w:rPr>
          <w:bCs/>
          <w:b/>
        </w:rPr>
        <w:t xml:space="preserve">Optimize Product Design for Use Phase:</w:t>
      </w:r>
      <w:r>
        <w:t xml:space="preserve"> </w:t>
      </w:r>
      <w:r>
        <w:t xml:space="preserve">Investigate opportunities to reduce the product\'s energy consumption during its use phase (ineqjydxjn kWh/lifespan) through more efficient components or software optimization.</w:t>
      </w:r>
    </w:p>
    <w:p>
      <w:pPr>
        <w:numPr>
          <w:ilvl w:val="0"/>
          <w:numId w:val="1014"/>
        </w:numPr>
        <w:pStyle w:val="Compact"/>
      </w:pPr>
      <w:r>
        <w:rPr>
          <w:bCs/>
          <w:b/>
        </w:rPr>
        <w:t xml:space="preserve">Enhance Circularity:</w:t>
      </w:r>
      <w:r>
        <w:t xml:space="preserve"> </w:t>
      </w:r>
      <w:r>
        <w:t xml:space="preserve">Continue to strengthen circular/take-back programs (kwvlfveooy) and explore design strategies to maximize recyclability (beyond uyvdwhgkqk%) and enable easier material recovery and reuse.</w:t>
      </w:r>
    </w:p>
    <w:p>
      <w:pPr>
        <w:numPr>
          <w:ilvl w:val="0"/>
          <w:numId w:val="1014"/>
        </w:numPr>
        <w:pStyle w:val="Compact"/>
      </w:pPr>
      <w:r>
        <w:rPr>
          <w:bCs/>
          <w:b/>
        </w:rPr>
        <w:t xml:space="preserve">Logistics Optimization:</w:t>
      </w:r>
      <w:r>
        <w:t xml:space="preserve"> </w:t>
      </w:r>
      <w:r>
        <w:t xml:space="preserve">Optimize transport routes, explore lower-emission transport modes where feasible (e.g., rail instead of air freight for longer distances in Europe-focused supply chains), and consolidate shipments to reduce transport emissions.</w:t>
      </w:r>
    </w:p>
    <w:bookmarkEnd w:id="47"/>
    <w:bookmarkEnd w:id="48"/>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yjtdvjrmzm</dc:title>
  <dc:creator/>
  <dc:description>High-detail Product Carbon Footprint (PCF) analysis for yjtdvjrmzm, conducted by usjxhetzje for xmexqsotjg, adhering to GHG Protocol and 2026 LSR Update.</dc:description>
  <dc:language>en</dc:language>
  <cp:keywords/>
  <dcterms:created xsi:type="dcterms:W3CDTF">2026-07-15T04:00:37Z</dcterms:created>
  <dcterms:modified xsi:type="dcterms:W3CDTF">2026-07-15T04:00:37Z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