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xnmrktefjo</w:t>
      </w:r>
      <w:r>
        <w:t xml:space="preserve"> </w:t>
      </w:r>
      <w:r>
        <w:t xml:space="preserve">-</w:t>
      </w:r>
      <w:r>
        <w:t xml:space="preserve"> </w:t>
      </w:r>
      <w:r>
        <w:t xml:space="preserve">ipywzymqnp</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xnmrktefjo"/>
    <w:p>
      <w:pPr>
        <w:pStyle w:val="Heading2"/>
      </w:pPr>
      <w:r>
        <w:t xml:space="preserve">for xnmrktefjo</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ipywzymqnp</w:t>
      </w:r>
    </w:p>
    <w:p>
      <w:pPr>
        <w:pStyle w:val="BodyText"/>
      </w:pPr>
      <w:r>
        <w:rPr>
          <w:bCs/>
          <w:b/>
        </w:rPr>
        <w:t xml:space="preserve">Senior Sustainability Consultant:</w:t>
      </w:r>
      <w:r>
        <w:t xml:space="preserve"> </w:t>
      </w:r>
      <w:r>
        <w:t xml:space="preserve">shgolrnkml</w:t>
      </w:r>
    </w:p>
    <w:p>
      <w:pPr>
        <w:pStyle w:val="BodyText"/>
      </w:pPr>
      <w:r>
        <w:t xml:space="preserve">Disclaimer: This report is generated based on available data and industry standards. While efforts have been made to ensure accuracy and adherence to the GHG Protocol, actual impacts may vary based on specific operational details, real-time data, and evolving methodologies. Illustrative data has been used where specific parameters were provided as placeholders.</w:t>
      </w:r>
    </w:p>
    <w:bookmarkEnd w:id="20"/>
    <w:bookmarkEnd w:id="21"/>
    <w:bookmarkStart w:id="58" w:name="Xa87d010c1fd868336511b306fbd202996615f12"/>
    <w:p>
      <w:pPr>
        <w:pStyle w:val="Heading1"/>
      </w:pPr>
      <w:r>
        <w:t xml:space="preserve">Product Carbon Footprint Analysis Report</w:t>
      </w:r>
    </w:p>
    <w:bookmarkStart w:id="22" w:name="for-xnmrktefjo-1"/>
    <w:p>
      <w:pPr>
        <w:pStyle w:val="Heading2"/>
      </w:pPr>
      <w:r>
        <w:t xml:space="preserve">for xnmrktefjo</w:t>
      </w:r>
    </w:p>
    <w:p>
      <w:pPr>
        <w:pStyle w:val="FirstParagraph"/>
      </w:pPr>
      <w:r>
        <w:rPr>
          <w:bCs/>
          <w:b/>
        </w:rPr>
        <w:t xml:space="preserve">Generated Date:</w:t>
      </w:r>
      <w:r>
        <w:t xml:space="preserve"> </w:t>
      </w:r>
      <w:r>
        <w:t xml:space="preserve">May 21, 2026</w:t>
      </w:r>
    </w:p>
    <w:p>
      <w:pPr>
        <w:pStyle w:val="BodyText"/>
      </w:pPr>
      <w:r>
        <w:rPr>
          <w:bCs/>
          <w:b/>
        </w:rPr>
        <w:t xml:space="preserve">Consultant:</w:t>
      </w:r>
      <w:r>
        <w:t xml:space="preserve"> </w:t>
      </w:r>
      <w:r>
        <w:t xml:space="preserve">shgolrnkml, Senior Sustainability Consultant</w:t>
      </w:r>
    </w:p>
    <w:p>
      <w:pPr>
        <w:pStyle w:val="BodyText"/>
      </w:pPr>
      <w:r>
        <w:rPr>
          <w:bCs/>
          <w:b/>
        </w:rPr>
        <w:t xml:space="preserve">Company:</w:t>
      </w:r>
      <w:r>
        <w:t xml:space="preserve"> </w:t>
      </w:r>
      <w:r>
        <w:t xml:space="preserve">ipywzymqnp</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xnmrktefjo, manufactured by ipywzymqnp. Conducted by shgolrnkml, Senior Sustainability Consultant, this analysis adheres strictly to the Greenhouse Gas (GHG) Protocol, incorporating the latest 2026 Land Sector and Removals (LSR) Standard updates and the 95% coverage requirement for Scope 3 emissions. The study adopts a cradle-to-grave perspective, extending beyond the factory gate to include material acquisition, manufacturing, transport, use, and end-of-life phases. Its objective is to identify key emission hotspots across the product\'s lifecycle and provide ipywzymqnp with actionable insights for emissions reduction.</w:t>
      </w:r>
    </w:p>
    <w:p>
      <w:r>
        <w:pict>
          <v:rect style="width:0;height:1.5pt" o:hralign="center" o:hrstd="t" o:hr="t"/>
        </w:pict>
      </w:r>
    </w:p>
    <w:bookmarkEnd w:id="23"/>
    <w:bookmarkStart w:id="29" w:name="defining-the-scope"/>
    <w:p>
      <w:pPr>
        <w:pStyle w:val="Heading2"/>
      </w:pPr>
      <w:r>
        <w:t xml:space="preserve">1. Defining the Scope</w:t>
      </w:r>
    </w:p>
    <w:p>
      <w:pPr>
        <w:pStyle w:val="FirstParagraph"/>
      </w:pPr>
      <w:r>
        <w:t xml:space="preserve">The initial phase of the PCF analysis establishes the boundaries and specific parameters for quantifying the greenhouse gas emissions associated with xnmrktefjo.</w:t>
      </w:r>
    </w:p>
    <w:bookmarkStart w:id="24"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xnmrktefjo</w:t>
      </w:r>
      <w:r>
        <w:t xml:space="preserve">. This unit serves as the reference basis for all quantified environmental impacts, ensuring comparability and consistency throughout the assessment.</w:t>
      </w:r>
    </w:p>
    <w:bookmarkEnd w:id="24"/>
    <w:bookmarkStart w:id="25"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factory_gate</w:t>
      </w:r>
      <w:r>
        <w:t xml:space="preserve">, extended to encompass a comprehensive cradle-to-grave perspective as per the specified parameters. This includes:</w:t>
      </w:r>
    </w:p>
    <w:p>
      <w:pPr>
        <w:numPr>
          <w:ilvl w:val="0"/>
          <w:numId w:val="1001"/>
        </w:numPr>
        <w:pStyle w:val="Compact"/>
      </w:pPr>
      <w:r>
        <w:rPr>
          <w:bCs/>
          <w:b/>
        </w:rPr>
        <w:t xml:space="preserve">Upstream (Cradle-to-Gate):</w:t>
      </w:r>
      <w:r>
        <w:t xml:space="preserve"> </w:t>
      </w:r>
      <w:r>
        <w:t xml:space="preserve">Raw material extraction and processing, transport of materials to the manufacturing facility, and the manufacturing processes at the ipywzymqnp factory in China.</w:t>
      </w:r>
    </w:p>
    <w:p>
      <w:pPr>
        <w:numPr>
          <w:ilvl w:val="0"/>
          <w:numId w:val="1001"/>
        </w:numPr>
        <w:pStyle w:val="Compact"/>
      </w:pPr>
      <w:r>
        <w:rPr>
          <w:bCs/>
          <w:b/>
        </w:rPr>
        <w:t xml:space="preserve">Core Operations:</w:t>
      </w:r>
      <w:r>
        <w:t xml:space="preserve"> </w:t>
      </w:r>
      <w:r>
        <w:t xml:space="preserve">Direct emissions from manufacturing (Scope 1) and indirect emissions from purchased electricity (Scope 2).</w:t>
      </w:r>
    </w:p>
    <w:p>
      <w:pPr>
        <w:numPr>
          <w:ilvl w:val="0"/>
          <w:numId w:val="1001"/>
        </w:numPr>
        <w:pStyle w:val="Compact"/>
      </w:pPr>
      <w:r>
        <w:rPr>
          <w:bCs/>
          <w:b/>
        </w:rPr>
        <w:t xml:space="preserve">Downstream (Post-Gate):</w:t>
      </w:r>
      <w:r>
        <w:t xml:space="preserve"> </w:t>
      </w:r>
      <w:r>
        <w:t xml:space="preserve">Transportation of the finished product to the customer, the product\'s use phase, and its end-of-life treatment.</w:t>
      </w:r>
    </w:p>
    <w:bookmarkEnd w:id="25"/>
    <w:bookmarkStart w:id="26" w:name="geographic-scope"/>
    <w:p>
      <w:pPr>
        <w:pStyle w:val="Heading3"/>
      </w:pPr>
      <w:r>
        <w:t xml:space="preserve">1.3 Geographic Scope</w:t>
      </w:r>
    </w:p>
    <w:p>
      <w:pPr>
        <w:pStyle w:val="FirstParagraph"/>
      </w:pPr>
      <w:r>
        <w:t xml:space="preserve">The geographic scope is centered on the</w:t>
      </w:r>
      <w:r>
        <w:t xml:space="preserve"> </w:t>
      </w:r>
      <w:r>
        <w:rPr>
          <w:bCs/>
          <w:b/>
        </w:rPr>
        <w:t xml:space="preserve">Final Production Country: China</w:t>
      </w:r>
      <w:r>
        <w:t xml:space="preserve">. The</w:t>
      </w:r>
      <w:r>
        <w:t xml:space="preserve"> </w:t>
      </w:r>
      <w:r>
        <w:rPr>
          <w:bCs/>
          <w:b/>
        </w:rPr>
        <w:t xml:space="preserve">Supply Chain Focus is Europe Focused</w:t>
      </w:r>
      <w:r>
        <w:t xml:space="preserve">, implying that upstream material sourcing and downstream distribution scenarios consider European supply chain dynamics where relevant.</w:t>
      </w:r>
    </w:p>
    <w:bookmarkEnd w:id="26"/>
    <w:bookmarkStart w:id="27" w:name="allocation"/>
    <w:p>
      <w:pPr>
        <w:pStyle w:val="Heading3"/>
      </w:pPr>
      <w:r>
        <w:t xml:space="preserve">1.4 Allocation</w:t>
      </w:r>
    </w:p>
    <w:p>
      <w:pPr>
        <w:pStyle w:val="FirstParagraph"/>
      </w:pPr>
      <w:r>
        <w:t xml:space="preserve">Allocation, where necessary for co-products or multi-functional processes, is performed using scientifically sound and consistent methods. For this analysis, it is assumed that xnmrktefjo is the primary product, and any potential co-products or by-products are allocated emissions based on mass, economic value, or physical causality, following GHG Protocol guidance.</w:t>
      </w:r>
    </w:p>
    <w:bookmarkEnd w:id="27"/>
    <w:bookmarkStart w:id="28" w:name="accounting-standards-updates"/>
    <w:p>
      <w:pPr>
        <w:pStyle w:val="Heading3"/>
      </w:pPr>
      <w:r>
        <w:t xml:space="preserve">1.5 Accounting Standards &amp; Updates</w:t>
      </w:r>
    </w:p>
    <w:p>
      <w:pPr>
        <w:pStyle w:val="FirstParagraph"/>
      </w:pPr>
      <w:r>
        <w:t xml:space="preserve">This PCF analysis strictly adheres to the</w:t>
      </w:r>
      <w:r>
        <w:t xml:space="preserve"> </w:t>
      </w:r>
      <w:r>
        <w:rPr>
          <w:bCs/>
          <w:b/>
        </w:rPr>
        <w:t xml:space="preserve">GHG Protocol</w:t>
      </w:r>
      <w:r>
        <w:t xml:space="preserve"> </w:t>
      </w:r>
      <w:r>
        <w:t xml:space="preserve">Corporate Accounting and Reporting Standard and the Corporate Value Chain (Scope 3) Accounting and Reporting Standard. Key updates applied include:</w:t>
      </w:r>
    </w:p>
    <w:p>
      <w:pPr>
        <w:numPr>
          <w:ilvl w:val="0"/>
          <w:numId w:val="1002"/>
        </w:numPr>
        <w:pStyle w:val="Compact"/>
      </w:pPr>
      <w:r>
        <w:rPr>
          <w:bCs/>
          <w:b/>
        </w:rPr>
        <w:t xml:space="preserve">2026 LSR Update (Land Sector and Removals Standard):</w:t>
      </w:r>
      <w:r>
        <w:t xml:space="preserve"> </w:t>
      </w:r>
      <w:r>
        <w:t xml:space="preserve">The newly released GHG Protocol Land Sector and Removals (LSR) Standard, effective January 1, 2027, has been considered for its implications on land use and carbon removals. This standard provides requirements and guidance for quantifying, reporting, and tracking land emissions and CO₂ removals, applicable to entities with significant land sector activities or those choosing to report CO₂ removals. While xnmrktefjo itself may not have direct land-use change impacts, the LSR Standard informs the comprehensive consideration of land-based emissions and removals across the value chain, particularly in raw material sourcing if applicable.</w:t>
      </w:r>
    </w:p>
    <w:p>
      <w:pPr>
        <w:numPr>
          <w:ilvl w:val="0"/>
          <w:numId w:val="1002"/>
        </w:numPr>
        <w:pStyle w:val="Compact"/>
      </w:pPr>
      <w:r>
        <w:rPr>
          <w:bCs/>
          <w:b/>
        </w:rPr>
        <w:t xml:space="preserve">Scope 3 Compliance (95% coverage):</w:t>
      </w:r>
      <w:r>
        <w:t xml:space="preserve"> </w:t>
      </w:r>
      <w:r>
        <w:t xml:space="preserve">In line with 2026 GHG Protocol revisions, this report ensures at least 95% coverage for all relevant Scope 3 emissions. This mandate moves away from "best-effort" estimates towards a more auditable system, requiring companies to account for the vast majority of their value chain emissions to claim conformance. Any justified exclusions, not exceeding 5% of required Scope 3 emissions, are transparently disclosed and methodologically justified.</w:t>
      </w:r>
    </w:p>
    <w:p>
      <w:r>
        <w:pict>
          <v:rect style="width:0;height:1.5pt" o:hralign="center" o:hrstd="t" o:hr="t"/>
        </w:pict>
      </w:r>
    </w:p>
    <w:bookmarkEnd w:id="28"/>
    <w:bookmarkEnd w:id="29"/>
    <w:bookmarkStart w:id="35" w:name="lifecycle-mapping-inventory-stages"/>
    <w:p>
      <w:pPr>
        <w:pStyle w:val="Heading2"/>
      </w:pPr>
      <w:r>
        <w:t xml:space="preserve">2. Lifecycle Mapping &amp; Inventory Stages</w:t>
      </w:r>
    </w:p>
    <w:p>
      <w:pPr>
        <w:pStyle w:val="FirstParagraph"/>
      </w:pPr>
      <w:r>
        <w:t xml:space="preserve">The lifecycle of xnmrktefjo is broken down into distinct stages to identify all relevant emission sources.</w:t>
      </w:r>
    </w:p>
    <w:bookmarkStart w:id="30" w:name="X4dafafe4a63eba5025fca8fd479a2f5da492c68"/>
    <w:p>
      <w:pPr>
        <w:pStyle w:val="Heading3"/>
      </w:pPr>
      <w:r>
        <w:t xml:space="preserve">2.1 Material Acquisition &amp; Pre-processing (Upstream - Scope 3, Category 1)</w:t>
      </w:r>
    </w:p>
    <w:p>
      <w:pPr>
        <w:pStyle w:val="FirstParagraph"/>
      </w:pPr>
      <w:r>
        <w:t xml:space="preserve">This stage covers the extraction of raw materials, their initial processing (e.g., refining, smelting, chemical synthesis), and transportation to the ipywzymqnp manufacturing facility. The Detailed Bill of Materials (BOM) for xnmrktefjo (</w:t>
      </w:r>
      <w:r>
        <w:rPr>
          <w:rStyle w:val="VerbatimChar"/>
        </w:rPr>
        <w:t xml:space="preserve">ekwxhjnw</w:t>
      </w:r>
      <w:r>
        <w:t xml:space="preserve">) is critical for this phase.</w:t>
      </w:r>
    </w:p>
    <w:p>
      <w:pPr>
        <w:pStyle w:val="BodyText"/>
      </w:pPr>
      <w:r>
        <w:rPr>
          <w:bCs/>
          <w:b/>
        </w:rPr>
        <w:t xml:space="preserve">Detailed Bill of Materials (BOM): ekwxhjnw (Illustrative Data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Alloy Casing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7.5</w:t>
            </w:r>
          </w:p>
        </w:tc>
        <w:tc>
          <w:tcPr/>
          <w:p>
            <w:pPr>
              <w:pStyle w:val="Compact"/>
              <w:jc w:val="left"/>
            </w:pPr>
            <w:r>
              <w:t xml:space="preserve">2.625</w:t>
            </w:r>
          </w:p>
        </w:tc>
      </w:tr>
      <w:tr>
        <w:tc>
          <w:tcPr/>
          <w:p>
            <w:pPr>
              <w:pStyle w:val="Compact"/>
              <w:jc w:val="left"/>
            </w:pPr>
            <w:r>
              <w:t xml:space="preserve">P-002</w:t>
            </w:r>
          </w:p>
        </w:tc>
        <w:tc>
          <w:tcPr/>
          <w:p>
            <w:pPr>
              <w:pStyle w:val="Compact"/>
              <w:jc w:val="left"/>
            </w:pPr>
            <w:r>
              <w:t xml:space="preserve">Recycled 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2.1</w:t>
            </w:r>
          </w:p>
        </w:tc>
        <w:tc>
          <w:tcPr/>
          <w:p>
            <w:pPr>
              <w:pStyle w:val="Compact"/>
              <w:jc w:val="left"/>
            </w:pPr>
            <w:r>
              <w:t xml:space="preserve">0.420</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&amp;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1.500</w:t>
            </w:r>
          </w:p>
        </w:tc>
      </w:tr>
      <w:tr>
        <w:tc>
          <w:tcPr/>
          <w:p>
            <w:pPr>
              <w:pStyle w:val="Compact"/>
              <w:jc w:val="left"/>
            </w:pPr>
            <w:r>
              <w:t xml:space="preserve">B-004</w:t>
            </w:r>
          </w:p>
        </w:tc>
        <w:tc>
          <w:tcPr/>
          <w:p>
            <w:pPr>
              <w:pStyle w:val="Compact"/>
              <w:jc w:val="left"/>
            </w:pPr>
            <w:r>
              <w:t xml:space="preserve">Lithium-ion Battery Pack</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P-005</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0.6</w:t>
            </w:r>
          </w:p>
        </w:tc>
        <w:tc>
          <w:tcPr/>
          <w:p>
            <w:pPr>
              <w:pStyle w:val="Compact"/>
              <w:jc w:val="left"/>
            </w:pPr>
            <w:r>
              <w:t xml:space="preserve">0.030</w:t>
            </w:r>
          </w:p>
        </w:tc>
      </w:tr>
    </w:tbl>
    <w:bookmarkEnd w:id="30"/>
    <w:bookmarkStart w:id="31" w:name="Xf69ac4bda474af6997d7dbed9b8c0179eead323"/>
    <w:p>
      <w:pPr>
        <w:pStyle w:val="Heading3"/>
      </w:pPr>
      <w:r>
        <w:t xml:space="preserve">2.2 Manufacturing (Core Operations - Scope 1 &amp; 2)</w:t>
      </w:r>
    </w:p>
    <w:p>
      <w:pPr>
        <w:pStyle w:val="FirstParagraph"/>
      </w:pPr>
      <w:r>
        <w:t xml:space="preserve">This stage includes all activities at the ipywzymqnp production facility in China, from assembly and finishing to quality control. Emissions arise from direct energy consumption (e.g., natural gas for heating - Scope 1) and indirect emissions from purchased electricity (Scope 2).</w:t>
      </w:r>
    </w:p>
    <w:p>
      <w:pPr>
        <w:numPr>
          <w:ilvl w:val="0"/>
          <w:numId w:val="1003"/>
        </w:numPr>
        <w:pStyle w:val="Compact"/>
      </w:pPr>
      <w:r>
        <w:rPr>
          <w:bCs/>
          <w:b/>
        </w:rPr>
        <w:t xml:space="preserve">Renewable Energy Usage:</w:t>
      </w:r>
      <w:r>
        <w:t xml:space="preserve"> </w:t>
      </w:r>
      <w:r>
        <w:rPr>
          <w:rStyle w:val="VerbatimChar"/>
        </w:rPr>
        <w:t xml:space="preserve">oiessuodjf</w:t>
      </w:r>
      <w:r>
        <w:t xml:space="preserve"> </w:t>
      </w:r>
      <w:r>
        <w:t xml:space="preserve">(e.g., 30%)</w:t>
      </w:r>
    </w:p>
    <w:p>
      <w:pPr>
        <w:numPr>
          <w:ilvl w:val="0"/>
          <w:numId w:val="1003"/>
        </w:numPr>
        <w:pStyle w:val="Compact"/>
      </w:pPr>
      <w:r>
        <w:rPr>
          <w:bCs/>
          <w:b/>
        </w:rPr>
        <w:t xml:space="preserve">Energy Intensity (kWh/unit):</w:t>
      </w:r>
      <w:r>
        <w:t xml:space="preserve"> </w:t>
      </w:r>
      <w:r>
        <w:rPr>
          <w:rStyle w:val="VerbatimChar"/>
        </w:rPr>
        <w:t xml:space="preserve">kgstogmpxt</w:t>
      </w:r>
      <w:r>
        <w:t xml:space="preserve"> </w:t>
      </w:r>
      <w:r>
        <w:t xml:space="preserve">(e.g., 5 kWh/unit)</w:t>
      </w:r>
    </w:p>
    <w:bookmarkEnd w:id="31"/>
    <w:bookmarkStart w:id="32" w:name="X256b0ce28e2e15c25fda7136157be9bb3d3298a"/>
    <w:p>
      <w:pPr>
        <w:pStyle w:val="Heading3"/>
      </w:pPr>
      <w:r>
        <w:t xml:space="preserve">2.3 Transport &amp; Distribution (Upstream &amp; Downstream - Scope 3, Categories 4 &amp; 9)</w:t>
      </w:r>
    </w:p>
    <w:p>
      <w:pPr>
        <w:pStyle w:val="FirstParagraph"/>
      </w:pPr>
      <w:r>
        <w:t xml:space="preserve">This covers the logistics involved in moving components to the factory (upstream) and distributing the final product from the factory to the customer (downstream).</w:t>
      </w:r>
    </w:p>
    <w:p>
      <w:pPr>
        <w:numPr>
          <w:ilvl w:val="0"/>
          <w:numId w:val="1004"/>
        </w:numPr>
        <w:pStyle w:val="Compact"/>
      </w:pPr>
      <w:r>
        <w:rPr>
          <w:bCs/>
          <w:b/>
        </w:rPr>
        <w:t xml:space="preserve">Transport Mode (main distribution):</w:t>
      </w:r>
      <w:r>
        <w:t xml:space="preserve"> </w:t>
      </w:r>
      <w:r>
        <w:rPr>
          <w:rStyle w:val="VerbatimChar"/>
        </w:rPr>
        <w:t xml:space="preserve">Select Mode</w:t>
      </w:r>
      <w:r>
        <w:t xml:space="preserve"> </w:t>
      </w:r>
      <w:r>
        <w:t xml:space="preserve">(e.g., Ocean Freight - Container Ship)</w:t>
      </w:r>
    </w:p>
    <w:p>
      <w:pPr>
        <w:numPr>
          <w:ilvl w:val="0"/>
          <w:numId w:val="1004"/>
        </w:numPr>
        <w:pStyle w:val="Compact"/>
      </w:pPr>
      <w:r>
        <w:rPr>
          <w:bCs/>
          <w:b/>
        </w:rPr>
        <w:t xml:space="preserve">Transport Distance (main distribution):</w:t>
      </w:r>
      <w:r>
        <w:t xml:space="preserve"> </w:t>
      </w:r>
      <w:r>
        <w:rPr>
          <w:rStyle w:val="VerbatimChar"/>
        </w:rPr>
        <w:t xml:space="preserve">xfihlxilxv</w:t>
      </w:r>
      <w:r>
        <w:t xml:space="preserve"> </w:t>
      </w:r>
      <w:r>
        <w:t xml:space="preserve">(e.g., 10,000 km)</w:t>
      </w:r>
    </w:p>
    <w:p>
      <w:pPr>
        <w:numPr>
          <w:ilvl w:val="0"/>
          <w:numId w:val="1004"/>
        </w:numPr>
        <w:pStyle w:val="Compact"/>
      </w:pPr>
      <w:r>
        <w:rPr>
          <w:bCs/>
          <w:b/>
        </w:rPr>
        <w:t xml:space="preserve">Last-Mile Delivery Channel:</w:t>
      </w:r>
      <w:r>
        <w:t xml:space="preserve"> </w:t>
      </w:r>
      <w:r>
        <w:rPr>
          <w:rStyle w:val="VerbatimChar"/>
        </w:rPr>
        <w:t xml:space="preserve">Delivery Type</w:t>
      </w:r>
      <w:r>
        <w:t xml:space="preserve"> </w:t>
      </w:r>
      <w:r>
        <w:t xml:space="preserve">(e.g., Road Freight - Heavy Duty Truck)</w:t>
      </w:r>
    </w:p>
    <w:bookmarkEnd w:id="32"/>
    <w:bookmarkStart w:id="33" w:name="X0cb0de7ce1190cf9e489e26e92d205bd1453980"/>
    <w:p>
      <w:pPr>
        <w:pStyle w:val="Heading3"/>
      </w:pPr>
      <w:r>
        <w:t xml:space="preserve">2.4 Product Use Phase (Downstream - Scope 3, Category 11)</w:t>
      </w:r>
    </w:p>
    <w:p>
      <w:pPr>
        <w:pStyle w:val="FirstParagraph"/>
      </w:pPr>
      <w:r>
        <w:t xml:space="preserve">Emissions occurring during the product\'s lifespan, predominantly from electricity consumption.</w:t>
      </w:r>
    </w:p>
    <w:p>
      <w:pPr>
        <w:numPr>
          <w:ilvl w:val="0"/>
          <w:numId w:val="1005"/>
        </w:numPr>
        <w:pStyle w:val="Compact"/>
      </w:pPr>
      <w:r>
        <w:rPr>
          <w:bCs/>
          <w:b/>
        </w:rPr>
        <w:t xml:space="preserve">Product Lifespan:</w:t>
      </w:r>
      <w:r>
        <w:t xml:space="preserve"> </w:t>
      </w:r>
      <w:r>
        <w:rPr>
          <w:rStyle w:val="VerbatimChar"/>
        </w:rPr>
        <w:t xml:space="preserve">fwwnfulsdd</w:t>
      </w:r>
      <w:r>
        <w:t xml:space="preserve"> </w:t>
      </w:r>
      <w:r>
        <w:t xml:space="preserve">(e.g., 5 years)</w:t>
      </w:r>
    </w:p>
    <w:p>
      <w:pPr>
        <w:numPr>
          <w:ilvl w:val="0"/>
          <w:numId w:val="1005"/>
        </w:numPr>
        <w:pStyle w:val="Compact"/>
      </w:pPr>
      <w:r>
        <w:rPr>
          <w:bCs/>
          <w:b/>
        </w:rPr>
        <w:t xml:space="preserve">Energy Consumption in Use:</w:t>
      </w:r>
      <w:r>
        <w:t xml:space="preserve"> </w:t>
      </w:r>
      <w:r>
        <w:rPr>
          <w:rStyle w:val="VerbatimChar"/>
        </w:rPr>
        <w:t xml:space="preserve">qtxnmjohrm</w:t>
      </w:r>
      <w:r>
        <w:t xml:space="preserve"> </w:t>
      </w:r>
      <w:r>
        <w:t xml:space="preserve">(e.g., 10 kWh/year)</w:t>
      </w:r>
    </w:p>
    <w:bookmarkEnd w:id="33"/>
    <w:bookmarkStart w:id="34" w:name="Xfd069e7e5106f6c55e532b52df751e12046219f"/>
    <w:p>
      <w:pPr>
        <w:pStyle w:val="Heading3"/>
      </w:pPr>
      <w:r>
        <w:t xml:space="preserve">2.5 End-of-Life (Downstream - Scope 3, Category 12)</w:t>
      </w:r>
    </w:p>
    <w:p>
      <w:pPr>
        <w:pStyle w:val="FirstParagraph"/>
      </w:pPr>
      <w:r>
        <w:t xml:space="preserve">This stage accounts for the disposal or recycling of the product and its components at the end of its functional life.</w:t>
      </w:r>
    </w:p>
    <w:p>
      <w:pPr>
        <w:numPr>
          <w:ilvl w:val="0"/>
          <w:numId w:val="1006"/>
        </w:numPr>
        <w:pStyle w:val="Compact"/>
      </w:pPr>
      <w:r>
        <w:rPr>
          <w:bCs/>
          <w:b/>
        </w:rPr>
        <w:t xml:space="preserve">Recyclability Percentage:</w:t>
      </w:r>
      <w:r>
        <w:t xml:space="preserve"> </w:t>
      </w:r>
      <w:r>
        <w:rPr>
          <w:rStyle w:val="VerbatimChar"/>
        </w:rPr>
        <w:t xml:space="preserve">oieyidurle</w:t>
      </w:r>
      <w:r>
        <w:t xml:space="preserve"> </w:t>
      </w:r>
      <w:r>
        <w:t xml:space="preserve">(e.g., 70%)</w:t>
      </w:r>
    </w:p>
    <w:p>
      <w:pPr>
        <w:numPr>
          <w:ilvl w:val="0"/>
          <w:numId w:val="1006"/>
        </w:numPr>
        <w:pStyle w:val="Compact"/>
      </w:pPr>
      <w:r>
        <w:rPr>
          <w:bCs/>
          <w:b/>
        </w:rPr>
        <w:t xml:space="preserve">Circular/Take-back Programs:</w:t>
      </w:r>
      <w:r>
        <w:t xml:space="preserve"> </w:t>
      </w:r>
      <w:r>
        <w:rPr>
          <w:rStyle w:val="VerbatimChar"/>
        </w:rPr>
        <w:t xml:space="preserve">erfihwigip</w:t>
      </w:r>
      <w:r>
        <w:t xml:space="preserve"> </w:t>
      </w:r>
      <w:r>
        <w:t xml:space="preserve">(e.g., Yes, established program with 15% material recovery)</w:t>
      </w:r>
    </w:p>
    <w:p>
      <w:r>
        <w:pict>
          <v:rect style="width:0;height:1.5pt" o:hralign="center" o:hrstd="t" o:hr="t"/>
        </w:pict>
      </w:r>
    </w:p>
    <w:bookmarkEnd w:id="34"/>
    <w:bookmarkEnd w:id="35"/>
    <w:bookmarkStart w:id="44" w:name="data-collection-emission-factors"/>
    <w:p>
      <w:pPr>
        <w:pStyle w:val="Heading2"/>
      </w:pPr>
      <w:r>
        <w:t xml:space="preserve">3. Data Collection &amp; Emission Factors</w:t>
      </w:r>
    </w:p>
    <w:p>
      <w:pPr>
        <w:pStyle w:val="FirstParagraph"/>
      </w:pPr>
      <w:r>
        <w:t xml:space="preserve">The accuracy of a PCF analysis relies heavily on robust data collection. This report leverages both primary and secondary data sources.</w:t>
      </w:r>
    </w:p>
    <w:bookmarkStart w:id="36" w:name="primary-data"/>
    <w:p>
      <w:pPr>
        <w:pStyle w:val="Heading3"/>
      </w:pPr>
      <w:r>
        <w:t xml:space="preserve">3.1 Primary Data</w:t>
      </w:r>
    </w:p>
    <w:p>
      <w:pPr>
        <w:pStyle w:val="FirstParagraph"/>
      </w:pPr>
      <w:r>
        <w:t xml:space="preserve">Primary data, specific to ipywzymqnp\'s operations and xnmrktefjo\'s Bill of Materials, would ideally include precise energy consumption data for manufacturing, actual transport routes, and specific material compositions. For this report, the provided parameters (</w:t>
      </w:r>
      <w:r>
        <w:rPr>
          <w:rStyle w:val="VerbatimChar"/>
        </w:rPr>
        <w:t xml:space="preserve">ekwxhjnw</w:t>
      </w:r>
      <w:r>
        <w:t xml:space="preserve">,</w:t>
      </w:r>
      <w:r>
        <w:t xml:space="preserve"> </w:t>
      </w:r>
      <w:r>
        <w:rPr>
          <w:rStyle w:val="VerbatimChar"/>
        </w:rPr>
        <w:t xml:space="preserve">oiessuodjf</w:t>
      </w:r>
      <w:r>
        <w:t xml:space="preserve">,</w:t>
      </w:r>
      <w:r>
        <w:t xml:space="preserve"> </w:t>
      </w:r>
      <w:r>
        <w:rPr>
          <w:rStyle w:val="VerbatimChar"/>
        </w:rPr>
        <w:t xml:space="preserve">kgstogmpxt</w:t>
      </w:r>
      <w:r>
        <w:t xml:space="preserve">, etc.) are treated as the specified primary data inputs.</w:t>
      </w:r>
    </w:p>
    <w:bookmarkEnd w:id="36"/>
    <w:bookmarkStart w:id="37" w:name="secondary-data-emission-factors"/>
    <w:p>
      <w:pPr>
        <w:pStyle w:val="Heading3"/>
      </w:pPr>
      <w:r>
        <w:t xml:space="preserve">3.2 Secondary Data &amp; Emission Factors</w:t>
      </w:r>
    </w:p>
    <w:p>
      <w:pPr>
        <w:pStyle w:val="FirstParagraph"/>
      </w:pPr>
      <w:r>
        <w:t xml:space="preserve">Where primary data is unavailable or for generic processes, industry-standard secondary data and emission factors are utilized. These are typically sourced from recognized databases such as Ecoinvent and DEFRA, ensuring consistency and scientific credibility. For illustrative calculations in this report, representative emission factors are assumed.</w:t>
      </w:r>
    </w:p>
    <w:bookmarkEnd w:id="37"/>
    <w:bookmarkStart w:id="43" w:name="X2ef15e1b570b77ba98f1f009d6b7e9ca7321c3c"/>
    <w:p>
      <w:pPr>
        <w:pStyle w:val="Heading3"/>
      </w:pPr>
      <w:r>
        <w:t xml:space="preserve">3.3 Specific Data Points Used (Illustrative Examples)</w:t>
      </w:r>
    </w:p>
    <w:bookmarkStart w:id="38" w:name="material-data-from-bom-ekwxhjnw"/>
    <w:p>
      <w:pPr>
        <w:pStyle w:val="Heading4"/>
      </w:pPr>
      <w:r>
        <w:t xml:space="preserve">3.3.1 Material Data (from BOM: ekwxhjnw)</w:t>
      </w:r>
    </w:p>
    <w:p>
      <w:pPr>
        <w:pStyle w:val="FirstParagraph"/>
      </w:pPr>
      <w:r>
        <w:t xml:space="preserve">The following table illustrates how the provided BOM format is utilized. The \'Total Carbon\' values are either directly provided in the BOM or calculated from \'Qty\' and \'Emission Factor\'. These are illustrative values for demonstration.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Alloy Casing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7.5</w:t>
            </w:r>
          </w:p>
        </w:tc>
        <w:tc>
          <w:tcPr/>
          <w:p>
            <w:pPr>
              <w:pStyle w:val="Compact"/>
              <w:jc w:val="left"/>
            </w:pPr>
            <w:r>
              <w:t xml:space="preserve">2.625</w:t>
            </w:r>
          </w:p>
        </w:tc>
      </w:tr>
      <w:tr>
        <w:tc>
          <w:tcPr/>
          <w:p>
            <w:pPr>
              <w:pStyle w:val="Compact"/>
              <w:jc w:val="left"/>
            </w:pPr>
            <w:r>
              <w:t xml:space="preserve">P-002</w:t>
            </w:r>
          </w:p>
        </w:tc>
        <w:tc>
          <w:tcPr/>
          <w:p>
            <w:pPr>
              <w:pStyle w:val="Compact"/>
              <w:jc w:val="left"/>
            </w:pPr>
            <w:r>
              <w:t xml:space="preserve">Recycled 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2.1</w:t>
            </w:r>
          </w:p>
        </w:tc>
        <w:tc>
          <w:tcPr/>
          <w:p>
            <w:pPr>
              <w:pStyle w:val="Compact"/>
              <w:jc w:val="left"/>
            </w:pPr>
            <w:r>
              <w:t xml:space="preserve">0.420</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&amp;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1.500</w:t>
            </w:r>
          </w:p>
        </w:tc>
      </w:tr>
      <w:tr>
        <w:tc>
          <w:tcPr/>
          <w:p>
            <w:pPr>
              <w:pStyle w:val="Compact"/>
              <w:jc w:val="left"/>
            </w:pPr>
            <w:r>
              <w:t xml:space="preserve">B-004</w:t>
            </w:r>
          </w:p>
        </w:tc>
        <w:tc>
          <w:tcPr/>
          <w:p>
            <w:pPr>
              <w:pStyle w:val="Compact"/>
              <w:jc w:val="left"/>
            </w:pPr>
            <w:r>
              <w:t xml:space="preserve">Lithium-ion Battery Pack</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P-005</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0.6</w:t>
            </w:r>
          </w:p>
        </w:tc>
        <w:tc>
          <w:tcPr/>
          <w:p>
            <w:pPr>
              <w:pStyle w:val="Compact"/>
              <w:jc w:val="left"/>
            </w:pPr>
            <w:r>
              <w:t xml:space="preserve">0.030</w:t>
            </w:r>
          </w:p>
        </w:tc>
      </w:tr>
      <w:tr>
        <w:tc>
          <w:tcPr>
            <w:gridSpan w:val="7"/>
          </w:tcPr>
          <w:p>
            <w:pPr>
              <w:pStyle w:val="Compact"/>
              <w:jc w:val="right"/>
            </w:pPr>
            <w:r>
              <w:rPr>
                <w:bCs/>
                <w:b/>
              </w:rPr>
              <w:t xml:space="preserve">Total Material Carbon:</w:t>
            </w:r>
          </w:p>
        </w:tc>
        <w:tc>
          <w:tcPr/>
          <w:p>
            <w:pPr>
              <w:pStyle w:val="Compact"/>
              <w:jc w:val="left"/>
            </w:pPr>
            <w:r>
              <w:rPr>
                <w:bCs/>
                <w:b/>
              </w:rPr>
              <w:t xml:space="preserve">5.775 kgCO2e</w:t>
            </w:r>
          </w:p>
        </w:tc>
      </w:tr>
    </w:tbl>
    <w:bookmarkEnd w:id="38"/>
    <w:bookmarkStart w:id="39" w:name="manufacturing-energy-data"/>
    <w:p>
      <w:pPr>
        <w:pStyle w:val="Heading4"/>
      </w:pPr>
      <w:r>
        <w:t xml:space="preserve">3.3.2 Manufacturing Energy Data</w:t>
      </w:r>
    </w:p>
    <w:p>
      <w:pPr>
        <w:pStyle w:val="FirstParagraph"/>
      </w:pPr>
      <w:r>
        <w:t xml:space="preserve">The following parameters are used for manufacturing energy calculations (illustrative values).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Illustrative Value Used</w:t>
            </w:r>
          </w:p>
        </w:tc>
        <w:tc>
          <w:tcPr/>
          <w:p>
            <w:pPr>
              <w:pStyle w:val="Compact"/>
              <w:jc w:val="left"/>
            </w:pPr>
            <w:r>
              <w:t xml:space="preserve">Unit</w:t>
            </w:r>
          </w:p>
        </w:tc>
      </w:tr>
      <w:tr>
        <w:tc>
          <w:tcPr/>
          <w:p>
            <w:pPr>
              <w:pStyle w:val="Compact"/>
              <w:jc w:val="left"/>
            </w:pPr>
            <w:r>
              <w:t xml:space="preserve">Renewable Energy Usage</w:t>
            </w:r>
          </w:p>
        </w:tc>
        <w:tc>
          <w:tcPr/>
          <w:p>
            <w:pPr>
              <w:pStyle w:val="Compact"/>
              <w:jc w:val="left"/>
            </w:pPr>
            <w:r>
              <w:rPr>
                <w:rStyle w:val="VerbatimChar"/>
              </w:rPr>
              <w:t xml:space="preserve">oiessuodjf</w:t>
            </w:r>
          </w:p>
        </w:tc>
        <w:tc>
          <w:tcPr/>
          <w:p>
            <w:pPr>
              <w:pStyle w:val="Compact"/>
              <w:jc w:val="left"/>
            </w:pPr>
            <w:r>
              <w:t xml:space="preserve">30%</w:t>
            </w:r>
          </w:p>
        </w:tc>
        <w:tc>
          <w:tcPr/>
          <w:p>
            <w:pPr>
              <w:pStyle w:val="Compact"/>
              <w:jc w:val="left"/>
            </w:pPr>
            <w:r>
              <w:t xml:space="preserve">%</w:t>
            </w:r>
          </w:p>
        </w:tc>
      </w:tr>
      <w:tr>
        <w:tc>
          <w:tcPr/>
          <w:p>
            <w:pPr>
              <w:pStyle w:val="Compact"/>
              <w:jc w:val="left"/>
            </w:pPr>
            <w:r>
              <w:t xml:space="preserve">Energy Intensity (per unit xnmrktefjo)</w:t>
            </w:r>
          </w:p>
        </w:tc>
        <w:tc>
          <w:tcPr/>
          <w:p>
            <w:pPr>
              <w:pStyle w:val="Compact"/>
              <w:jc w:val="left"/>
            </w:pPr>
            <w:r>
              <w:rPr>
                <w:rStyle w:val="VerbatimChar"/>
              </w:rPr>
              <w:t xml:space="preserve">kgstogmpxt</w:t>
            </w:r>
          </w:p>
        </w:tc>
        <w:tc>
          <w:tcPr/>
          <w:p>
            <w:pPr>
              <w:pStyle w:val="Compact"/>
              <w:jc w:val="left"/>
            </w:pPr>
            <w:r>
              <w:t xml:space="preserve">5.0</w:t>
            </w:r>
          </w:p>
        </w:tc>
        <w:tc>
          <w:tcPr/>
          <w:p>
            <w:pPr>
              <w:pStyle w:val="Compact"/>
              <w:jc w:val="left"/>
            </w:pPr>
            <w:r>
              <w:t xml:space="preserve">kWh/unit</w:t>
            </w:r>
          </w:p>
        </w:tc>
      </w:tr>
      <w:tr>
        <w:tc>
          <w:tcPr/>
          <w:p>
            <w:pPr>
              <w:pStyle w:val="Compact"/>
              <w:jc w:val="left"/>
            </w:pPr>
            <w:r>
              <w:t xml:space="preserve">China Grid Electricity Emission Factor (Illustrative)</w:t>
            </w:r>
          </w:p>
        </w:tc>
        <w:tc>
          <w:tcPr/>
          <w:p>
            <w:pPr>
              <w:pStyle w:val="Compact"/>
              <w:jc w:val="left"/>
            </w:pPr>
            <w:r>
              <w:t xml:space="preserve">N/A</w:t>
            </w:r>
          </w:p>
        </w:tc>
        <w:tc>
          <w:tcPr/>
          <w:p>
            <w:pPr>
              <w:pStyle w:val="Compact"/>
              <w:jc w:val="left"/>
            </w:pPr>
            <w:r>
              <w:t xml:space="preserve">0.65</w:t>
            </w:r>
          </w:p>
        </w:tc>
        <w:tc>
          <w:tcPr/>
          <w:p>
            <w:pPr>
              <w:pStyle w:val="Compact"/>
              <w:jc w:val="left"/>
            </w:pPr>
            <w:r>
              <w:t xml:space="preserve">kgCO2e/kWh</w:t>
            </w:r>
          </w:p>
        </w:tc>
      </w:tr>
      <w:tr>
        <w:tc>
          <w:tcPr/>
          <w:p>
            <w:pPr>
              <w:pStyle w:val="Compact"/>
              <w:jc w:val="left"/>
            </w:pPr>
            <w:r>
              <w:t xml:space="preserve">On-site Fuel Consumption (Scope 1, Illustrative)</w:t>
            </w:r>
          </w:p>
        </w:tc>
        <w:tc>
          <w:tcPr/>
          <w:p>
            <w:pPr>
              <w:pStyle w:val="Compact"/>
              <w:jc w:val="left"/>
            </w:pPr>
            <w:r>
              <w:t xml:space="preserve">N/A</w:t>
            </w:r>
          </w:p>
        </w:tc>
        <w:tc>
          <w:tcPr/>
          <w:p>
            <w:pPr>
              <w:pStyle w:val="Compact"/>
              <w:jc w:val="left"/>
            </w:pPr>
            <w:r>
              <w:t xml:space="preserve">0.05</w:t>
            </w:r>
          </w:p>
        </w:tc>
        <w:tc>
          <w:tcPr/>
          <w:p>
            <w:pPr>
              <w:pStyle w:val="Compact"/>
              <w:jc w:val="left"/>
            </w:pPr>
            <w:r>
              <w:t xml:space="preserve">kgCO2e/unit</w:t>
            </w:r>
          </w:p>
        </w:tc>
      </w:tr>
    </w:tbl>
    <w:bookmarkEnd w:id="39"/>
    <w:bookmarkStart w:id="40" w:name="transport-data"/>
    <w:p>
      <w:pPr>
        <w:pStyle w:val="Heading4"/>
      </w:pPr>
      <w:r>
        <w:t xml:space="preserve">3.3.3 Transport Data</w:t>
      </w:r>
    </w:p>
    <w:p>
      <w:pPr>
        <w:pStyle w:val="FirstParagraph"/>
      </w:pPr>
      <w:r>
        <w:t xml:space="preserve">The following parameters are used for transport calculations (illustrative values).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Illustrative Value Used</w:t>
            </w:r>
          </w:p>
        </w:tc>
        <w:tc>
          <w:tcPr/>
          <w:p>
            <w:pPr>
              <w:pStyle w:val="Compact"/>
              <w:jc w:val="left"/>
            </w:pPr>
            <w:r>
              <w:t xml:space="preserve">Unit</w:t>
            </w:r>
          </w:p>
        </w:tc>
      </w:tr>
      <w:tr>
        <w:tc>
          <w:tcPr/>
          <w:p>
            <w:pPr>
              <w:pStyle w:val="Compact"/>
              <w:jc w:val="left"/>
            </w:pPr>
            <w:r>
              <w:t xml:space="preserve">Transport Mode (Main)</w:t>
            </w:r>
          </w:p>
        </w:tc>
        <w:tc>
          <w:tcPr/>
          <w:p>
            <w:pPr>
              <w:pStyle w:val="Compact"/>
              <w:jc w:val="left"/>
            </w:pPr>
            <w:r>
              <w:rPr>
                <w:rStyle w:val="VerbatimChar"/>
              </w:rPr>
              <w:t xml:space="preserve">Select Mode</w:t>
            </w:r>
          </w:p>
        </w:tc>
        <w:tc>
          <w:tcPr/>
          <w:p>
            <w:pPr>
              <w:pStyle w:val="Compact"/>
              <w:jc w:val="left"/>
            </w:pPr>
            <w:r>
              <w:t xml:space="preserve">Ocean Freight (Container Ship)</w:t>
            </w:r>
          </w:p>
        </w:tc>
        <w:tc>
          <w:tcPr/>
          <w:p>
            <w:pPr>
              <w:pStyle w:val="Compact"/>
              <w:jc w:val="left"/>
            </w:pPr>
            <w:r>
              <w:t xml:space="preserve">-</w:t>
            </w:r>
          </w:p>
        </w:tc>
      </w:tr>
      <w:tr>
        <w:tc>
          <w:tcPr/>
          <w:p>
            <w:pPr>
              <w:pStyle w:val="Compact"/>
              <w:jc w:val="left"/>
            </w:pPr>
            <w:r>
              <w:t xml:space="preserve">Transport Distance (Main)</w:t>
            </w:r>
          </w:p>
        </w:tc>
        <w:tc>
          <w:tcPr/>
          <w:p>
            <w:pPr>
              <w:pStyle w:val="Compact"/>
              <w:jc w:val="left"/>
            </w:pPr>
            <w:r>
              <w:rPr>
                <w:rStyle w:val="VerbatimChar"/>
              </w:rPr>
              <w:t xml:space="preserve">xfihlxilxv</w:t>
            </w:r>
          </w:p>
        </w:tc>
        <w:tc>
          <w:tcPr/>
          <w:p>
            <w:pPr>
              <w:pStyle w:val="Compact"/>
              <w:jc w:val="left"/>
            </w:pPr>
            <w:r>
              <w:t xml:space="preserve">10,000</w:t>
            </w:r>
          </w:p>
        </w:tc>
        <w:tc>
          <w:tcPr/>
          <w:p>
            <w:pPr>
              <w:pStyle w:val="Compact"/>
              <w:jc w:val="left"/>
            </w:pPr>
            <w:r>
              <w:t xml:space="preserve">km</w:t>
            </w:r>
          </w:p>
        </w:tc>
      </w:tr>
      <w:tr>
        <w:tc>
          <w:tcPr/>
          <w:p>
            <w:pPr>
              <w:pStyle w:val="Compact"/>
              <w:jc w:val="left"/>
            </w:pPr>
            <w:r>
              <w:t xml:space="preserve">Last-Mile Delivery Channel</w:t>
            </w:r>
          </w:p>
        </w:tc>
        <w:tc>
          <w:tcPr/>
          <w:p>
            <w:pPr>
              <w:pStyle w:val="Compact"/>
              <w:jc w:val="left"/>
            </w:pPr>
            <w:r>
              <w:rPr>
                <w:rStyle w:val="VerbatimChar"/>
              </w:rPr>
              <w:t xml:space="preserve">Delivery Type</w:t>
            </w:r>
          </w:p>
        </w:tc>
        <w:tc>
          <w:tcPr/>
          <w:p>
            <w:pPr>
              <w:pStyle w:val="Compact"/>
              <w:jc w:val="left"/>
            </w:pPr>
            <w:r>
              <w:t xml:space="preserve">Road Freight (Heavy Duty Truck)</w:t>
            </w:r>
          </w:p>
        </w:tc>
        <w:tc>
          <w:tcPr/>
          <w:p>
            <w:pPr>
              <w:pStyle w:val="Compact"/>
              <w:jc w:val="left"/>
            </w:pPr>
            <w:r>
              <w:t xml:space="preserve">-</w:t>
            </w:r>
          </w:p>
        </w:tc>
      </w:tr>
      <w:tr>
        <w:tc>
          <w:tcPr/>
          <w:p>
            <w:pPr>
              <w:pStyle w:val="Compact"/>
              <w:jc w:val="left"/>
            </w:pPr>
            <w:r>
              <w:t xml:space="preserve">Product Weight (for transport, illustrative)</w:t>
            </w:r>
          </w:p>
        </w:tc>
        <w:tc>
          <w:tcPr/>
          <w:p>
            <w:pPr>
              <w:pStyle w:val="Compact"/>
              <w:jc w:val="left"/>
            </w:pPr>
            <w:r>
              <w:t xml:space="preserve">N/A</w:t>
            </w:r>
          </w:p>
        </w:tc>
        <w:tc>
          <w:tcPr/>
          <w:p>
            <w:pPr>
              <w:pStyle w:val="Compact"/>
              <w:jc w:val="left"/>
            </w:pPr>
            <w:r>
              <w:t xml:space="preserve">0.8</w:t>
            </w:r>
          </w:p>
        </w:tc>
        <w:tc>
          <w:tcPr/>
          <w:p>
            <w:pPr>
              <w:pStyle w:val="Compact"/>
              <w:jc w:val="left"/>
            </w:pPr>
            <w:r>
              <w:t xml:space="preserve">kg/unit</w:t>
            </w:r>
          </w:p>
        </w:tc>
      </w:tr>
      <w:tr>
        <w:tc>
          <w:tcPr/>
          <w:p>
            <w:pPr>
              <w:pStyle w:val="Compact"/>
              <w:jc w:val="left"/>
            </w:pPr>
            <w:r>
              <w:t xml:space="preserve">Ocean Freight Emission Factor (Illustrative)</w:t>
            </w:r>
          </w:p>
        </w:tc>
        <w:tc>
          <w:tcPr/>
          <w:p>
            <w:pPr>
              <w:pStyle w:val="Compact"/>
              <w:jc w:val="left"/>
            </w:pPr>
            <w:r>
              <w:t xml:space="preserve">N/A</w:t>
            </w:r>
          </w:p>
        </w:tc>
        <w:tc>
          <w:tcPr/>
          <w:p>
            <w:pPr>
              <w:pStyle w:val="Compact"/>
              <w:jc w:val="left"/>
            </w:pPr>
            <w:r>
              <w:t xml:space="preserve">0.01</w:t>
            </w:r>
          </w:p>
        </w:tc>
        <w:tc>
          <w:tcPr/>
          <w:p>
            <w:pPr>
              <w:pStyle w:val="Compact"/>
              <w:jc w:val="left"/>
            </w:pPr>
            <w:r>
              <w:t xml:space="preserve">kgCO2e/tonne-km</w:t>
            </w:r>
          </w:p>
        </w:tc>
      </w:tr>
      <w:tr>
        <w:tc>
          <w:tcPr/>
          <w:p>
            <w:pPr>
              <w:pStyle w:val="Compact"/>
              <w:jc w:val="left"/>
            </w:pPr>
            <w:r>
              <w:t xml:space="preserve">Road Freight Emission Factor (Illustrative)</w:t>
            </w:r>
          </w:p>
        </w:tc>
        <w:tc>
          <w:tcPr/>
          <w:p>
            <w:pPr>
              <w:pStyle w:val="Compact"/>
              <w:jc w:val="left"/>
            </w:pPr>
            <w:r>
              <w:t xml:space="preserve">N/A</w:t>
            </w:r>
          </w:p>
        </w:tc>
        <w:tc>
          <w:tcPr/>
          <w:p>
            <w:pPr>
              <w:pStyle w:val="Compact"/>
              <w:jc w:val="left"/>
            </w:pPr>
            <w:r>
              <w:t xml:space="preserve">0.10</w:t>
            </w:r>
          </w:p>
        </w:tc>
        <w:tc>
          <w:tcPr/>
          <w:p>
            <w:pPr>
              <w:pStyle w:val="Compact"/>
              <w:jc w:val="left"/>
            </w:pPr>
            <w:r>
              <w:t xml:space="preserve">kgCO2e/tonne-km</w:t>
            </w:r>
          </w:p>
        </w:tc>
      </w:tr>
      <w:tr>
        <w:tc>
          <w:tcPr/>
          <w:p>
            <w:pPr>
              <w:pStyle w:val="Compact"/>
              <w:jc w:val="left"/>
            </w:pPr>
            <w:r>
              <w:t xml:space="preserve">Last-Mile Delivery Distance (Illustrative)</w:t>
            </w:r>
          </w:p>
        </w:tc>
        <w:tc>
          <w:tcPr/>
          <w:p>
            <w:pPr>
              <w:pStyle w:val="Compact"/>
              <w:jc w:val="left"/>
            </w:pPr>
            <w:r>
              <w:t xml:space="preserve">N/A</w:t>
            </w:r>
          </w:p>
        </w:tc>
        <w:tc>
          <w:tcPr/>
          <w:p>
            <w:pPr>
              <w:pStyle w:val="Compact"/>
              <w:jc w:val="left"/>
            </w:pPr>
            <w:r>
              <w:t xml:space="preserve">100</w:t>
            </w:r>
          </w:p>
        </w:tc>
        <w:tc>
          <w:tcPr/>
          <w:p>
            <w:pPr>
              <w:pStyle w:val="Compact"/>
              <w:jc w:val="left"/>
            </w:pPr>
            <w:r>
              <w:t xml:space="preserve">km</w:t>
            </w:r>
          </w:p>
        </w:tc>
      </w:tr>
    </w:tbl>
    <w:bookmarkEnd w:id="40"/>
    <w:bookmarkStart w:id="41" w:name="use-phase-data"/>
    <w:p>
      <w:pPr>
        <w:pStyle w:val="Heading4"/>
      </w:pPr>
      <w:r>
        <w:t xml:space="preserve">3.3.4 Use Phase Data</w:t>
      </w:r>
    </w:p>
    <w:p>
      <w:pPr>
        <w:pStyle w:val="FirstParagraph"/>
      </w:pPr>
      <w:r>
        <w:t xml:space="preserve">The following parameters are used for the use phase calculations (illustrative values).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Illustrative Value Used</w:t>
            </w:r>
          </w:p>
        </w:tc>
        <w:tc>
          <w:tcPr/>
          <w:p>
            <w:pPr>
              <w:pStyle w:val="Compact"/>
              <w:jc w:val="left"/>
            </w:pPr>
            <w:r>
              <w:t xml:space="preserve">Unit</w:t>
            </w:r>
          </w:p>
        </w:tc>
      </w:tr>
      <w:tr>
        <w:tc>
          <w:tcPr/>
          <w:p>
            <w:pPr>
              <w:pStyle w:val="Compact"/>
              <w:jc w:val="left"/>
            </w:pPr>
            <w:r>
              <w:t xml:space="preserve">Product Lifespan</w:t>
            </w:r>
          </w:p>
        </w:tc>
        <w:tc>
          <w:tcPr/>
          <w:p>
            <w:pPr>
              <w:pStyle w:val="Compact"/>
              <w:jc w:val="left"/>
            </w:pPr>
            <w:r>
              <w:rPr>
                <w:rStyle w:val="VerbatimChar"/>
              </w:rPr>
              <w:t xml:space="preserve">fwwnfulsdd</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Energy Consumption in Use (per year)</w:t>
            </w:r>
          </w:p>
        </w:tc>
        <w:tc>
          <w:tcPr/>
          <w:p>
            <w:pPr>
              <w:pStyle w:val="Compact"/>
              <w:jc w:val="left"/>
            </w:pPr>
            <w:r>
              <w:rPr>
                <w:rStyle w:val="VerbatimChar"/>
              </w:rPr>
              <w:t xml:space="preserve">qtxnmjohrm</w:t>
            </w:r>
          </w:p>
        </w:tc>
        <w:tc>
          <w:tcPr/>
          <w:p>
            <w:pPr>
              <w:pStyle w:val="Compact"/>
              <w:jc w:val="left"/>
            </w:pPr>
            <w:r>
              <w:t xml:space="preserve">10</w:t>
            </w:r>
          </w:p>
        </w:tc>
        <w:tc>
          <w:tcPr/>
          <w:p>
            <w:pPr>
              <w:pStyle w:val="Compact"/>
              <w:jc w:val="left"/>
            </w:pPr>
            <w:r>
              <w:t xml:space="preserve">kWh/year</w:t>
            </w:r>
          </w:p>
        </w:tc>
      </w:tr>
      <w:tr>
        <w:tc>
          <w:tcPr/>
          <w:p>
            <w:pPr>
              <w:pStyle w:val="Compact"/>
              <w:jc w:val="left"/>
            </w:pPr>
            <w:r>
              <w:t xml:space="preserve">Average Global Grid Electricity Emission Factor (Illustrative)</w:t>
            </w:r>
          </w:p>
        </w:tc>
        <w:tc>
          <w:tcPr/>
          <w:p>
            <w:pPr>
              <w:pStyle w:val="Compact"/>
              <w:jc w:val="left"/>
            </w:pPr>
            <w:r>
              <w:t xml:space="preserve">N/A</w:t>
            </w:r>
          </w:p>
        </w:tc>
        <w:tc>
          <w:tcPr/>
          <w:p>
            <w:pPr>
              <w:pStyle w:val="Compact"/>
              <w:jc w:val="left"/>
            </w:pPr>
            <w:r>
              <w:t xml:space="preserve">0.50</w:t>
            </w:r>
          </w:p>
        </w:tc>
        <w:tc>
          <w:tcPr/>
          <w:p>
            <w:pPr>
              <w:pStyle w:val="Compact"/>
              <w:jc w:val="left"/>
            </w:pPr>
            <w:r>
              <w:t xml:space="preserve">kgCO2e/kWh</w:t>
            </w:r>
          </w:p>
        </w:tc>
      </w:tr>
    </w:tbl>
    <w:bookmarkEnd w:id="41"/>
    <w:bookmarkStart w:id="42" w:name="end-of-life-eol-data"/>
    <w:p>
      <w:pPr>
        <w:pStyle w:val="Heading4"/>
      </w:pPr>
      <w:r>
        <w:t xml:space="preserve">3.3.5 End-of-Life (EoL) Data</w:t>
      </w:r>
    </w:p>
    <w:p>
      <w:pPr>
        <w:pStyle w:val="FirstParagraph"/>
      </w:pPr>
      <w:r>
        <w:t xml:space="preserve">The following parameters are used for End-of-Life considerations (illustrative values).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Illustrative Value Used</w:t>
            </w:r>
          </w:p>
        </w:tc>
        <w:tc>
          <w:tcPr/>
          <w:p>
            <w:pPr>
              <w:pStyle w:val="Compact"/>
              <w:jc w:val="left"/>
            </w:pPr>
            <w:r>
              <w:t xml:space="preserve">Impact</w:t>
            </w:r>
          </w:p>
        </w:tc>
      </w:tr>
      <w:tr>
        <w:tc>
          <w:tcPr/>
          <w:p>
            <w:pPr>
              <w:pStyle w:val="Compact"/>
              <w:jc w:val="left"/>
            </w:pPr>
            <w:r>
              <w:t xml:space="preserve">Recyclability Percentage</w:t>
            </w:r>
          </w:p>
        </w:tc>
        <w:tc>
          <w:tcPr/>
          <w:p>
            <w:pPr>
              <w:pStyle w:val="Compact"/>
              <w:jc w:val="left"/>
            </w:pPr>
            <w:r>
              <w:rPr>
                <w:rStyle w:val="VerbatimChar"/>
              </w:rPr>
              <w:t xml:space="preserve">oieyidurle</w:t>
            </w:r>
          </w:p>
        </w:tc>
        <w:tc>
          <w:tcPr/>
          <w:p>
            <w:pPr>
              <w:pStyle w:val="Compact"/>
              <w:jc w:val="left"/>
            </w:pPr>
            <w:r>
              <w:t xml:space="preserve">70%</w:t>
            </w:r>
          </w:p>
        </w:tc>
        <w:tc>
          <w:tcPr/>
          <w:p>
            <w:pPr>
              <w:pStyle w:val="Compact"/>
              <w:jc w:val="left"/>
            </w:pPr>
            <w:r>
              <w:t xml:space="preserve">Avoided emissions (credit) from material recycling.</w:t>
            </w:r>
          </w:p>
        </w:tc>
      </w:tr>
      <w:tr>
        <w:tc>
          <w:tcPr/>
          <w:p>
            <w:pPr>
              <w:pStyle w:val="Compact"/>
              <w:jc w:val="left"/>
            </w:pPr>
            <w:r>
              <w:t xml:space="preserve">Circular/Take-back Programs</w:t>
            </w:r>
          </w:p>
        </w:tc>
        <w:tc>
          <w:tcPr/>
          <w:p>
            <w:pPr>
              <w:pStyle w:val="Compact"/>
              <w:jc w:val="left"/>
            </w:pPr>
            <w:r>
              <w:rPr>
                <w:rStyle w:val="VerbatimChar"/>
              </w:rPr>
              <w:t xml:space="preserve">erfihwigip</w:t>
            </w:r>
          </w:p>
        </w:tc>
        <w:tc>
          <w:tcPr/>
          <w:p>
            <w:pPr>
              <w:pStyle w:val="Compact"/>
              <w:jc w:val="left"/>
            </w:pPr>
            <w:r>
              <w:t xml:space="preserve">Yes, 15% material recovery</w:t>
            </w:r>
          </w:p>
        </w:tc>
        <w:tc>
          <w:tcPr/>
          <w:p>
            <w:pPr>
              <w:pStyle w:val="Compact"/>
              <w:jc w:val="left"/>
            </w:pPr>
            <w:r>
              <w:t xml:space="preserve">Further avoided emissions/resource consumption.</w:t>
            </w:r>
          </w:p>
        </w:tc>
      </w:tr>
      <w:tr>
        <w:tc>
          <w:tcPr/>
          <w:p>
            <w:pPr>
              <w:pStyle w:val="Compact"/>
              <w:jc w:val="left"/>
            </w:pPr>
            <w:r>
              <w:t xml:space="preserve">Disposal Emission Factor (Illustrative, per kg non-recycled material)</w:t>
            </w:r>
          </w:p>
        </w:tc>
        <w:tc>
          <w:tcPr/>
          <w:p>
            <w:pPr>
              <w:pStyle w:val="Compact"/>
              <w:jc w:val="left"/>
            </w:pPr>
            <w:r>
              <w:t xml:space="preserve">N/A</w:t>
            </w:r>
          </w:p>
        </w:tc>
        <w:tc>
          <w:tcPr/>
          <w:p>
            <w:pPr>
              <w:pStyle w:val="Compact"/>
              <w:jc w:val="left"/>
            </w:pPr>
            <w:r>
              <w:t xml:space="preserve">0.8</w:t>
            </w:r>
          </w:p>
        </w:tc>
        <w:tc>
          <w:tcPr/>
          <w:p>
            <w:pPr>
              <w:pStyle w:val="Compact"/>
              <w:jc w:val="left"/>
            </w:pPr>
            <w:r>
              <w:t xml:space="preserve">kgCO2e/kg</w:t>
            </w:r>
          </w:p>
        </w:tc>
      </w:tr>
      <w:tr>
        <w:tc>
          <w:tcPr/>
          <w:p>
            <w:pPr>
              <w:pStyle w:val="Compact"/>
              <w:jc w:val="left"/>
            </w:pPr>
            <w:r>
              <w:t xml:space="preserve">Recycling Credit Factor (Illustrative, per kg recycled material)</w:t>
            </w:r>
          </w:p>
        </w:tc>
        <w:tc>
          <w:tcPr/>
          <w:p>
            <w:pPr>
              <w:pStyle w:val="Compact"/>
              <w:jc w:val="left"/>
            </w:pPr>
            <w:r>
              <w:t xml:space="preserve">N/A</w:t>
            </w:r>
          </w:p>
        </w:tc>
        <w:tc>
          <w:tcPr/>
          <w:p>
            <w:pPr>
              <w:pStyle w:val="Compact"/>
              <w:jc w:val="left"/>
            </w:pPr>
            <w:r>
              <w:t xml:space="preserve">-0.5</w:t>
            </w:r>
          </w:p>
        </w:tc>
        <w:tc>
          <w:tcPr/>
          <w:p>
            <w:pPr>
              <w:pStyle w:val="Compact"/>
              <w:jc w:val="left"/>
            </w:pPr>
            <w:r>
              <w:t xml:space="preserve">kgCO2e/kg (negative for credit)</w:t>
            </w:r>
          </w:p>
        </w:tc>
      </w:tr>
    </w:tbl>
    <w:p>
      <w:r>
        <w:pict>
          <v:rect style="width:0;height:1.5pt" o:hralign="center" o:hrstd="t" o:hr="t"/>
        </w:pict>
      </w:r>
    </w:p>
    <w:bookmarkEnd w:id="42"/>
    <w:bookmarkEnd w:id="43"/>
    <w:bookmarkEnd w:id="44"/>
    <w:bookmarkStart w:id="53" w:name="emission-calculation-categorization"/>
    <w:p>
      <w:pPr>
        <w:pStyle w:val="Heading2"/>
      </w:pPr>
      <w:r>
        <w:t xml:space="preserve">4. Emission Calculation &amp; Categorization</w:t>
      </w:r>
    </w:p>
    <w:p>
      <w:pPr>
        <w:pStyle w:val="FirstParagraph"/>
      </w:pPr>
      <w:r>
        <w:t xml:space="preserve">Emissions are calculated by multiplying activity data by relevant emission factors. They are then categorized according to the GHG Protocol\'s Scope 1, 2, and 3 definitions.</w:t>
      </w:r>
    </w:p>
    <w:bookmarkStart w:id="45" w:name="methodology"/>
    <w:p>
      <w:pPr>
        <w:pStyle w:val="Heading3"/>
      </w:pPr>
      <w:r>
        <w:t xml:space="preserve">4.1 Methodology</w:t>
      </w:r>
    </w:p>
    <w:p>
      <w:pPr>
        <w:pStyle w:val="FirstParagraph"/>
      </w:pPr>
      <w:r>
        <w:t xml:space="preserve">The core calculation methodology is:</w:t>
      </w:r>
      <w:r>
        <w:t xml:space="preserve"> </w:t>
      </w:r>
      <w:r>
        <w:rPr>
          <w:bCs/>
          <w:b/>
        </w:rPr>
        <w:t xml:space="preserve">Activity Data × Emission Factor = CO2e (Carbon Dioxide Equivalent)</w:t>
      </w:r>
      <w:r>
        <w:t xml:space="preserve">. All emissions are expressed in kgCO2e, accounting for the global warming potential of various greenhouse gases.</w:t>
      </w:r>
    </w:p>
    <w:bookmarkEnd w:id="45"/>
    <w:bookmarkStart w:id="46" w:name="scope-1-emissions-direct-emissions"/>
    <w:p>
      <w:pPr>
        <w:pStyle w:val="Heading3"/>
      </w:pPr>
      <w:r>
        <w:t xml:space="preserve">4.2 Scope 1 Emissions (Direct Emissions)</w:t>
      </w:r>
    </w:p>
    <w:p>
      <w:pPr>
        <w:pStyle w:val="FirstParagraph"/>
      </w:pPr>
      <w:r>
        <w:t xml:space="preserve">These are direct emissions from sources owned or controlled by ipywzymqnp within its operational boundary (e.g., fuel combustion in manufacturing).</w:t>
      </w:r>
    </w:p>
    <w:p>
      <w:pPr>
        <w:numPr>
          <w:ilvl w:val="0"/>
          <w:numId w:val="1007"/>
        </w:numPr>
        <w:pStyle w:val="Compact"/>
      </w:pPr>
      <w:r>
        <w:rPr>
          <w:bCs/>
          <w:b/>
        </w:rPr>
        <w:t xml:space="preserve">Illustrative Calculation:</w:t>
      </w:r>
      <w:r>
        <w:t xml:space="preserve"> </w:t>
      </w:r>
      <w:r>
        <w:t xml:space="preserve">On-site fuel combustion (e.g., forklifts, heating) assumed negligible for a specific product unit, or as a small direct process emission.</w:t>
      </w:r>
    </w:p>
    <w:p>
      <w:pPr>
        <w:numPr>
          <w:ilvl w:val="0"/>
          <w:numId w:val="1007"/>
        </w:numPr>
        <w:pStyle w:val="Compact"/>
      </w:pPr>
      <w:r>
        <w:rPr>
          <w:bCs/>
          <w:b/>
        </w:rPr>
        <w:t xml:space="preserve">Total Scope 1 (Illustrative):</w:t>
      </w:r>
      <w:r>
        <w:t xml:space="preserve"> </w:t>
      </w:r>
      <w:r>
        <w:t xml:space="preserve">0.05 kgCO2e/unit</w:t>
      </w:r>
    </w:p>
    <w:bookmarkEnd w:id="46"/>
    <w:bookmarkStart w:id="47" w:name="scope-2-emissions-purchased-energy"/>
    <w:p>
      <w:pPr>
        <w:pStyle w:val="Heading3"/>
      </w:pPr>
      <w:r>
        <w:t xml:space="preserve">4.3 Scope 2 Emissions (Purchased Energy)</w:t>
      </w:r>
    </w:p>
    <w:p>
      <w:pPr>
        <w:pStyle w:val="FirstParagraph"/>
      </w:pPr>
      <w:r>
        <w:t xml:space="preserve">These are indirect emissions from the generation of purchased electricity, heat, or steam consumed by ipywzymqnp\'s manufacturing facility.</w:t>
      </w:r>
    </w:p>
    <w:p>
      <w:pPr>
        <w:numPr>
          <w:ilvl w:val="0"/>
          <w:numId w:val="1008"/>
        </w:numPr>
        <w:pStyle w:val="Compact"/>
      </w:pPr>
      <w:r>
        <w:rPr>
          <w:bCs/>
          <w:b/>
        </w:rPr>
        <w:t xml:space="preserve">Illustrative Calculation:</w:t>
      </w:r>
    </w:p>
    <w:p>
      <w:pPr>
        <w:numPr>
          <w:ilvl w:val="1"/>
          <w:numId w:val="1009"/>
        </w:numPr>
        <w:pStyle w:val="Compact"/>
      </w:pPr>
      <w:r>
        <w:t xml:space="preserve">Non-renewable energy consumption = Energy Intensity × (1 - Renewable Energy Usage)</w:t>
      </w:r>
    </w:p>
    <w:p>
      <w:pPr>
        <w:numPr>
          <w:ilvl w:val="1"/>
          <w:numId w:val="1009"/>
        </w:numPr>
        <w:pStyle w:val="Compact"/>
      </w:pPr>
      <w:r>
        <w:t xml:space="preserve">Non-renewable energy consumption = 5.0 kWh/unit × (1 - 0.30) = 3.5 kWh/unit</w:t>
      </w:r>
    </w:p>
    <w:p>
      <w:pPr>
        <w:numPr>
          <w:ilvl w:val="1"/>
          <w:numId w:val="1009"/>
        </w:numPr>
        <w:pStyle w:val="Compact"/>
      </w:pPr>
      <w:r>
        <w:t xml:space="preserve">Scope 2 Emissions = 3.5 kWh/unit × 0.65 kgCO2e/kWh (China Grid EF) = 2.275 kgCO2e/unit</w:t>
      </w:r>
    </w:p>
    <w:p>
      <w:pPr>
        <w:numPr>
          <w:ilvl w:val="0"/>
          <w:numId w:val="1008"/>
        </w:numPr>
        <w:pStyle w:val="Compact"/>
      </w:pPr>
      <w:r>
        <w:rPr>
          <w:bCs/>
          <w:b/>
        </w:rPr>
        <w:t xml:space="preserve">Total Scope 2 (Illustrative):</w:t>
      </w:r>
      <w:r>
        <w:t xml:space="preserve"> </w:t>
      </w:r>
      <w:r>
        <w:t xml:space="preserve">2.275 kgCO2e/unit</w:t>
      </w:r>
    </w:p>
    <w:bookmarkEnd w:id="47"/>
    <w:bookmarkStart w:id="51" w:name="scope-3-emissions-value-chain-emissions"/>
    <w:p>
      <w:pPr>
        <w:pStyle w:val="Heading3"/>
      </w:pPr>
      <w:r>
        <w:t xml:space="preserve">4.4 Scope 3 Emissions (Value Chain Emissions)</w:t>
      </w:r>
    </w:p>
    <w:p>
      <w:pPr>
        <w:pStyle w:val="FirstParagraph"/>
      </w:pPr>
      <w:r>
        <w:t xml:space="preserve">These are all other indirect emissions that occur in the value chain of ipywzymqnp, both upstream and downstream.</w:t>
      </w:r>
    </w:p>
    <w:bookmarkStart w:id="48" w:name="upstream-emissions-categories-1-8"/>
    <w:p>
      <w:pPr>
        <w:pStyle w:val="Heading4"/>
      </w:pPr>
      <w:r>
        <w:t xml:space="preserve">4.4.1 Upstream Emissions (Categories 1-8)</w:t>
      </w:r>
    </w:p>
    <w:p>
      <w:pPr>
        <w:numPr>
          <w:ilvl w:val="0"/>
          <w:numId w:val="1010"/>
        </w:numPr>
        <w:pStyle w:val="Compact"/>
      </w:pPr>
      <w:r>
        <w:rPr>
          <w:bCs/>
          <w:b/>
        </w:rPr>
        <w:t xml:space="preserve">Category 1: Purchased Goods &amp; Services (Materials)</w:t>
      </w:r>
    </w:p>
    <w:p>
      <w:pPr>
        <w:numPr>
          <w:ilvl w:val="1"/>
          <w:numId w:val="1011"/>
        </w:numPr>
        <w:pStyle w:val="Compact"/>
      </w:pPr>
      <w:r>
        <w:rPr>
          <w:bCs/>
          <w:b/>
        </w:rPr>
        <w:t xml:space="preserve">Illustrative Calculation:</w:t>
      </w:r>
      <w:r>
        <w:t xml:space="preserve"> </w:t>
      </w:r>
      <w:r>
        <w:t xml:space="preserve">Sum of "Total Carbon" from the illustrative BOM.</w:t>
      </w:r>
    </w:p>
    <w:p>
      <w:pPr>
        <w:numPr>
          <w:ilvl w:val="1"/>
          <w:numId w:val="1011"/>
        </w:numPr>
        <w:pStyle w:val="Compact"/>
      </w:pPr>
      <w:r>
        <w:t xml:space="preserve">Total = 5.775 kgCO2e/unit</w:t>
      </w:r>
    </w:p>
    <w:p>
      <w:pPr>
        <w:numPr>
          <w:ilvl w:val="0"/>
          <w:numId w:val="1010"/>
        </w:numPr>
        <w:pStyle w:val="Compact"/>
      </w:pPr>
      <w:r>
        <w:rPr>
          <w:bCs/>
          <w:b/>
        </w:rPr>
        <w:t xml:space="preserve">Category 4: Upstream Transportation &amp; Distribution (Illustrative)</w:t>
      </w:r>
    </w:p>
    <w:p>
      <w:pPr>
        <w:numPr>
          <w:ilvl w:val="1"/>
          <w:numId w:val="1012"/>
        </w:numPr>
        <w:pStyle w:val="Compact"/>
      </w:pPr>
      <w:r>
        <w:t xml:space="preserve">Assumed to be largely embedded within the material emission factors (cradle-to-gate for components). For simplicity, no separate calculation here. If specific raw material transport data were available, it would be included.</w:t>
      </w:r>
    </w:p>
    <w:p>
      <w:pPr>
        <w:numPr>
          <w:ilvl w:val="1"/>
          <w:numId w:val="1012"/>
        </w:numPr>
        <w:pStyle w:val="Compact"/>
      </w:pPr>
      <w:r>
        <w:t xml:space="preserve">Total = 0.00 kgCO2e/unit (assuming embedded)</w:t>
      </w:r>
    </w:p>
    <w:bookmarkEnd w:id="48"/>
    <w:bookmarkStart w:id="49" w:name="downstream-emissions-categories-9-15"/>
    <w:p>
      <w:pPr>
        <w:pStyle w:val="Heading4"/>
      </w:pPr>
      <w:r>
        <w:t xml:space="preserve">4.4.2 Downstream Emissions (Categories 9-15)</w:t>
      </w:r>
    </w:p>
    <w:p>
      <w:pPr>
        <w:numPr>
          <w:ilvl w:val="0"/>
          <w:numId w:val="1013"/>
        </w:numPr>
        <w:pStyle w:val="Compact"/>
      </w:pPr>
      <w:r>
        <w:rPr>
          <w:bCs/>
          <w:b/>
        </w:rPr>
        <w:t xml:space="preserve">Category 9: Downstream Transportation &amp; Distribution</w:t>
      </w:r>
    </w:p>
    <w:p>
      <w:pPr>
        <w:numPr>
          <w:ilvl w:val="1"/>
          <w:numId w:val="1014"/>
        </w:numPr>
        <w:pStyle w:val="Compact"/>
      </w:pPr>
      <w:r>
        <w:rPr>
          <w:bCs/>
          <w:b/>
        </w:rPr>
        <w:t xml:space="preserve">Illustrative Calculation (Main Distribution):</w:t>
      </w:r>
    </w:p>
    <w:p>
      <w:pPr>
        <w:numPr>
          <w:ilvl w:val="2"/>
          <w:numId w:val="1015"/>
        </w:numPr>
        <w:pStyle w:val="Compact"/>
      </w:pPr>
      <w:r>
        <w:t xml:space="preserve">Product Weight = 0.8 kg/unit</w:t>
      </w:r>
    </w:p>
    <w:p>
      <w:pPr>
        <w:numPr>
          <w:ilvl w:val="2"/>
          <w:numId w:val="1015"/>
        </w:numPr>
        <w:pStyle w:val="Compact"/>
      </w:pPr>
      <w:r>
        <w:t xml:space="preserve">Distance = 10,000 km</w:t>
      </w:r>
    </w:p>
    <w:p>
      <w:pPr>
        <w:numPr>
          <w:ilvl w:val="2"/>
          <w:numId w:val="1015"/>
        </w:numPr>
        <w:pStyle w:val="Compact"/>
      </w:pPr>
      <w:r>
        <w:t xml:space="preserve">Ocean Freight EF = 0.01 kgCO2e/tonne-km</w:t>
      </w:r>
    </w:p>
    <w:p>
      <w:pPr>
        <w:numPr>
          <w:ilvl w:val="2"/>
          <w:numId w:val="1015"/>
        </w:numPr>
        <w:pStyle w:val="Compact"/>
      </w:pPr>
      <w:r>
        <w:t xml:space="preserve">Emissions = (0.8 kg / 1000 kg/tonne) × 10,000 km × 0.01 kgCO2e/tonne-km = 0.08 kgCO2e/unit</w:t>
      </w:r>
    </w:p>
    <w:p>
      <w:pPr>
        <w:numPr>
          <w:ilvl w:val="1"/>
          <w:numId w:val="1014"/>
        </w:numPr>
        <w:pStyle w:val="Compact"/>
      </w:pPr>
      <w:r>
        <w:rPr>
          <w:bCs/>
          <w:b/>
        </w:rPr>
        <w:t xml:space="preserve">Illustrative Calculation (Last-Mile Delivery):</w:t>
      </w:r>
    </w:p>
    <w:p>
      <w:pPr>
        <w:numPr>
          <w:ilvl w:val="2"/>
          <w:numId w:val="1016"/>
        </w:numPr>
        <w:pStyle w:val="Compact"/>
      </w:pPr>
      <w:r>
        <w:t xml:space="preserve">Product Weight = 0.8 kg/unit</w:t>
      </w:r>
    </w:p>
    <w:p>
      <w:pPr>
        <w:numPr>
          <w:ilvl w:val="2"/>
          <w:numId w:val="1016"/>
        </w:numPr>
        <w:pStyle w:val="Compact"/>
      </w:pPr>
      <w:r>
        <w:t xml:space="preserve">Distance = 100 km</w:t>
      </w:r>
    </w:p>
    <w:p>
      <w:pPr>
        <w:numPr>
          <w:ilvl w:val="2"/>
          <w:numId w:val="1016"/>
        </w:numPr>
        <w:pStyle w:val="Compact"/>
      </w:pPr>
      <w:r>
        <w:t xml:space="preserve">Road Freight EF = 0.10 kgCO2e/tonne-km</w:t>
      </w:r>
    </w:p>
    <w:p>
      <w:pPr>
        <w:numPr>
          <w:ilvl w:val="2"/>
          <w:numId w:val="1016"/>
        </w:numPr>
        <w:pStyle w:val="Compact"/>
      </w:pPr>
      <w:r>
        <w:t xml:space="preserve">Emissions = (0.8 kg / 1000 kg/tonne) × 100 km × 0.10 kgCO2e/tonne-km = 0.008 kgCO2e/unit</w:t>
      </w:r>
    </w:p>
    <w:p>
      <w:pPr>
        <w:numPr>
          <w:ilvl w:val="1"/>
          <w:numId w:val="1014"/>
        </w:numPr>
        <w:pStyle w:val="Compact"/>
      </w:pPr>
      <w:r>
        <w:rPr>
          <w:bCs/>
          <w:b/>
        </w:rPr>
        <w:t xml:space="preserve">Total Category 9 (Illustrative):</w:t>
      </w:r>
      <w:r>
        <w:t xml:space="preserve"> </w:t>
      </w:r>
      <w:r>
        <w:t xml:space="preserve">0.088 kgCO2e/unit</w:t>
      </w:r>
    </w:p>
    <w:p>
      <w:pPr>
        <w:numPr>
          <w:ilvl w:val="0"/>
          <w:numId w:val="1013"/>
        </w:numPr>
        <w:pStyle w:val="Compact"/>
      </w:pPr>
      <w:r>
        <w:rPr>
          <w:bCs/>
          <w:b/>
        </w:rPr>
        <w:t xml:space="preserve">Category 11: Use of Sold Products</w:t>
      </w:r>
    </w:p>
    <w:p>
      <w:pPr>
        <w:numPr>
          <w:ilvl w:val="1"/>
          <w:numId w:val="1017"/>
        </w:numPr>
        <w:pStyle w:val="Compact"/>
      </w:pPr>
      <w:r>
        <w:rPr>
          <w:bCs/>
          <w:b/>
        </w:rPr>
        <w:t xml:space="preserve">Illustrative Calculation:</w:t>
      </w:r>
    </w:p>
    <w:p>
      <w:pPr>
        <w:numPr>
          <w:ilvl w:val="2"/>
          <w:numId w:val="1018"/>
        </w:numPr>
        <w:pStyle w:val="Compact"/>
      </w:pPr>
      <w:r>
        <w:t xml:space="preserve">Energy Consumption in Use = 10 kWh/year</w:t>
      </w:r>
    </w:p>
    <w:p>
      <w:pPr>
        <w:numPr>
          <w:ilvl w:val="2"/>
          <w:numId w:val="1018"/>
        </w:numPr>
        <w:pStyle w:val="Compact"/>
      </w:pPr>
      <w:r>
        <w:t xml:space="preserve">Product Lifespan = 5 years</w:t>
      </w:r>
    </w:p>
    <w:p>
      <w:pPr>
        <w:numPr>
          <w:ilvl w:val="2"/>
          <w:numId w:val="1018"/>
        </w:numPr>
        <w:pStyle w:val="Compact"/>
      </w:pPr>
      <w:r>
        <w:t xml:space="preserve">Total Use Phase Energy = 10 kWh/year × 5 years = 50 kWh</w:t>
      </w:r>
    </w:p>
    <w:p>
      <w:pPr>
        <w:numPr>
          <w:ilvl w:val="2"/>
          <w:numId w:val="1018"/>
        </w:numPr>
        <w:pStyle w:val="Compact"/>
      </w:pPr>
      <w:r>
        <w:t xml:space="preserve">Use Phase Emissions = 50 kWh × 0.50 kgCO2e/kWh (Average Global Grid EF) = 25.0 kgCO2e/unit</w:t>
      </w:r>
    </w:p>
    <w:p>
      <w:pPr>
        <w:numPr>
          <w:ilvl w:val="1"/>
          <w:numId w:val="1017"/>
        </w:numPr>
        <w:pStyle w:val="Compact"/>
      </w:pPr>
      <w:r>
        <w:rPr>
          <w:bCs/>
          <w:b/>
        </w:rPr>
        <w:t xml:space="preserve">Total Category 11 (Illustrative):</w:t>
      </w:r>
      <w:r>
        <w:t xml:space="preserve"> </w:t>
      </w:r>
      <w:r>
        <w:t xml:space="preserve">25.0 kgCO2e/unit</w:t>
      </w:r>
    </w:p>
    <w:p>
      <w:pPr>
        <w:numPr>
          <w:ilvl w:val="0"/>
          <w:numId w:val="1013"/>
        </w:numPr>
        <w:pStyle w:val="Compact"/>
      </w:pPr>
      <w:r>
        <w:rPr>
          <w:bCs/>
          <w:b/>
        </w:rPr>
        <w:t xml:space="preserve">Category 12: End-of-Life Treatment of Sold Products</w:t>
      </w:r>
    </w:p>
    <w:p>
      <w:pPr>
        <w:numPr>
          <w:ilvl w:val="1"/>
          <w:numId w:val="1019"/>
        </w:numPr>
        <w:pStyle w:val="Compact"/>
      </w:pPr>
      <w:r>
        <w:rPr>
          <w:bCs/>
          <w:b/>
        </w:rPr>
        <w:t xml:space="preserve">Illustrative Calculation:</w:t>
      </w:r>
    </w:p>
    <w:p>
      <w:pPr>
        <w:numPr>
          <w:ilvl w:val="2"/>
          <w:numId w:val="1020"/>
        </w:numPr>
        <w:pStyle w:val="Compact"/>
      </w:pPr>
      <w:r>
        <w:t xml:space="preserve">Total Product Weight = Sum of material weights in BOM = 0.35 + 0.20 + (assuming PCB and Battery are negligible weight-wise for EoL disposal calculation, or part of overall product weight) + 0.10 + 0.05 = 0.70 kg (ignoring complex components for simplification)</w:t>
      </w:r>
    </w:p>
    <w:p>
      <w:pPr>
        <w:numPr>
          <w:ilvl w:val="2"/>
          <w:numId w:val="1020"/>
        </w:numPr>
        <w:pStyle w:val="Compact"/>
      </w:pPr>
      <w:r>
        <w:t xml:space="preserve">Non-recycled portion = 0.70 kg × (1 - 0.70 recyclability) = 0.21 kg</w:t>
      </w:r>
    </w:p>
    <w:p>
      <w:pPr>
        <w:numPr>
          <w:ilvl w:val="2"/>
          <w:numId w:val="1020"/>
        </w:numPr>
        <w:pStyle w:val="Compact"/>
      </w:pPr>
      <w:r>
        <w:t xml:space="preserve">Disposal Emissions = 0.21 kg × 0.8 kgCO2e/kg = 0.168 kgCO2e</w:t>
      </w:r>
    </w:p>
    <w:p>
      <w:pPr>
        <w:numPr>
          <w:ilvl w:val="2"/>
          <w:numId w:val="1020"/>
        </w:numPr>
        <w:pStyle w:val="Compact"/>
      </w:pPr>
      <w:r>
        <w:t xml:space="preserve">Recycled portion = 0.70 kg × 0.70 recyclability = 0.49 kg</w:t>
      </w:r>
    </w:p>
    <w:p>
      <w:pPr>
        <w:numPr>
          <w:ilvl w:val="2"/>
          <w:numId w:val="1020"/>
        </w:numPr>
        <w:pStyle w:val="Compact"/>
      </w:pPr>
      <w:r>
        <w:t xml:space="preserve">Recycling Credits (avoided emissions) = 0.49 kg × (-0.5 kgCO2e/kg) = -0.245 kgCO2e</w:t>
      </w:r>
    </w:p>
    <w:p>
      <w:pPr>
        <w:numPr>
          <w:ilvl w:val="2"/>
          <w:numId w:val="1020"/>
        </w:numPr>
        <w:pStyle w:val="Compact"/>
      </w:pPr>
      <w:r>
        <w:t xml:space="preserve">Net EoL Emissions = 0.168 kgCO2e - 0.245 kgCO2e = -0.077 kgCO2e (Credit)</w:t>
      </w:r>
    </w:p>
    <w:p>
      <w:pPr>
        <w:numPr>
          <w:ilvl w:val="2"/>
          <w:numId w:val="1020"/>
        </w:numPr>
        <w:pStyle w:val="Compact"/>
      </w:pPr>
      <w:r>
        <w:t xml:space="preserve">With Circular/Take-back Programs: The established program with 15% material recovery further enhances circularity, leading to additional avoided emissions or reduced need for virgin materials. This would be quantified if specific data on the program\'s impact (e.g., secondary material production EFs vs. virgin) was available. For this illustrative report, the -0.077 kgCO2e represents the net impact including recyclability, and the program further reinforces this positive impact.</w:t>
      </w:r>
    </w:p>
    <w:p>
      <w:pPr>
        <w:numPr>
          <w:ilvl w:val="1"/>
          <w:numId w:val="1019"/>
        </w:numPr>
        <w:pStyle w:val="Compact"/>
      </w:pPr>
      <w:r>
        <w:rPr>
          <w:bCs/>
          <w:b/>
        </w:rPr>
        <w:t xml:space="preserve">Total Category 12 (Illustrative):</w:t>
      </w:r>
      <w:r>
        <w:t xml:space="preserve"> </w:t>
      </w:r>
      <w:r>
        <w:t xml:space="preserve">-0.077 kgCO2e/unit (a net credit)</w:t>
      </w:r>
    </w:p>
    <w:bookmarkEnd w:id="49"/>
    <w:bookmarkStart w:id="50" w:name="overall-scope-3-coverage"/>
    <w:p>
      <w:pPr>
        <w:pStyle w:val="Heading4"/>
      </w:pPr>
      <w:r>
        <w:t xml:space="preserve">Overall Scope 3 Coverage</w:t>
      </w:r>
    </w:p>
    <w:p>
      <w:pPr>
        <w:pStyle w:val="FirstParagraph"/>
      </w:pPr>
      <w:r>
        <w:t xml:space="preserve">This analysis aims for at least</w:t>
      </w:r>
      <w:r>
        <w:t xml:space="preserve"> </w:t>
      </w:r>
      <w:r>
        <w:rPr>
          <w:bCs/>
          <w:b/>
        </w:rPr>
        <w:t xml:space="preserve">95% coverage of all relevant Scope 3 emissions</w:t>
      </w:r>
      <w:r>
        <w:t xml:space="preserve">, in accordance with GHG Protocol 2026 requirements. The detailed breakdown and inclusion of material, transport, use, and end-of-life impacts ensure comprehensive reporting across the value chain.</w:t>
      </w:r>
    </w:p>
    <w:bookmarkEnd w:id="50"/>
    <w:bookmarkEnd w:id="51"/>
    <w:bookmarkStart w:id="52" w:name="X6cb5e98fc5f672b90609cb3addd66567976155f"/>
    <w:p>
      <w:pPr>
        <w:pStyle w:val="Heading3"/>
      </w:pPr>
      <w:r>
        <w:t xml:space="preserve">4.5 Total Product Carbon Footprint (Illustrative Summary)</w:t>
      </w:r>
    </w:p>
    <w:p>
      <w:pPr>
        <w:pStyle w:val="FirstParagraph"/>
      </w:pPr>
      <w:r>
        <w:t xml:space="preserve">The illustrative Product Carbon Footprint for one unit of xnmrktefjo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Illustrative Emissions (kgCO2e/unit)</w:t>
            </w:r>
          </w:p>
        </w:tc>
      </w:tr>
      <w:tr>
        <w:tc>
          <w:tcPr/>
          <w:p>
            <w:pPr>
              <w:pStyle w:val="Compact"/>
              <w:jc w:val="left"/>
            </w:pPr>
            <w:r>
              <w:t xml:space="preserve">Scope 1</w:t>
            </w:r>
          </w:p>
        </w:tc>
        <w:tc>
          <w:tcPr/>
          <w:p>
            <w:pPr>
              <w:pStyle w:val="Compact"/>
              <w:jc w:val="left"/>
            </w:pPr>
            <w:r>
              <w:t xml:space="preserve">Direct Manufacturing Emissions</w:t>
            </w:r>
          </w:p>
        </w:tc>
        <w:tc>
          <w:tcPr/>
          <w:p>
            <w:pPr>
              <w:pStyle w:val="Compact"/>
              <w:jc w:val="left"/>
            </w:pPr>
            <w:r>
              <w:t xml:space="preserve">0.050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2.275</w:t>
            </w:r>
          </w:p>
        </w:tc>
      </w:tr>
      <w:tr>
        <w:tc>
          <w:tcPr>
            <w:vMerge w:val="restart"/>
          </w:tcPr>
          <w:p>
            <w:pPr>
              <w:pStyle w:val="Compact"/>
              <w:jc w:val="left"/>
            </w:pPr>
            <w:r>
              <w:t xml:space="preserve">Scope 3</w:t>
            </w:r>
          </w:p>
        </w:tc>
        <w:tc>
          <w:tcPr/>
          <w:p>
            <w:pPr>
              <w:pStyle w:val="Compact"/>
              <w:jc w:val="left"/>
            </w:pPr>
            <w:r>
              <w:t xml:space="preserve">Upstream Materials (Purchased Goods &amp; Services)</w:t>
            </w:r>
          </w:p>
        </w:tc>
        <w:tc>
          <w:tcPr/>
          <w:p>
            <w:pPr>
              <w:pStyle w:val="Compact"/>
              <w:jc w:val="left"/>
            </w:pPr>
            <w:r>
              <w:t xml:space="preserve">5.775</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0.088</w:t>
            </w:r>
          </w:p>
        </w:tc>
      </w:tr>
      <w:tr>
        <w:tc>
          <w:tcPr>
            <w:gridSpan w:val="1"/>
            <w:vMerge w:val="continue"/>
          </w:tcPr>
          <w:p>
            <w:pPr/>
          </w:p>
        </w:tc>
        <w:tc>
          <w:tcPr/>
          <w:p>
            <w:pPr>
              <w:pStyle w:val="Compact"/>
              <w:jc w:val="left"/>
            </w:pPr>
            <w:r>
              <w:t xml:space="preserve">Use of Sold Products</w:t>
            </w:r>
          </w:p>
        </w:tc>
        <w:tc>
          <w:tcPr/>
          <w:p>
            <w:pPr>
              <w:pStyle w:val="Compact"/>
              <w:jc w:val="left"/>
            </w:pPr>
            <w:r>
              <w:t xml:space="preserve">25.000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-0.077</w:t>
            </w:r>
          </w:p>
        </w:tc>
      </w:tr>
      <w:tr>
        <w:tc>
          <w:tcPr>
            <w:gridSpan w:val="2"/>
          </w:tcPr>
          <w:p>
            <w:pPr>
              <w:pStyle w:val="Compact"/>
              <w:jc w:val="right"/>
            </w:pPr>
            <w:r>
              <w:rPr>
                <w:bCs/>
                <w:b/>
              </w:rPr>
              <w:t xml:space="preserve">Total PCF (Illustrative):</w:t>
            </w:r>
          </w:p>
        </w:tc>
        <w:tc>
          <w:tcPr/>
          <w:p>
            <w:pPr>
              <w:pStyle w:val="Compact"/>
              <w:jc w:val="left"/>
            </w:pPr>
            <w:r>
              <w:rPr>
                <w:bCs/>
                <w:b/>
              </w:rPr>
              <w:t xml:space="preserve">33.111 kgCO2e/unit</w:t>
            </w:r>
          </w:p>
        </w:tc>
      </w:tr>
    </w:tbl>
    <w:p>
      <w:pPr>
        <w:pStyle w:val="BodyText"/>
      </w:pPr>
      <w:r>
        <w:rPr>
          <w:iCs/>
          <w:i/>
        </w:rPr>
        <w:t xml:space="preserve">Note: Totals may vary slightly due to rounding in illustrative calculations.</w:t>
      </w:r>
    </w:p>
    <w:p>
      <w:r>
        <w:pict>
          <v:rect style="width:0;height:1.5pt" o:hralign="center" o:hrstd="t" o:hr="t"/>
        </w:pict>
      </w:r>
    </w:p>
    <w:bookmarkEnd w:id="52"/>
    <w:bookmarkEnd w:id="53"/>
    <w:bookmarkStart w:id="57" w:name="review-reporting"/>
    <w:p>
      <w:pPr>
        <w:pStyle w:val="Heading2"/>
      </w:pPr>
      <w:r>
        <w:t xml:space="preserve">5. Review &amp; Reporting</w:t>
      </w:r>
    </w:p>
    <w:bookmarkStart w:id="54" w:name="hotspot-identification"/>
    <w:p>
      <w:pPr>
        <w:pStyle w:val="Heading3"/>
      </w:pPr>
      <w:r>
        <w:t xml:space="preserve">5.1 Hotspot Identification</w:t>
      </w:r>
    </w:p>
    <w:p>
      <w:pPr>
        <w:pStyle w:val="FirstParagraph"/>
      </w:pPr>
      <w:r>
        <w:t xml:space="preserve">Based on the illustrative analysis, the primary emission hotspots for xnmrktefjo are:</w:t>
      </w:r>
    </w:p>
    <w:p>
      <w:pPr>
        <w:numPr>
          <w:ilvl w:val="0"/>
          <w:numId w:val="1021"/>
        </w:numPr>
        <w:pStyle w:val="Compact"/>
      </w:pPr>
      <w:r>
        <w:rPr>
          <w:bCs/>
          <w:b/>
        </w:rPr>
        <w:t xml:space="preserve">Use Phase (Approx. 75.5% of total PCF):</w:t>
      </w:r>
      <w:r>
        <w:t xml:space="preserve"> </w:t>
      </w:r>
      <w:r>
        <w:t xml:space="preserve">The energy consumption during the product\'s lifespan is the most significant contributor to its carbon footprint. This highlights a critical area for design and efficiency improvements.</w:t>
      </w:r>
    </w:p>
    <w:p>
      <w:pPr>
        <w:numPr>
          <w:ilvl w:val="0"/>
          <w:numId w:val="1021"/>
        </w:numPr>
        <w:pStyle w:val="Compact"/>
      </w:pPr>
      <w:r>
        <w:rPr>
          <w:bCs/>
          <w:b/>
        </w:rPr>
        <w:t xml:space="preserve">Upstream Materials (Approx. 17.4% of total PCF):</w:t>
      </w:r>
      <w:r>
        <w:t xml:space="preserve"> </w:t>
      </w:r>
      <w:r>
        <w:t xml:space="preserve">The production of raw materials, particularly the Aluminium Alloy Casing and Lithium-ion Battery Pack, contributes substantially to the upstream footprint.</w:t>
      </w:r>
    </w:p>
    <w:p>
      <w:pPr>
        <w:numPr>
          <w:ilvl w:val="0"/>
          <w:numId w:val="1021"/>
        </w:numPr>
        <w:pStyle w:val="Compact"/>
      </w:pPr>
      <w:r>
        <w:rPr>
          <w:bCs/>
          <w:b/>
        </w:rPr>
        <w:t xml:space="preserve">Manufacturing (Scope 2, Approx. 6.9% of total PCF):</w:t>
      </w:r>
      <w:r>
        <w:t xml:space="preserve"> </w:t>
      </w:r>
      <w:r>
        <w:t xml:space="preserve">Purchased electricity for manufacturing, despite 30% renewable energy usage, still represents a notable portion of emissions.</w:t>
      </w:r>
    </w:p>
    <w:bookmarkEnd w:id="54"/>
    <w:bookmarkStart w:id="55" w:name="data-reliability-limitations"/>
    <w:p>
      <w:pPr>
        <w:pStyle w:val="Heading3"/>
      </w:pPr>
      <w:r>
        <w:t xml:space="preserve">5.2 Data Reliability &amp; Limitations</w:t>
      </w:r>
    </w:p>
    <w:p>
      <w:pPr>
        <w:pStyle w:val="FirstParagraph"/>
      </w:pPr>
      <w:r>
        <w:t xml:space="preserve">This report is based on the provided parameters and illustrative data where specific numerical values were not supplied. While the methodology adheres to GHG Protocol standards, the quantitative results presented are illustrative and subject to the accuracy and completeness of the underlying data. A live PCF calculation with primary, verifiable data for all parameters would yield a more precise and auditable result. The application of the 2026 LSR Standard is primarily conceptual in this report due to the product\'s nature, but its principles for accounting for land-based emissions and removals across the value chain are acknowledged.</w:t>
      </w:r>
    </w:p>
    <w:bookmarkEnd w:id="55"/>
    <w:bookmarkStart w:id="56" w:name="recommendations"/>
    <w:p>
      <w:pPr>
        <w:pStyle w:val="Heading3"/>
      </w:pPr>
      <w:r>
        <w:t xml:space="preserve">5.3 Recommendations</w:t>
      </w:r>
    </w:p>
    <w:p>
      <w:pPr>
        <w:pStyle w:val="FirstParagraph"/>
      </w:pPr>
      <w:r>
        <w:t xml:space="preserve">To reduce the carbon footprint of xnmrktefjo, ipywzymqnp should consider the following actions:</w:t>
      </w:r>
    </w:p>
    <w:p>
      <w:pPr>
        <w:numPr>
          <w:ilvl w:val="0"/>
          <w:numId w:val="1022"/>
        </w:numPr>
        <w:pStyle w:val="Compact"/>
      </w:pPr>
      <w:r>
        <w:rPr>
          <w:bCs/>
          <w:b/>
        </w:rPr>
        <w:t xml:space="preserve">Prioritize Use Phase Efficiency:</w:t>
      </w:r>
      <w:r>
        <w:t xml:space="preserve"> </w:t>
      </w:r>
      <w:r>
        <w:t xml:space="preserve">Focus on product design for reduced energy consumption during its active life. Explore low-power components, energy-saving modes, and user education for efficient use.</w:t>
      </w:r>
    </w:p>
    <w:p>
      <w:pPr>
        <w:numPr>
          <w:ilvl w:val="0"/>
          <w:numId w:val="1022"/>
        </w:numPr>
        <w:pStyle w:val="Compact"/>
      </w:pPr>
      <w:r>
        <w:rPr>
          <w:bCs/>
          <w:b/>
        </w:rPr>
        <w:t xml:space="preserve">Optimize Material Selection &amp; Sourcing:</w:t>
      </w:r>
      <w:r>
        <w:t xml:space="preserve"> </w:t>
      </w:r>
      <w:r>
        <w:t xml:space="preserve">Investigate alternative materials with lower embodied carbon, especially for high-impact components like aluminum and batteries. Enhance sourcing from suppliers committed to renewable energy and sustainable practices.</w:t>
      </w:r>
    </w:p>
    <w:p>
      <w:pPr>
        <w:numPr>
          <w:ilvl w:val="0"/>
          <w:numId w:val="1022"/>
        </w:numPr>
        <w:pStyle w:val="Compact"/>
      </w:pPr>
      <w:r>
        <w:rPr>
          <w:bCs/>
          <w:b/>
        </w:rPr>
        <w:t xml:space="preserve">Increase Renewable Energy Adoption:</w:t>
      </w:r>
      <w:r>
        <w:t xml:space="preserve"> </w:t>
      </w:r>
      <w:r>
        <w:t xml:space="preserve">Further increase renewable energy usage at the manufacturing facility to reduce Scope 2 emissions, potentially through on-site generation or purchasing certified renewable energy.</w:t>
      </w:r>
    </w:p>
    <w:p>
      <w:pPr>
        <w:numPr>
          <w:ilvl w:val="0"/>
          <w:numId w:val="1022"/>
        </w:numPr>
        <w:pStyle w:val="Compact"/>
      </w:pPr>
      <w:r>
        <w:rPr>
          <w:bCs/>
          <w:b/>
        </w:rPr>
        <w:t xml:space="preserve">Enhance Circularity:</w:t>
      </w:r>
      <w:r>
        <w:t xml:space="preserve"> </w:t>
      </w:r>
      <w:r>
        <w:t xml:space="preserve">Leverage the existing recyclability and circular programs. Explore design-for-disassembly and repairability to extend product lifespan and facilitate higher quality material recovery.</w:t>
      </w:r>
    </w:p>
    <w:p>
      <w:pPr>
        <w:numPr>
          <w:ilvl w:val="0"/>
          <w:numId w:val="1022"/>
        </w:numPr>
        <w:pStyle w:val="Compact"/>
      </w:pPr>
      <w:r>
        <w:rPr>
          <w:bCs/>
          <w:b/>
        </w:rPr>
        <w:t xml:space="preserve">Gather Primary Data:</w:t>
      </w:r>
      <w:r>
        <w:t xml:space="preserve"> </w:t>
      </w:r>
      <w:r>
        <w:t xml:space="preserve">Implement systems to collect more precise primary data for all lifecycle stages (e.g., actual transport distances, real-world energy consumption in use) to refine future PCF analyses.</w:t>
      </w:r>
    </w:p>
    <w:p>
      <w:r>
        <w:pict>
          <v:rect style="width:0;height:1.5pt" o:hralign="center" o:hrstd="t" o:hr="t"/>
        </w:pict>
      </w:r>
    </w:p>
    <w:p>
      <w:pPr>
        <w:pStyle w:val="FirstParagraph"/>
      </w:pPr>
      <w:r>
        <w:t xml:space="preserve">Confidential - Internal Use Only</w:t>
      </w:r>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xnmrktefjo - ipywzymqnp</dc:title>
  <dc:creator/>
  <dc:description>Detailed Product Carbon Footprint (PCF) analysis report for xnmrktefjo, following GHG Protocol standards and 2026 updates, prepared by shgolrnkml for ipywzymqnp.</dc:description>
  <dc:language>en</dc:language>
  <cp:keywords/>
  <dcterms:created xsi:type="dcterms:W3CDTF">2026-07-15T07:38:31Z</dcterms:created>
  <dcterms:modified xsi:type="dcterms:W3CDTF">2026-07-15T07:38:31Z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