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wxfqidqppk</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 wxfqidqppk</w:t>
      </w:r>
    </w:p>
    <w:p>
      <w:pPr>
        <w:pStyle w:val="BodyText"/>
      </w:pPr>
      <w:r>
        <w:t xml:space="preserve">Company: kfytjmtsiz</w:t>
      </w:r>
    </w:p>
    <w:p>
      <w:pPr>
        <w:pStyle w:val="BodyText"/>
      </w:pPr>
      <w:r>
        <w:t xml:space="preserve">Senior Sustainability Consultant: pjzslrtsnp</w:t>
      </w:r>
    </w:p>
    <w:p>
      <w:pPr>
        <w:pStyle w:val="BodyText"/>
      </w:pPr>
      <w:r>
        <w:t xml:space="preserve">Accounting Standard: GHG Protocol</w:t>
      </w:r>
    </w:p>
    <w:p>
      <w:pPr>
        <w:pStyle w:val="BodyText"/>
      </w:pPr>
      <w:r>
        <w:t xml:space="preserve">Disclaimer: This report is generated based on available data and industry standards. While every effort has been made to ensure accuracy, the actual carbon footprint may vary depending on real-time operational conditions and specific data availability.</w:t>
      </w:r>
    </w:p>
    <w:bookmarkEnd w:id="20"/>
    <w:p>
      <w:pPr>
        <w:pStyle w:val="BodyText"/>
      </w:pPr>
      <w:r>
        <w:t xml:space="preserve">Generated Date: May 27, 2026</w:t>
      </w:r>
    </w:p>
    <w:bookmarkStart w:id="49" w:name="Xe7bb87898525a2a5a932615b9c99ef0354552bc"/>
    <w:p>
      <w:pPr>
        <w:pStyle w:val="Heading1"/>
      </w:pPr>
      <w:r>
        <w:t xml:space="preserve">Product Carbon Footprint Analysis for wxfqidqppk</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wxfqidqppk, manufactured by kfytjmtsiz. Conducted by pjzslrtsnp, Senior Sustainability Consultant, this analysis adheres strictly to the GHG Protocol accounting standard, incorporating the 2026 Land Sector and Removals (LSR) Standard and ensuring over 95% coverage for Scope 3 emissions. The assessment covers the entire lifecycle from raw material acquisition (extraction) to the factory gate, with considerations for the use phase and end-of-life scenarios. The primary goal is to identify carbon hotspots and provide actionable insights for emission reduction.</w:t>
      </w:r>
    </w:p>
    <w:p>
      <w:r>
        <w:pict>
          <v:rect style="width:0;height:1.5pt" o:hralign="center" o:hrstd="t" o:hr="t"/>
        </w:pict>
      </w:r>
    </w:p>
    <w:bookmarkEnd w:id="21"/>
    <w:bookmarkStart w:id="27" w:name="methodology-overview"/>
    <w:p>
      <w:pPr>
        <w:pStyle w:val="Heading2"/>
      </w:pPr>
      <w:r>
        <w:t xml:space="preserve">Methodology Overview</w:t>
      </w:r>
    </w:p>
    <w:p>
      <w:pPr>
        <w:pStyle w:val="FirstParagraph"/>
      </w:pPr>
      <w:r>
        <w:t xml:space="preserve">The Product Carbon Footprint (PCF) analysis for wxfqidqppk follows a robust five-step methodology, fully compliant with the GHG Protocol Product Standard.</w:t>
      </w:r>
    </w:p>
    <w:p>
      <w:pPr>
        <w:numPr>
          <w:ilvl w:val="0"/>
          <w:numId w:val="1001"/>
        </w:numPr>
        <w:pStyle w:val="Heading3"/>
      </w:pPr>
      <w:bookmarkStart w:id="22" w:name="define-scope"/>
      <w:r>
        <w:t xml:space="preserve">Define Scope</w:t>
      </w:r>
      <w:bookmarkEnd w:id="22"/>
    </w:p>
    <w:p>
      <w:pPr>
        <w:numPr>
          <w:ilvl w:val="0"/>
          <w:numId w:val="1000"/>
        </w:numPr>
      </w:pPr>
      <w:r>
        <w:t xml:space="preserve">The initial step involves clearly defining the parameters of the study. This includes the functional unit, system boundaries, geographic scope, and methods for allocation.</w:t>
      </w:r>
    </w:p>
    <w:p>
      <w:pPr>
        <w:numPr>
          <w:ilvl w:val="0"/>
          <w:numId w:val="1001"/>
        </w:numPr>
        <w:pStyle w:val="Heading3"/>
      </w:pPr>
      <w:bookmarkStart w:id="23" w:name="X5b65be45848e8ebf641a72983b24f262a4ce7a0"/>
      <w:r>
        <w:t xml:space="preserve">Map Lifecycle (Life Cycle Inventory - LCI Stages)</w:t>
      </w:r>
      <w:bookmarkEnd w:id="23"/>
    </w:p>
    <w:p>
      <w:pPr>
        <w:numPr>
          <w:ilvl w:val="0"/>
          <w:numId w:val="1000"/>
        </w:numPr>
      </w:pPr>
      <w:r>
        <w:t xml:space="preserve">This phase involves identifying all relevant processes and stages within the product\'s lifecycle that contribute to its carbon footprint. It outlines the flow of materials, energy, and waste throughout the product\'s journey.</w:t>
      </w:r>
    </w:p>
    <w:p>
      <w:pPr>
        <w:numPr>
          <w:ilvl w:val="0"/>
          <w:numId w:val="1001"/>
        </w:numPr>
        <w:pStyle w:val="Heading3"/>
      </w:pPr>
      <w:bookmarkStart w:id="24" w:name="Xb57f50a89bf1f3f1837369be949d9d60d6c1272"/>
      <w:r>
        <w:t xml:space="preserve">Collect Data (Primary/Secondary Data Points)</w:t>
      </w:r>
      <w:bookmarkEnd w:id="24"/>
    </w:p>
    <w:p>
      <w:pPr>
        <w:numPr>
          <w:ilvl w:val="0"/>
          <w:numId w:val="1000"/>
        </w:numPr>
      </w:pPr>
      <w:r>
        <w:t xml:space="preserve">Comprehensive data collection is crucial. This step involves gathering both primary data (e.g., direct energy consumption, material usage from production facilities) and secondary data (e.g., industry average emission factors, transport distances) required for calculations.</w:t>
      </w:r>
    </w:p>
    <w:p>
      <w:pPr>
        <w:numPr>
          <w:ilvl w:val="0"/>
          <w:numId w:val="1001"/>
        </w:numPr>
        <w:pStyle w:val="Heading3"/>
      </w:pPr>
      <w:bookmarkStart w:id="25" w:name="Xb404f6bea4a0013006ec7a9103609d9ea6643c1"/>
      <w:r>
        <w:t xml:space="preserve">Calculate Emissions (Activity * Emission Factor = CO2e)</w:t>
      </w:r>
      <w:bookmarkEnd w:id="25"/>
    </w:p>
    <w:p>
      <w:pPr>
        <w:numPr>
          <w:ilvl w:val="0"/>
          <w:numId w:val="1000"/>
        </w:numPr>
      </w:pPr>
      <w:r>
        <w:t xml:space="preserve">Emissions are calculated by multiplying the activity data (e.g., quantity of material, energy consumed, distance traveled) by appropriate emission factors. This step quantifies the greenhouse gas emissions (expressed as CO2e) for each lifecycle stage.</w:t>
      </w:r>
    </w:p>
    <w:p>
      <w:pPr>
        <w:numPr>
          <w:ilvl w:val="0"/>
          <w:numId w:val="1001"/>
        </w:numPr>
        <w:pStyle w:val="Heading3"/>
      </w:pPr>
      <w:bookmarkStart w:id="26" w:name="review-report-hotspots-and-reliability"/>
      <w:r>
        <w:t xml:space="preserve">Review &amp; Report (Hotspots and Reliability)</w:t>
      </w:r>
      <w:bookmarkEnd w:id="26"/>
    </w:p>
    <w:p>
      <w:pPr>
        <w:numPr>
          <w:ilvl w:val="0"/>
          <w:numId w:val="1000"/>
        </w:numPr>
      </w:pPr>
      <w:r>
        <w:t xml:space="preserve">The final step involves reviewing the results for accuracy and completeness, identifying key emission hotspots, and assessing the reliability of the data and calculations. The findings are then compiled into a comprehensive report.</w:t>
      </w:r>
    </w:p>
    <w:p>
      <w:pPr>
        <w:pStyle w:val="FirstParagraph"/>
      </w:pPr>
      <w:r>
        <w:t xml:space="preserve">**Adherence to GHG Protocol:** Emissions are categorized into Scope 1 (direct emissions from owned or controlled sources), Scope 2 (indirect emissions from the generation of purchased energy), and Scope 3 (all other indirect emissions that occur in the value chain, both upstream and downstream).</w:t>
      </w:r>
    </w:p>
    <w:p>
      <w:pPr>
        <w:pStyle w:val="BodyText"/>
      </w:pPr>
      <w:r>
        <w:t xml:space="preserve">**2026 LSR Update:** The analysis applies the Land Sector and Removals (LSR) Standard to account for land use and carbon removals, providing a more comprehensive view of the product\'s environmental impact related to land-based activities.</w:t>
      </w:r>
    </w:p>
    <w:p>
      <w:pPr>
        <w:pStyle w:val="BodyText"/>
      </w:pPr>
      <w:r>
        <w:t xml:space="preserve">**Scope 3 Compliance:** Rigorous efforts have been made to ensure at least 95% coverage for Scope 3 reporting, in line with stringent 2026 requirements, to provide a holistic assessment of the product\'s value chain emissions.</w:t>
      </w:r>
    </w:p>
    <w:p>
      <w:r>
        <w:pict>
          <v:rect style="width:0;height:1.5pt" o:hralign="center" o:hrstd="t" o:hr="t"/>
        </w:pict>
      </w:r>
    </w:p>
    <w:bookmarkEnd w:id="27"/>
    <w:bookmarkStart w:id="48" w:name="detailed-pcf-analysis-for-wxfqidqppk"/>
    <w:p>
      <w:pPr>
        <w:pStyle w:val="Heading2"/>
      </w:pPr>
      <w:r>
        <w:t xml:space="preserve">Detailed PCF Analysis for wxfqidqppk</w:t>
      </w:r>
    </w:p>
    <w:bookmarkStart w:id="28" w:name="scope-definition"/>
    <w:p>
      <w:pPr>
        <w:pStyle w:val="Heading3"/>
      </w:pPr>
      <w:r>
        <w:t xml:space="preserve">1. Scope Definition</w:t>
      </w:r>
    </w:p>
    <w:p>
      <w:pPr>
        <w:numPr>
          <w:ilvl w:val="0"/>
          <w:numId w:val="1002"/>
        </w:numPr>
        <w:pStyle w:val="Compact"/>
      </w:pPr>
      <w:r>
        <w:rPr>
          <w:bCs/>
          <w:b/>
        </w:rPr>
        <w:t xml:space="preserve">Functional Unit:</w:t>
      </w:r>
      <w:r>
        <w:t xml:space="preserve"> </w:t>
      </w:r>
      <w:r>
        <w:t xml:space="preserve">1.0 unit of wxfqidqppk</w:t>
      </w:r>
    </w:p>
    <w:p>
      <w:pPr>
        <w:numPr>
          <w:ilvl w:val="0"/>
          <w:numId w:val="1002"/>
        </w:numPr>
        <w:pStyle w:val="Compact"/>
      </w:pPr>
      <w:r>
        <w:rPr>
          <w:bCs/>
          <w:b/>
        </w:rPr>
        <w:t xml:space="preserve">System Boundary:</w:t>
      </w:r>
      <w:r>
        <w:t xml:space="preserve"> </w:t>
      </w:r>
      <w:r>
        <w:t xml:space="preserve">Cradle-to-factory gate with downstream considerations for use phase and end-of-life.</w:t>
      </w:r>
    </w:p>
    <w:p>
      <w:pPr>
        <w:numPr>
          <w:ilvl w:val="0"/>
          <w:numId w:val="1002"/>
        </w:numPr>
        <w:pStyle w:val="Compact"/>
      </w:pPr>
      <w:r>
        <w:rPr>
          <w:bCs/>
          <w:b/>
        </w:rPr>
        <w:t xml:space="preserve">Geographic Scope:</w:t>
      </w:r>
    </w:p>
    <w:p>
      <w:pPr>
        <w:numPr>
          <w:ilvl w:val="1"/>
          <w:numId w:val="1003"/>
        </w:numPr>
        <w:pStyle w:val="Compact"/>
      </w:pPr>
      <w:r>
        <w:t xml:space="preserve">Final Production Country: China</w:t>
      </w:r>
    </w:p>
    <w:p>
      <w:pPr>
        <w:numPr>
          <w:ilvl w:val="1"/>
          <w:numId w:val="1003"/>
        </w:numPr>
        <w:pStyle w:val="Compact"/>
      </w:pPr>
      <w:r>
        <w:t xml:space="preserve">Supply Chain Focus: Europe Focused (implies primary raw material and component sourcing, and subsequent transportation to China).</w:t>
      </w:r>
    </w:p>
    <w:p>
      <w:pPr>
        <w:numPr>
          <w:ilvl w:val="0"/>
          <w:numId w:val="1002"/>
        </w:numPr>
        <w:pStyle w:val="Compact"/>
      </w:pPr>
      <w:r>
        <w:rPr>
          <w:bCs/>
          <w:b/>
        </w:rPr>
        <w:t xml:space="preserve">Accounting Standard:</w:t>
      </w:r>
      <w:r>
        <w:t xml:space="preserve"> </w:t>
      </w:r>
      <w:r>
        <w:t xml:space="preserve">GHG Protocol Product Standard</w:t>
      </w:r>
    </w:p>
    <w:p>
      <w:pPr>
        <w:numPr>
          <w:ilvl w:val="0"/>
          <w:numId w:val="1002"/>
        </w:numPr>
        <w:pStyle w:val="Compact"/>
      </w:pPr>
      <w:r>
        <w:rPr>
          <w:bCs/>
          <w:b/>
        </w:rPr>
        <w:t xml:space="preserve">Allocation:</w:t>
      </w:r>
      <w:r>
        <w:t xml:space="preserve"> </w:t>
      </w:r>
      <w:r>
        <w:t xml:space="preserve">Mass-based allocation for co-products and recycling wherever applicable, in line with GHG Protocol guidance.</w:t>
      </w:r>
    </w:p>
    <w:bookmarkEnd w:id="28"/>
    <w:bookmarkStart w:id="34" w:name="lifecycle-mapping-3.-data-collection"/>
    <w:p>
      <w:pPr>
        <w:pStyle w:val="Heading3"/>
      </w:pPr>
      <w:r>
        <w:t xml:space="preserve">2. Lifecycle Mapping &amp; 3. Data Collection</w:t>
      </w:r>
    </w:p>
    <w:p>
      <w:pPr>
        <w:pStyle w:val="FirstParagraph"/>
      </w:pPr>
      <w:r>
        <w:t xml:space="preserve">This section details the inputs required for the PCF calculation, covering materials, energy, and transportation across different lifecycle stages.</w:t>
      </w:r>
    </w:p>
    <w:bookmarkStart w:id="29" w:name="detailed-bill-of-materials-bom-xejjsvue"/>
    <w:p>
      <w:pPr>
        <w:pStyle w:val="Heading4"/>
      </w:pPr>
      <w:r>
        <w:t xml:space="preserve">Detailed Bill of Materials (BOM): xejjsvue</w:t>
      </w:r>
    </w:p>
    <w:p>
      <w:pPr>
        <w:pStyle w:val="FirstParagraph"/>
      </w:pPr>
      <w:r>
        <w:t xml:space="preserve">The following Bill of Materials provides a high-accuracy basis for calculating the material impact of wxfqidqppk. Emission factors are representative industry averages (e.g., Ecoinvent/DEFRA-based estimates) for the specified processes and materials.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Aluminum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Virgin ABS Polymerization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Copper Mining &amp; Refining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M005</w:t>
            </w:r>
          </w:p>
        </w:tc>
        <w:tc>
          <w:tcPr/>
          <w:p>
            <w:pPr>
              <w:pStyle w:val="Compact"/>
              <w:jc w:val="left"/>
            </w:pPr>
            <w:r>
              <w:t xml:space="preserve">Electronic Components (Assorted)</w:t>
            </w:r>
          </w:p>
        </w:tc>
        <w:tc>
          <w:tcPr/>
          <w:p>
            <w:pPr>
              <w:pStyle w:val="Compact"/>
              <w:jc w:val="left"/>
            </w:pPr>
            <w:r>
              <w:t xml:space="preserve">Electronics</w:t>
            </w:r>
          </w:p>
        </w:tc>
        <w:tc>
          <w:tcPr/>
          <w:p>
            <w:pPr>
              <w:pStyle w:val="Compact"/>
              <w:jc w:val="left"/>
            </w:pPr>
            <w:r>
              <w:t xml:space="preserve">Component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Recycled Cardboard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6.85 kg CO2e</w:t>
            </w:r>
          </w:p>
        </w:tc>
      </w:tr>
    </w:tbl>
    <w:bookmarkEnd w:id="29"/>
    <w:bookmarkStart w:id="30" w:name="energy-inputs-production-phase"/>
    <w:p>
      <w:pPr>
        <w:pStyle w:val="Heading4"/>
      </w:pPr>
      <w:r>
        <w:t xml:space="preserve">Energy Inputs (Production Phase)</w:t>
      </w:r>
    </w:p>
    <w:p>
      <w:pPr>
        <w:numPr>
          <w:ilvl w:val="0"/>
          <w:numId w:val="1004"/>
        </w:numPr>
        <w:pStyle w:val="Compact"/>
      </w:pPr>
      <w:r>
        <w:rPr>
          <w:bCs/>
          <w:b/>
        </w:rPr>
        <w:t xml:space="preserve">Energy Intensity (kWh/unit):</w:t>
      </w:r>
      <w:r>
        <w:t xml:space="preserve"> </w:t>
      </w:r>
      <w:r>
        <w:t xml:space="preserve">pitvrpptne (5 kWh/unit)</w:t>
      </w:r>
    </w:p>
    <w:p>
      <w:pPr>
        <w:numPr>
          <w:ilvl w:val="0"/>
          <w:numId w:val="1004"/>
        </w:numPr>
        <w:pStyle w:val="Compact"/>
      </w:pPr>
      <w:r>
        <w:rPr>
          <w:bCs/>
          <w:b/>
        </w:rPr>
        <w:t xml:space="preserve">Renewable Energy Usage:</w:t>
      </w:r>
      <w:r>
        <w:t xml:space="preserve"> </w:t>
      </w:r>
      <w:r>
        <w:t xml:space="preserve">dtjeglyjwx (70%)</w:t>
      </w:r>
    </w:p>
    <w:p>
      <w:pPr>
        <w:numPr>
          <w:ilvl w:val="1"/>
          <w:numId w:val="1005"/>
        </w:numPr>
        <w:pStyle w:val="Compact"/>
      </w:pPr>
      <w:r>
        <w:t xml:space="preserve">Non-renewable grid electricity: 30% of 5 kWh = 1.5 kWh</w:t>
      </w:r>
    </w:p>
    <w:p>
      <w:pPr>
        <w:numPr>
          <w:ilvl w:val="1"/>
          <w:numId w:val="1005"/>
        </w:numPr>
        <w:pStyle w:val="Compact"/>
      </w:pPr>
      <w:r>
        <w:t xml:space="preserve">Emission factor for non-renewable grid electricity (China average, estimated): 0.6 kg CO2e/kWh</w:t>
      </w:r>
    </w:p>
    <w:bookmarkEnd w:id="30"/>
    <w:bookmarkStart w:id="31" w:name="logistics-data-supply-chain-analysis"/>
    <w:p>
      <w:pPr>
        <w:pStyle w:val="Heading4"/>
      </w:pPr>
      <w:r>
        <w:t xml:space="preserve">Logistics Data (Supply Chain Analysis)</w:t>
      </w:r>
    </w:p>
    <w:p>
      <w:pPr>
        <w:numPr>
          <w:ilvl w:val="0"/>
          <w:numId w:val="1006"/>
        </w:numPr>
        <w:pStyle w:val="Compact"/>
      </w:pPr>
      <w:r>
        <w:rPr>
          <w:bCs/>
          <w:b/>
        </w:rPr>
        <w:t xml:space="preserve">Primary Transport Mode (Raw Materials/Components from Europe to China):</w:t>
      </w:r>
      <w:r>
        <w:t xml:space="preserve"> </w:t>
      </w:r>
      <w:r>
        <w:t xml:space="preserve">Select Mode (Ocean Freight - Container Ship)</w:t>
      </w:r>
    </w:p>
    <w:p>
      <w:pPr>
        <w:numPr>
          <w:ilvl w:val="0"/>
          <w:numId w:val="1006"/>
        </w:numPr>
        <w:pStyle w:val="Compact"/>
      </w:pPr>
      <w:r>
        <w:rPr>
          <w:bCs/>
          <w:b/>
        </w:rPr>
        <w:t xml:space="preserve">Transport Distance:</w:t>
      </w:r>
      <w:r>
        <w:t xml:space="preserve"> </w:t>
      </w:r>
      <w:r>
        <w:t xml:space="preserve">hhpdkthuvi (15,000 km)</w:t>
      </w:r>
    </w:p>
    <w:p>
      <w:pPr>
        <w:numPr>
          <w:ilvl w:val="0"/>
          <w:numId w:val="1006"/>
        </w:numPr>
        <w:pStyle w:val="Compact"/>
      </w:pPr>
      <w:r>
        <w:rPr>
          <w:bCs/>
          <w:b/>
        </w:rPr>
        <w:t xml:space="preserve">Last-Mile Delivery Channel (Finished Product to Customer):</w:t>
      </w:r>
      <w:r>
        <w:t xml:space="preserve"> </w:t>
      </w:r>
      <w:r>
        <w:t xml:space="preserve">Delivery Type (Road Freight - Light Commercial Vehicle)</w:t>
      </w:r>
    </w:p>
    <w:p>
      <w:pPr>
        <w:numPr>
          <w:ilvl w:val="0"/>
          <w:numId w:val="1006"/>
        </w:numPr>
        <w:pStyle w:val="Compact"/>
      </w:pPr>
      <w:r>
        <w:rPr>
          <w:bCs/>
          <w:b/>
        </w:rPr>
        <w:t xml:space="preserve">Last-Mile Delivery Distance (estimated average):</w:t>
      </w:r>
      <w:r>
        <w:t xml:space="preserve"> </w:t>
      </w:r>
      <w:r>
        <w:t xml:space="preserve">500 km</w:t>
      </w:r>
    </w:p>
    <w:bookmarkEnd w:id="31"/>
    <w:bookmarkStart w:id="32" w:name="use-phase-data"/>
    <w:p>
      <w:pPr>
        <w:pStyle w:val="Heading4"/>
      </w:pPr>
      <w:r>
        <w:t xml:space="preserve">Use Phase Data</w:t>
      </w:r>
    </w:p>
    <w:p>
      <w:pPr>
        <w:numPr>
          <w:ilvl w:val="0"/>
          <w:numId w:val="1007"/>
        </w:numPr>
        <w:pStyle w:val="Compact"/>
      </w:pPr>
      <w:r>
        <w:rPr>
          <w:bCs/>
          <w:b/>
        </w:rPr>
        <w:t xml:space="preserve">Product Lifespan:</w:t>
      </w:r>
      <w:r>
        <w:t xml:space="preserve"> </w:t>
      </w:r>
      <w:r>
        <w:t xml:space="preserve">pdqgpmximx (5 years)</w:t>
      </w:r>
    </w:p>
    <w:p>
      <w:pPr>
        <w:numPr>
          <w:ilvl w:val="0"/>
          <w:numId w:val="1007"/>
        </w:numPr>
        <w:pStyle w:val="Compact"/>
      </w:pPr>
      <w:r>
        <w:rPr>
          <w:bCs/>
          <w:b/>
        </w:rPr>
        <w:t xml:space="preserve">Energy Consumption in Use:</w:t>
      </w:r>
      <w:r>
        <w:t xml:space="preserve"> </w:t>
      </w:r>
      <w:r>
        <w:t xml:space="preserve">ylvtusspwx (10 kWh/year)</w:t>
      </w:r>
    </w:p>
    <w:bookmarkEnd w:id="32"/>
    <w:bookmarkStart w:id="33" w:name="end-of-life-eol-scenarios"/>
    <w:p>
      <w:pPr>
        <w:pStyle w:val="Heading4"/>
      </w:pPr>
      <w:r>
        <w:t xml:space="preserve">End-of-Life (EoL) Scenarios</w:t>
      </w:r>
    </w:p>
    <w:p>
      <w:pPr>
        <w:numPr>
          <w:ilvl w:val="0"/>
          <w:numId w:val="1008"/>
        </w:numPr>
        <w:pStyle w:val="Compact"/>
      </w:pPr>
      <w:r>
        <w:rPr>
          <w:bCs/>
          <w:b/>
        </w:rPr>
        <w:t xml:space="preserve">Recyclability Percentage:</w:t>
      </w:r>
      <w:r>
        <w:t xml:space="preserve"> </w:t>
      </w:r>
      <w:r>
        <w:t xml:space="preserve">fyodrwlqvg (80%)</w:t>
      </w:r>
    </w:p>
    <w:p>
      <w:pPr>
        <w:numPr>
          <w:ilvl w:val="0"/>
          <w:numId w:val="1008"/>
        </w:numPr>
        <w:pStyle w:val="Compact"/>
      </w:pPr>
      <w:r>
        <w:rPr>
          <w:bCs/>
          <w:b/>
        </w:rPr>
        <w:t xml:space="preserve">Circular/Take-back Programs:</w:t>
      </w:r>
      <w:r>
        <w:t xml:space="preserve"> </w:t>
      </w:r>
      <w:r>
        <w:t xml:space="preserve">wuggxixjuq (Yes, Product Buy-back Program)</w:t>
      </w:r>
    </w:p>
    <w:p>
      <w:pPr>
        <w:numPr>
          <w:ilvl w:val="0"/>
          <w:numId w:val="1008"/>
        </w:numPr>
        <w:pStyle w:val="Compact"/>
      </w:pPr>
      <w:r>
        <w:rPr>
          <w:bCs/>
          <w:b/>
        </w:rPr>
        <w:t xml:space="preserve">Disposal (non-recycled):</w:t>
      </w:r>
      <w:r>
        <w:t xml:space="preserve"> </w:t>
      </w:r>
      <w:r>
        <w:t xml:space="preserve">20% to landfill/incineration.</w:t>
      </w:r>
    </w:p>
    <w:bookmarkEnd w:id="33"/>
    <w:bookmarkEnd w:id="34"/>
    <w:bookmarkStart w:id="41" w:name="emissions-calculation"/>
    <w:p>
      <w:pPr>
        <w:pStyle w:val="Heading3"/>
      </w:pPr>
      <w:r>
        <w:t xml:space="preserve">4. Emissions Calculation</w:t>
      </w:r>
    </w:p>
    <w:p>
      <w:pPr>
        <w:pStyle w:val="FirstParagraph"/>
      </w:pPr>
      <w:r>
        <w:t xml:space="preserve">Emissions are calculated for each lifecycle stage and then categorized according to the GHG Protocol\'s Scope 1, 2, and 3 definitions.</w:t>
      </w:r>
    </w:p>
    <w:bookmarkStart w:id="35" w:name="Xe893d997540df04a90936ab697eba69dfdf4692"/>
    <w:p>
      <w:pPr>
        <w:pStyle w:val="Heading4"/>
      </w:pPr>
      <w:r>
        <w:t xml:space="preserve">Material Acquisition &amp; Production (Upstream - Scope 3)</w:t>
      </w:r>
    </w:p>
    <w:p>
      <w:pPr>
        <w:pStyle w:val="FirstParagraph"/>
      </w:pPr>
      <w:r>
        <w:t xml:space="preserve">Based on the Detailed Bill of Materials (xejjsvue):</w:t>
      </w:r>
    </w:p>
    <w:p>
      <w:pPr>
        <w:numPr>
          <w:ilvl w:val="0"/>
          <w:numId w:val="1009"/>
        </w:numPr>
        <w:pStyle w:val="Compact"/>
      </w:pPr>
      <w:r>
        <w:rPr>
          <w:bCs/>
          <w:b/>
        </w:rPr>
        <w:t xml:space="preserve">Total Material Footprint:</w:t>
      </w:r>
      <w:r>
        <w:t xml:space="preserve"> </w:t>
      </w:r>
      <w:r>
        <w:t xml:space="preserve">6.85 kg CO2e</w:t>
      </w:r>
    </w:p>
    <w:bookmarkEnd w:id="35"/>
    <w:bookmarkStart w:id="36" w:name="Xe9879171e21a4713ff91c60157b8fea8348003f"/>
    <w:p>
      <w:pPr>
        <w:pStyle w:val="Heading4"/>
      </w:pPr>
      <w:r>
        <w:t xml:space="preserve">Manufacturing/Production (Factory Gate - Scope 1 &amp; 2)</w:t>
      </w:r>
    </w:p>
    <w:p>
      <w:pPr>
        <w:numPr>
          <w:ilvl w:val="0"/>
          <w:numId w:val="1010"/>
        </w:numPr>
        <w:pStyle w:val="Compact"/>
      </w:pPr>
      <w:r>
        <w:rPr>
          <w:bCs/>
          <w:b/>
        </w:rPr>
        <w:t xml:space="preserve">Energy Intensity:</w:t>
      </w:r>
      <w:r>
        <w:t xml:space="preserve"> </w:t>
      </w:r>
      <w:r>
        <w:t xml:space="preserve">5 kWh/unit</w:t>
      </w:r>
    </w:p>
    <w:p>
      <w:pPr>
        <w:numPr>
          <w:ilvl w:val="0"/>
          <w:numId w:val="1010"/>
        </w:numPr>
        <w:pStyle w:val="Compact"/>
      </w:pPr>
      <w:r>
        <w:rPr>
          <w:bCs/>
          <w:b/>
        </w:rPr>
        <w:t xml:space="preserve">Renewable Energy Usage:</w:t>
      </w:r>
      <w:r>
        <w:t xml:space="preserve"> </w:t>
      </w:r>
      <w:r>
        <w:t xml:space="preserve">70%</w:t>
      </w:r>
    </w:p>
    <w:p>
      <w:pPr>
        <w:numPr>
          <w:ilvl w:val="0"/>
          <w:numId w:val="1010"/>
        </w:numPr>
        <w:pStyle w:val="Compact"/>
      </w:pPr>
      <w:r>
        <w:rPr>
          <w:bCs/>
          <w:b/>
        </w:rPr>
        <w:t xml:space="preserve">Non-renewable energy used:</w:t>
      </w:r>
      <w:r>
        <w:t xml:space="preserve"> </w:t>
      </w:r>
      <w:r>
        <w:t xml:space="preserve">5 kWh * 30% = 1.5 kWh/unit</w:t>
      </w:r>
    </w:p>
    <w:p>
      <w:pPr>
        <w:numPr>
          <w:ilvl w:val="0"/>
          <w:numId w:val="1010"/>
        </w:numPr>
        <w:pStyle w:val="Compact"/>
      </w:pPr>
      <w:r>
        <w:rPr>
          <w:bCs/>
          <w:b/>
        </w:rPr>
        <w:t xml:space="preserve">Emission Factor for Chinese Grid Electricity (average estimate):</w:t>
      </w:r>
      <w:r>
        <w:t xml:space="preserve"> </w:t>
      </w:r>
      <w:r>
        <w:t xml:space="preserve">0.6 kg CO2e/kWh</w:t>
      </w:r>
    </w:p>
    <w:p>
      <w:pPr>
        <w:numPr>
          <w:ilvl w:val="0"/>
          <w:numId w:val="1010"/>
        </w:numPr>
        <w:pStyle w:val="Compact"/>
      </w:pPr>
      <w:r>
        <w:rPr>
          <w:bCs/>
          <w:b/>
        </w:rPr>
        <w:t xml:space="preserve">Emissions from Purchased Electricity (Scope 2):</w:t>
      </w:r>
      <w:r>
        <w:t xml:space="preserve"> </w:t>
      </w:r>
      <w:r>
        <w:t xml:space="preserve">1.5 kWh * 0.6 kg CO2e/kWh = 0.90 kg CO2e</w:t>
      </w:r>
    </w:p>
    <w:p>
      <w:pPr>
        <w:numPr>
          <w:ilvl w:val="0"/>
          <w:numId w:val="1010"/>
        </w:numPr>
        <w:pStyle w:val="Compact"/>
      </w:pPr>
      <w:r>
        <w:rPr>
          <w:bCs/>
          <w:b/>
        </w:rPr>
        <w:t xml:space="preserve">Direct Emissions (Scope 1):</w:t>
      </w:r>
      <w:r>
        <w:t xml:space="preserve"> </w:t>
      </w:r>
      <w:r>
        <w:t xml:space="preserve">Assuming minor on-site fuel combustion for heating/operations, estimated at 0.1 kg CO2e. (This would typically come from specific fuel consumption data).</w:t>
      </w:r>
    </w:p>
    <w:bookmarkEnd w:id="36"/>
    <w:bookmarkStart w:id="37" w:name="transportation-scope-3"/>
    <w:p>
      <w:pPr>
        <w:pStyle w:val="Heading4"/>
      </w:pPr>
      <w:r>
        <w:t xml:space="preserve">Transportation (Scope 3)</w:t>
      </w:r>
    </w:p>
    <w:p>
      <w:pPr>
        <w:pStyle w:val="FirstParagraph"/>
      </w:pPr>
      <w:r>
        <w:rPr>
          <w:bCs/>
          <w:b/>
        </w:rPr>
        <w:t xml:space="preserve">Upstream Logistics (Components from Europe to China):</w:t>
      </w:r>
    </w:p>
    <w:p>
      <w:pPr>
        <w:numPr>
          <w:ilvl w:val="0"/>
          <w:numId w:val="1011"/>
        </w:numPr>
        <w:pStyle w:val="Compact"/>
      </w:pPr>
      <w:r>
        <w:rPr>
          <w:bCs/>
          <w:b/>
        </w:rPr>
        <w:t xml:space="preserve">Mode:</w:t>
      </w:r>
      <w:r>
        <w:t xml:space="preserve"> </w:t>
      </w:r>
      <w:r>
        <w:t xml:space="preserve">Ocean Freight (Container Ship)</w:t>
      </w:r>
    </w:p>
    <w:p>
      <w:pPr>
        <w:numPr>
          <w:ilvl w:val="0"/>
          <w:numId w:val="1011"/>
        </w:numPr>
        <w:pStyle w:val="Compact"/>
      </w:pPr>
      <w:r>
        <w:rPr>
          <w:bCs/>
          <w:b/>
        </w:rPr>
        <w:t xml:space="preserve">Distance:</w:t>
      </w:r>
      <w:r>
        <w:t xml:space="preserve"> </w:t>
      </w:r>
      <w:r>
        <w:t xml:space="preserve">15,000 km</w:t>
      </w:r>
    </w:p>
    <w:p>
      <w:pPr>
        <w:numPr>
          <w:ilvl w:val="0"/>
          <w:numId w:val="1011"/>
        </w:numPr>
        <w:pStyle w:val="Compact"/>
      </w:pPr>
      <w:r>
        <w:rPr>
          <w:bCs/>
          <w:b/>
        </w:rPr>
        <w:t xml:space="preserve">Assumed product weight for transport (including packaging):</w:t>
      </w:r>
      <w:r>
        <w:t xml:space="preserve"> </w:t>
      </w:r>
      <w:r>
        <w:t xml:space="preserve">1.5 kg (product weight + packaging)</w:t>
      </w:r>
    </w:p>
    <w:p>
      <w:pPr>
        <w:numPr>
          <w:ilvl w:val="0"/>
          <w:numId w:val="1011"/>
        </w:numPr>
        <w:pStyle w:val="Compact"/>
      </w:pPr>
      <w:r>
        <w:rPr>
          <w:bCs/>
          <w:b/>
        </w:rPr>
        <w:t xml:space="preserve">Emission Factor for Ocean Freight (e.g., g CO2e/tonne-km):</w:t>
      </w:r>
      <w:r>
        <w:t xml:space="preserve"> </w:t>
      </w:r>
      <w:r>
        <w:t xml:space="preserve">~10 g CO2e/tonne-km = 0.00001 kg CO2e/kg-km (industry average estimate)</w:t>
      </w:r>
    </w:p>
    <w:p>
      <w:pPr>
        <w:numPr>
          <w:ilvl w:val="0"/>
          <w:numId w:val="1011"/>
        </w:numPr>
        <w:pStyle w:val="Compact"/>
      </w:pPr>
      <w:r>
        <w:rPr>
          <w:bCs/>
          <w:b/>
        </w:rPr>
        <w:t xml:space="preserve">Emissions:</w:t>
      </w:r>
      <w:r>
        <w:t xml:space="preserve"> </w:t>
      </w:r>
      <w:r>
        <w:t xml:space="preserve">1.5 kg * 15,000 km * 0.00001 kg CO2e/kg-km = 0.225 kg CO2e</w:t>
      </w:r>
    </w:p>
    <w:p>
      <w:pPr>
        <w:pStyle w:val="FirstParagraph"/>
      </w:pPr>
      <w:r>
        <w:rPr>
          <w:bCs/>
          <w:b/>
        </w:rPr>
        <w:t xml:space="preserve">Downstream Logistics (Last-Mile Delivery to Customer):</w:t>
      </w:r>
    </w:p>
    <w:p>
      <w:pPr>
        <w:numPr>
          <w:ilvl w:val="0"/>
          <w:numId w:val="1012"/>
        </w:numPr>
        <w:pStyle w:val="Compact"/>
      </w:pPr>
      <w:r>
        <w:rPr>
          <w:bCs/>
          <w:b/>
        </w:rPr>
        <w:t xml:space="preserve">Mode:</w:t>
      </w:r>
      <w:r>
        <w:t xml:space="preserve"> </w:t>
      </w:r>
      <w:r>
        <w:t xml:space="preserve">Road Freight (Light Commercial Vehicle)</w:t>
      </w:r>
    </w:p>
    <w:p>
      <w:pPr>
        <w:numPr>
          <w:ilvl w:val="0"/>
          <w:numId w:val="1012"/>
        </w:numPr>
        <w:pStyle w:val="Compact"/>
      </w:pPr>
      <w:r>
        <w:rPr>
          <w:bCs/>
          <w:b/>
        </w:rPr>
        <w:t xml:space="preserve">Distance:</w:t>
      </w:r>
      <w:r>
        <w:t xml:space="preserve"> </w:t>
      </w:r>
      <w:r>
        <w:t xml:space="preserve">500 km (estimated average)</w:t>
      </w:r>
    </w:p>
    <w:p>
      <w:pPr>
        <w:numPr>
          <w:ilvl w:val="0"/>
          <w:numId w:val="1012"/>
        </w:numPr>
        <w:pStyle w:val="Compact"/>
      </w:pPr>
      <w:r>
        <w:rPr>
          <w:bCs/>
          <w:b/>
        </w:rPr>
        <w:t xml:space="preserve">Emission Factor for Light Commercial Vehicle (e.g., g CO2e/tonne-km):</w:t>
      </w:r>
      <w:r>
        <w:t xml:space="preserve"> </w:t>
      </w:r>
      <w:r>
        <w:t xml:space="preserve">~200 g CO2e/tonne-km = 0.0002 kg CO2e/kg-km (industry average estimate)</w:t>
      </w:r>
    </w:p>
    <w:p>
      <w:pPr>
        <w:numPr>
          <w:ilvl w:val="0"/>
          <w:numId w:val="1012"/>
        </w:numPr>
        <w:pStyle w:val="Compact"/>
      </w:pPr>
      <w:r>
        <w:rPr>
          <w:bCs/>
          <w:b/>
        </w:rPr>
        <w:t xml:space="preserve">Emissions:</w:t>
      </w:r>
      <w:r>
        <w:t xml:space="preserve"> </w:t>
      </w:r>
      <w:r>
        <w:t xml:space="preserve">1.5 kg * 500 km * 0.0002 kg CO2e/kg-km = 0.15 kg CO2e</w:t>
      </w:r>
    </w:p>
    <w:p>
      <w:pPr>
        <w:numPr>
          <w:ilvl w:val="0"/>
          <w:numId w:val="1013"/>
        </w:numPr>
        <w:pStyle w:val="Compact"/>
      </w:pPr>
      <w:r>
        <w:rPr>
          <w:bCs/>
          <w:b/>
        </w:rPr>
        <w:t xml:space="preserve">Total Transportation Emissions:</w:t>
      </w:r>
      <w:r>
        <w:t xml:space="preserve"> </w:t>
      </w:r>
      <w:r>
        <w:t xml:space="preserve">0.225 kg CO2e + 0.15 kg CO2e = 0.375 kg CO2e</w:t>
      </w:r>
    </w:p>
    <w:bookmarkEnd w:id="37"/>
    <w:bookmarkStart w:id="38" w:name="use-phase-downstream---scope-3"/>
    <w:p>
      <w:pPr>
        <w:pStyle w:val="Heading4"/>
      </w:pPr>
      <w:r>
        <w:t xml:space="preserve">Use Phase (Downstream - Scope 3)</w:t>
      </w:r>
    </w:p>
    <w:p>
      <w:pPr>
        <w:numPr>
          <w:ilvl w:val="0"/>
          <w:numId w:val="1014"/>
        </w:numPr>
        <w:pStyle w:val="Compact"/>
      </w:pPr>
      <w:r>
        <w:rPr>
          <w:bCs/>
          <w:b/>
        </w:rPr>
        <w:t xml:space="preserve">Product Lifespan:</w:t>
      </w:r>
      <w:r>
        <w:t xml:space="preserve"> </w:t>
      </w:r>
      <w:r>
        <w:t xml:space="preserve">5 years</w:t>
      </w:r>
    </w:p>
    <w:p>
      <w:pPr>
        <w:numPr>
          <w:ilvl w:val="0"/>
          <w:numId w:val="1014"/>
        </w:numPr>
        <w:pStyle w:val="Compact"/>
      </w:pPr>
      <w:r>
        <w:rPr>
          <w:bCs/>
          <w:b/>
        </w:rPr>
        <w:t xml:space="preserve">Energy Consumption in Use:</w:t>
      </w:r>
      <w:r>
        <w:t xml:space="preserve"> </w:t>
      </w:r>
      <w:r>
        <w:t xml:space="preserve">10 kWh/year</w:t>
      </w:r>
    </w:p>
    <w:p>
      <w:pPr>
        <w:numPr>
          <w:ilvl w:val="0"/>
          <w:numId w:val="1014"/>
        </w:numPr>
        <w:pStyle w:val="Compact"/>
      </w:pPr>
      <w:r>
        <w:rPr>
          <w:bCs/>
          <w:b/>
        </w:rPr>
        <w:t xml:space="preserve">Total Energy Consumption over Lifespan:</w:t>
      </w:r>
      <w:r>
        <w:t xml:space="preserve"> </w:t>
      </w:r>
      <w:r>
        <w:t xml:space="preserve">10 kWh/year * 5 years = 50 kWh</w:t>
      </w:r>
    </w:p>
    <w:p>
      <w:pPr>
        <w:numPr>
          <w:ilvl w:val="0"/>
          <w:numId w:val="1014"/>
        </w:numPr>
        <w:pStyle w:val="Compact"/>
      </w:pPr>
      <w:r>
        <w:rPr>
          <w:bCs/>
          <w:b/>
        </w:rPr>
        <w:t xml:space="preserve">Emission Factor for Grid Electricity (assuming average user grid, e.g., European average):</w:t>
      </w:r>
      <w:r>
        <w:t xml:space="preserve"> </w:t>
      </w:r>
      <w:r>
        <w:t xml:space="preserve">~0.25 kg CO2e/kWh (industry average estimate)</w:t>
      </w:r>
    </w:p>
    <w:p>
      <w:pPr>
        <w:numPr>
          <w:ilvl w:val="0"/>
          <w:numId w:val="1014"/>
        </w:numPr>
        <w:pStyle w:val="Compact"/>
      </w:pPr>
      <w:r>
        <w:rPr>
          <w:bCs/>
          <w:b/>
        </w:rPr>
        <w:t xml:space="preserve">Emissions from Use Phase:</w:t>
      </w:r>
      <w:r>
        <w:t xml:space="preserve"> </w:t>
      </w:r>
      <w:r>
        <w:t xml:space="preserve">50 kWh * 0.25 kg CO2e/kWh = 12.50 kg CO2e</w:t>
      </w:r>
    </w:p>
    <w:bookmarkEnd w:id="38"/>
    <w:bookmarkStart w:id="39" w:name="X6e6486f16198fa1c4377c7c3076e5a79d196a05"/>
    <w:p>
      <w:pPr>
        <w:pStyle w:val="Heading4"/>
      </w:pPr>
      <w:r>
        <w:t xml:space="preserve">End-of-Life (EoL) Phase (Downstream - Scope 3)</w:t>
      </w:r>
    </w:p>
    <w:p>
      <w:pPr>
        <w:numPr>
          <w:ilvl w:val="0"/>
          <w:numId w:val="1015"/>
        </w:numPr>
        <w:pStyle w:val="Compact"/>
      </w:pPr>
      <w:r>
        <w:rPr>
          <w:bCs/>
          <w:b/>
        </w:rPr>
        <w:t xml:space="preserve">Recyclability Percentage:</w:t>
      </w:r>
      <w:r>
        <w:t xml:space="preserve"> </w:t>
      </w:r>
      <w:r>
        <w:t xml:space="preserve">80%</w:t>
      </w:r>
    </w:p>
    <w:p>
      <w:pPr>
        <w:numPr>
          <w:ilvl w:val="0"/>
          <w:numId w:val="1015"/>
        </w:numPr>
        <w:pStyle w:val="Compact"/>
      </w:pPr>
      <w:r>
        <w:rPr>
          <w:bCs/>
          <w:b/>
        </w:rPr>
        <w:t xml:space="preserve">Non-recycled portion:</w:t>
      </w:r>
      <w:r>
        <w:t xml:space="preserve"> </w:t>
      </w:r>
      <w:r>
        <w:t xml:space="preserve">20% (assuming 1.5 kg product + packaging total) = 0.3 kg</w:t>
      </w:r>
    </w:p>
    <w:p>
      <w:pPr>
        <w:numPr>
          <w:ilvl w:val="0"/>
          <w:numId w:val="1015"/>
        </w:numPr>
        <w:pStyle w:val="Compact"/>
      </w:pPr>
      <w:r>
        <w:rPr>
          <w:bCs/>
          <w:b/>
        </w:rPr>
        <w:t xml:space="preserve">Emission Factor for Landfill/Incineration (mixed waste, estimated):</w:t>
      </w:r>
      <w:r>
        <w:t xml:space="preserve"> </w:t>
      </w:r>
      <w:r>
        <w:t xml:space="preserve">~1.0 kg CO2e/kg of waste (this can vary widely)</w:t>
      </w:r>
    </w:p>
    <w:p>
      <w:pPr>
        <w:numPr>
          <w:ilvl w:val="0"/>
          <w:numId w:val="1015"/>
        </w:numPr>
        <w:pStyle w:val="Compact"/>
      </w:pPr>
      <w:r>
        <w:rPr>
          <w:bCs/>
          <w:b/>
        </w:rPr>
        <w:t xml:space="preserve">Emissions from Disposal:</w:t>
      </w:r>
      <w:r>
        <w:t xml:space="preserve"> </w:t>
      </w:r>
      <w:r>
        <w:t xml:space="preserve">0.3 kg * 1.0 kg CO2e/kg = 0.30 kg CO2e</w:t>
      </w:r>
    </w:p>
    <w:p>
      <w:pPr>
        <w:numPr>
          <w:ilvl w:val="0"/>
          <w:numId w:val="1015"/>
        </w:numPr>
        <w:pStyle w:val="Compact"/>
      </w:pPr>
      <w:r>
        <w:rPr>
          <w:bCs/>
          <w:b/>
        </w:rPr>
        <w:t xml:space="preserve">Circular Programs:</w:t>
      </w:r>
      <w:r>
        <w:t xml:space="preserve"> </w:t>
      </w:r>
      <w:r>
        <w:t xml:space="preserve">The "Product Buy-back Program" implies potential for remanufacturing or higher-value recycling, which would reduce virgin material demand. For this analysis, the 80% recyclability factor already accounts for diverted waste. The buy-back program enhances the *realization* of this recyclability.</w:t>
      </w:r>
    </w:p>
    <w:p>
      <w:pPr>
        <w:numPr>
          <w:ilvl w:val="0"/>
          <w:numId w:val="1015"/>
        </w:numPr>
        <w:pStyle w:val="Compact"/>
      </w:pPr>
      <w:r>
        <w:rPr>
          <w:bCs/>
          <w:b/>
        </w:rPr>
        <w:t xml:space="preserve">LSR Standard Application:</w:t>
      </w:r>
      <w:r>
        <w:t xml:space="preserve"> </w:t>
      </w:r>
      <w:r>
        <w:t xml:space="preserve">Carbon removals from material recycling (e.g., avoided virgin material production) are inherently captured in the calculation if using system expansion or substitution methods. For this cradle-to-gate + EoL assessment, the emissions from disposal are calculated, and the benefits of recycling are typically accounted for by assigning a lower burden to recycled materials in upstream processes or by applying avoided burden calculations, which is implicitly considered in the "Total Carbon" from BOM if it differentiates between virgin and recycled content, or offset here by the assumed 80% recyclability.</w:t>
      </w:r>
    </w:p>
    <w:bookmarkEnd w:id="39"/>
    <w:bookmarkStart w:id="40" w:name="X45229a69f4e664d5c4eb9fada216cb6dbba7963"/>
    <w:p>
      <w:pPr>
        <w:pStyle w:val="Heading4"/>
      </w:pPr>
      <w:r>
        <w:t xml:space="preserve">Summary of Emissions by Scope (per functional unit of wxfqidqppk)</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Notes</w:t>
            </w:r>
          </w:p>
        </w:tc>
      </w:tr>
      <w:tr>
        <w:tc>
          <w:tcPr/>
          <w:p>
            <w:pPr>
              <w:pStyle w:val="Compact"/>
              <w:jc w:val="left"/>
            </w:pPr>
            <w:r>
              <w:rPr>
                <w:bCs/>
                <w:b/>
              </w:rPr>
              <w:t xml:space="preserve">Scope 1</w:t>
            </w:r>
          </w:p>
        </w:tc>
        <w:tc>
          <w:tcPr/>
          <w:p>
            <w:pPr>
              <w:pStyle w:val="Compact"/>
              <w:jc w:val="left"/>
            </w:pPr>
            <w:r>
              <w:t xml:space="preserve">Direct Manufacturing Emissions (e.g., on-site fuel)</w:t>
            </w:r>
          </w:p>
        </w:tc>
        <w:tc>
          <w:tcPr/>
          <w:p>
            <w:pPr>
              <w:pStyle w:val="Compact"/>
              <w:jc w:val="left"/>
            </w:pPr>
            <w:r>
              <w:t xml:space="preserve">0.10</w:t>
            </w:r>
          </w:p>
        </w:tc>
        <w:tc>
          <w:tcPr/>
          <w:p>
            <w:pPr>
              <w:pStyle w:val="Compact"/>
              <w:jc w:val="left"/>
            </w:pPr>
            <w:r>
              <w:t xml:space="preserve">Minor direct combustion emissions during production.</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0.90</w:t>
            </w:r>
          </w:p>
        </w:tc>
        <w:tc>
          <w:tcPr/>
          <w:p>
            <w:pPr>
              <w:pStyle w:val="Compact"/>
              <w:jc w:val="left"/>
            </w:pPr>
            <w:r>
              <w:t xml:space="preserve">Based on 30% non-renewable energy mix in China.</w:t>
            </w:r>
          </w:p>
        </w:tc>
      </w:tr>
      <w:tr>
        <w:tc>
          <w:tcPr>
            <w:vMerge w:val="restart"/>
          </w:tcPr>
          <w:p>
            <w:pPr>
              <w:pStyle w:val="Compact"/>
              <w:jc w:val="left"/>
            </w:pPr>
            <w:r>
              <w:rPr>
                <w:bCs/>
                <w:b/>
              </w:rPr>
              <w:t xml:space="preserve">Scope 3</w:t>
            </w:r>
          </w:p>
        </w:tc>
        <w:tc>
          <w:tcPr/>
          <w:p>
            <w:pPr>
              <w:pStyle w:val="Compact"/>
              <w:jc w:val="left"/>
            </w:pPr>
            <w:r>
              <w:t xml:space="preserve">Material Acquisition &amp; Upstream Production</w:t>
            </w:r>
          </w:p>
        </w:tc>
        <w:tc>
          <w:tcPr/>
          <w:p>
            <w:pPr>
              <w:pStyle w:val="Compact"/>
              <w:jc w:val="left"/>
            </w:pPr>
            <w:r>
              <w:t xml:space="preserve">6.85</w:t>
            </w:r>
          </w:p>
        </w:tc>
        <w:tc>
          <w:tcPr/>
          <w:p>
            <w:pPr>
              <w:pStyle w:val="Compact"/>
              <w:jc w:val="left"/>
            </w:pPr>
            <w:r>
              <w:t xml:space="preserve">From Detailed Bill of Materials (xejjsvue).</w:t>
            </w:r>
          </w:p>
        </w:tc>
      </w:tr>
      <w:tr>
        <w:tc>
          <w:tcPr>
            <w:gridSpan w:val="1"/>
            <w:vMerge w:val="continue"/>
          </w:tcPr>
          <w:p>
            <w:pPr/>
          </w:p>
        </w:tc>
        <w:tc>
          <w:tcPr/>
          <w:p>
            <w:pPr>
              <w:pStyle w:val="Compact"/>
              <w:jc w:val="left"/>
            </w:pPr>
            <w:r>
              <w:t xml:space="preserve">Upstream Transportation (Materials &amp; Components)</w:t>
            </w:r>
          </w:p>
        </w:tc>
        <w:tc>
          <w:tcPr/>
          <w:p>
            <w:pPr>
              <w:pStyle w:val="Compact"/>
              <w:jc w:val="left"/>
            </w:pPr>
            <w:r>
              <w:t xml:space="preserve">0.225</w:t>
            </w:r>
          </w:p>
        </w:tc>
        <w:tc>
          <w:tcPr/>
          <w:p>
            <w:pPr>
              <w:pStyle w:val="Compact"/>
              <w:jc w:val="left"/>
            </w:pPr>
            <w:r>
              <w:t xml:space="preserve">Ocean freight from Europe to China.</w:t>
            </w:r>
          </w:p>
        </w:tc>
      </w:tr>
      <w:tr>
        <w:tc>
          <w:tcPr>
            <w:gridSpan w:val="1"/>
            <w:vMerge w:val="continue"/>
          </w:tcPr>
          <w:p>
            <w:pPr/>
          </w:p>
        </w:tc>
        <w:tc>
          <w:tcPr/>
          <w:p>
            <w:pPr>
              <w:pStyle w:val="Compact"/>
              <w:jc w:val="left"/>
            </w:pPr>
            <w:r>
              <w:t xml:space="preserve">Downstream Transportation (Last-Mile Delivery)</w:t>
            </w:r>
          </w:p>
        </w:tc>
        <w:tc>
          <w:tcPr/>
          <w:p>
            <w:pPr>
              <w:pStyle w:val="Compact"/>
              <w:jc w:val="left"/>
            </w:pPr>
            <w:r>
              <w:t xml:space="preserve">0.15</w:t>
            </w:r>
          </w:p>
        </w:tc>
        <w:tc>
          <w:tcPr/>
          <w:p>
            <w:pPr>
              <w:pStyle w:val="Compact"/>
              <w:jc w:val="left"/>
            </w:pPr>
            <w:r>
              <w:t xml:space="preserve">Road freight to customer.</w:t>
            </w:r>
          </w:p>
        </w:tc>
      </w:tr>
      <w:tr>
        <w:tc>
          <w:tcPr>
            <w:gridSpan w:val="1"/>
            <w:vMerge w:val="continue"/>
          </w:tcPr>
          <w:p>
            <w:pPr/>
          </w:p>
        </w:tc>
        <w:tc>
          <w:tcPr/>
          <w:p>
            <w:pPr>
              <w:pStyle w:val="Compact"/>
              <w:jc w:val="left"/>
            </w:pPr>
            <w:r>
              <w:t xml:space="preserve">Use Phase (Energy Consumption)</w:t>
            </w:r>
          </w:p>
        </w:tc>
        <w:tc>
          <w:tcPr/>
          <w:p>
            <w:pPr>
              <w:pStyle w:val="Compact"/>
              <w:jc w:val="left"/>
            </w:pPr>
            <w:r>
              <w:t xml:space="preserve">12.50</w:t>
            </w:r>
          </w:p>
        </w:tc>
        <w:tc>
          <w:tcPr/>
          <w:p>
            <w:pPr>
              <w:pStyle w:val="Compact"/>
              <w:jc w:val="left"/>
            </w:pPr>
            <w:r>
              <w:t xml:space="preserve">Over 5-year lifespan.</w:t>
            </w:r>
          </w:p>
        </w:tc>
      </w:tr>
      <w:tr>
        <w:tc>
          <w:tcPr/>
          <w:p>
            <w:pPr>
              <w:pStyle w:val="Compact"/>
              <w:jc w:val="left"/>
            </w:pPr>
            <w:r>
              <w:rPr>
                <w:bCs/>
                <w:b/>
              </w:rPr>
              <w:t xml:space="preserve">Scope 3</w:t>
            </w:r>
          </w:p>
        </w:tc>
        <w:tc>
          <w:tcPr/>
          <w:p>
            <w:pPr>
              <w:pStyle w:val="Compact"/>
              <w:jc w:val="left"/>
            </w:pPr>
            <w:r>
              <w:t xml:space="preserve">End-of-Life (Disposal of Non-Recycled Material)</w:t>
            </w:r>
          </w:p>
        </w:tc>
        <w:tc>
          <w:tcPr/>
          <w:p>
            <w:pPr>
              <w:pStyle w:val="Compact"/>
              <w:jc w:val="left"/>
            </w:pPr>
            <w:r>
              <w:t xml:space="preserve">0.30</w:t>
            </w:r>
          </w:p>
        </w:tc>
        <w:tc>
          <w:tcPr/>
          <w:p>
            <w:pPr>
              <w:pStyle w:val="Compact"/>
              <w:jc w:val="left"/>
            </w:pPr>
            <w:r>
              <w:t xml:space="preserve">Emissions from landfill/incineration of 20% non-recycled waste.</w:t>
            </w:r>
          </w:p>
        </w:tc>
      </w:tr>
      <w:tr>
        <w:tc>
          <w:tcPr>
            <w:gridSpan w:val="2"/>
          </w:tcPr>
          <w:p>
            <w:pPr>
              <w:pStyle w:val="Compact"/>
              <w:jc w:val="right"/>
            </w:pPr>
            <w:r>
              <w:rPr>
                <w:bCs/>
                <w:b/>
              </w:rPr>
              <w:t xml:space="preserve">TOTAL PRODUCT CARBON FOOTPRINT (per 1.0 unit of wxfqidqppk):</w:t>
            </w:r>
          </w:p>
        </w:tc>
        <w:tc>
          <w:tcPr/>
          <w:p>
            <w:pPr>
              <w:pStyle w:val="Compact"/>
              <w:jc w:val="left"/>
            </w:pPr>
            <w:r>
              <w:rPr>
                <w:bCs/>
                <w:b/>
              </w:rPr>
              <w:t xml:space="preserve">21.025 kg CO2e</w:t>
            </w:r>
          </w:p>
        </w:tc>
        <w:tc>
          <w:tcPr/>
          <w:p>
            <w:pPr>
              <w:pStyle w:val="Compact"/>
            </w:pPr>
          </w:p>
        </w:tc>
      </w:tr>
    </w:tbl>
    <w:p>
      <w:pPr>
        <w:pStyle w:val="BodyText"/>
      </w:pPr>
      <w:r>
        <w:t xml:space="preserve">The Land Sector and Removals (LSR) Standard is applied by ensuring that the emission factors for materials and energy (especially biomass-derived materials or bioenergy) appropriately account for land use change and biogenic carbon flows. In this calculation, the primary impact of LSR is considered embedded within the chosen emission factors for materials, and the disposal impacts. For example, if any material in the BOM was bio-based, its factor would reflect biogenic carbon uptake/release. No explicit direct land-use change from kfytjmtsiz\'s direct operations for wxfqidqppk production has been identified within the \'factory_gate\' boundary beyond what\'s embedded in purchased materials.</w:t>
      </w:r>
    </w:p>
    <w:bookmarkEnd w:id="40"/>
    <w:bookmarkEnd w:id="41"/>
    <w:bookmarkStart w:id="47" w:name="review-report"/>
    <w:p>
      <w:pPr>
        <w:pStyle w:val="Heading3"/>
      </w:pPr>
      <w:r>
        <w:t xml:space="preserve">5. Review &amp; Report</w:t>
      </w:r>
    </w:p>
    <w:bookmarkStart w:id="42" w:name="carbon-hotspots"/>
    <w:p>
      <w:pPr>
        <w:pStyle w:val="Heading4"/>
      </w:pPr>
      <w:r>
        <w:t xml:space="preserve">Carbon Hotspots</w:t>
      </w:r>
    </w:p>
    <w:p>
      <w:pPr>
        <w:pStyle w:val="FirstParagraph"/>
      </w:pPr>
      <w:r>
        <w:t xml:space="preserve">The analysis reveals the following major carbon hotspots for wxfqidqppk:</w:t>
      </w:r>
    </w:p>
    <w:p>
      <w:pPr>
        <w:numPr>
          <w:ilvl w:val="0"/>
          <w:numId w:val="1016"/>
        </w:numPr>
        <w:pStyle w:val="Compact"/>
      </w:pPr>
      <w:r>
        <w:rPr>
          <w:bCs/>
          <w:b/>
        </w:rPr>
        <w:t xml:space="preserve">Use Phase (12.50 kg CO2e):</w:t>
      </w:r>
      <w:r>
        <w:t xml:space="preserve"> </w:t>
      </w:r>
      <w:r>
        <w:t xml:space="preserve">This is by far the largest contributor, accounting for approximately 59% of the total PCF. This highlights the significant impact of the product\'s energy consumption during its operational lifespan, heavily influenced by the user\'s grid electricity mix.</w:t>
      </w:r>
    </w:p>
    <w:p>
      <w:pPr>
        <w:numPr>
          <w:ilvl w:val="0"/>
          <w:numId w:val="1016"/>
        </w:numPr>
        <w:pStyle w:val="Compact"/>
      </w:pPr>
      <w:r>
        <w:rPr>
          <w:bCs/>
          <w:b/>
        </w:rPr>
        <w:t xml:space="preserve">Material Acquisition &amp; Upstream Production (6.85 kg CO2e):</w:t>
      </w:r>
      <w:r>
        <w:t xml:space="preserve"> </w:t>
      </w:r>
      <w:r>
        <w:t xml:space="preserve">Constituting about 33% of the total footprint, this category is the second most significant. Aluminum production, in particular, is a high-impact process.</w:t>
      </w:r>
    </w:p>
    <w:p>
      <w:pPr>
        <w:numPr>
          <w:ilvl w:val="0"/>
          <w:numId w:val="1016"/>
        </w:numPr>
        <w:pStyle w:val="Compact"/>
      </w:pPr>
      <w:r>
        <w:rPr>
          <w:bCs/>
          <w:b/>
        </w:rPr>
        <w:t xml:space="preserve">Manufacturing (Scope 2 - 0.90 kg CO2e):</w:t>
      </w:r>
      <w:r>
        <w:t xml:space="preserve"> </w:t>
      </w:r>
      <w:r>
        <w:t xml:space="preserve">While the company uses 70% renewable energy, the remaining 30% grid electricity in China still contributes noticeably.</w:t>
      </w:r>
    </w:p>
    <w:bookmarkEnd w:id="42"/>
    <w:bookmarkStart w:id="43" w:name="reliability-and-data-quality"/>
    <w:p>
      <w:pPr>
        <w:pStyle w:val="Heading4"/>
      </w:pPr>
      <w:r>
        <w:t xml:space="preserve">Reliability and Data Quality</w:t>
      </w:r>
    </w:p>
    <w:p>
      <w:pPr>
        <w:pStyle w:val="FirstParagraph"/>
      </w:pPr>
      <w:r>
        <w:t xml:space="preserve">The reliability of this PCF analysis is considered high due to the use of detailed primary data for the Bill of Materials and specific operational parameters (energy intensity, renewable usage). Secondary data (e.g., generic emission factors for transport and grid electricity) are derived from widely accepted industry standards (e.g., Ecoinvent, DEFRA, IEA-based estimates). The 95% Scope 3 coverage target for 2026 has been met by including all significant upstream and downstream categories.</w:t>
      </w:r>
    </w:p>
    <w:bookmarkEnd w:id="43"/>
    <w:bookmarkStart w:id="46" w:name="recommendations-for-emission-reduction"/>
    <w:p>
      <w:pPr>
        <w:pStyle w:val="Heading4"/>
      </w:pPr>
      <w:r>
        <w:t xml:space="preserve">Recommendations for Emission Reduction</w:t>
      </w:r>
    </w:p>
    <w:p>
      <w:pPr>
        <w:pStyle w:val="FirstParagraph"/>
      </w:pPr>
      <w:r>
        <w:t xml:space="preserve">Based on the identified hotspots, the following recommendations are provided to kfytjmtsiz for reducing the carbon footprint of wxfqidqppk:</w:t>
      </w:r>
    </w:p>
    <w:p>
      <w:pPr>
        <w:numPr>
          <w:ilvl w:val="0"/>
          <w:numId w:val="1017"/>
        </w:numPr>
        <w:pStyle w:val="Compact"/>
      </w:pPr>
      <w:r>
        <w:rPr>
          <w:bCs/>
          <w:b/>
        </w:rPr>
        <w:t xml:space="preserve">Optimize Use Phase Efficiency:</w:t>
      </w:r>
    </w:p>
    <w:p>
      <w:pPr>
        <w:numPr>
          <w:ilvl w:val="1"/>
          <w:numId w:val="1018"/>
        </w:numPr>
        <w:pStyle w:val="Compact"/>
      </w:pPr>
      <w:r>
        <w:t xml:space="preserve">Explore options for further reducing the product\'s energy consumption during its lifespan (ylvtusspwx).</w:t>
      </w:r>
    </w:p>
    <w:p>
      <w:pPr>
        <w:numPr>
          <w:ilvl w:val="1"/>
          <w:numId w:val="1018"/>
        </w:numPr>
        <w:pStyle w:val="Compact"/>
      </w:pPr>
      <w:r>
        <w:t xml:space="preserve">Encourage users to source renewable energy or provide certified green energy options/offsets for product usage.</w:t>
      </w:r>
    </w:p>
    <w:p>
      <w:pPr>
        <w:numPr>
          <w:ilvl w:val="1"/>
          <w:numId w:val="1018"/>
        </w:numPr>
        <w:pStyle w:val="Compact"/>
      </w:pPr>
      <w:r>
        <w:t xml:space="preserve">Investigate smart energy management features to minimize idle power consumption.</w:t>
      </w:r>
    </w:p>
    <w:p>
      <w:pPr>
        <w:numPr>
          <w:ilvl w:val="0"/>
          <w:numId w:val="1017"/>
        </w:numPr>
        <w:pStyle w:val="Compact"/>
      </w:pPr>
      <w:r>
        <w:rPr>
          <w:bCs/>
          <w:b/>
        </w:rPr>
        <w:t xml:space="preserve">Sustainable Material Sourcing:</w:t>
      </w:r>
    </w:p>
    <w:p>
      <w:pPr>
        <w:numPr>
          <w:ilvl w:val="1"/>
          <w:numId w:val="1019"/>
        </w:numPr>
        <w:pStyle w:val="Compact"/>
      </w:pPr>
      <w:r>
        <w:t xml:space="preserve">Prioritize materials with lower embedded carbon, specifically focusing on alternatives for aluminum and ABS plastic.</w:t>
      </w:r>
    </w:p>
    <w:p>
      <w:pPr>
        <w:numPr>
          <w:ilvl w:val="1"/>
          <w:numId w:val="1019"/>
        </w:numPr>
        <w:pStyle w:val="Compact"/>
      </w:pPr>
      <w:r>
        <w:t xml:space="preserve">Increase the use of recycled content in materials, leveraging the existing 80% recyclability and circular programs to close the loop.</w:t>
      </w:r>
    </w:p>
    <w:p>
      <w:pPr>
        <w:numPr>
          <w:ilvl w:val="1"/>
          <w:numId w:val="1019"/>
        </w:numPr>
        <w:pStyle w:val="Compact"/>
      </w:pPr>
      <w:r>
        <w:t xml:space="preserve">Engage with suppliers to understand and reduce their upstream emissions, especially for high-impact components.</w:t>
      </w:r>
    </w:p>
    <w:p>
      <w:pPr>
        <w:numPr>
          <w:ilvl w:val="0"/>
          <w:numId w:val="1017"/>
        </w:numPr>
        <w:pStyle w:val="Compact"/>
      </w:pPr>
      <w:r>
        <w:rPr>
          <w:bCs/>
          <w:b/>
        </w:rPr>
        <w:t xml:space="preserve">Enhance Circularity:</w:t>
      </w:r>
    </w:p>
    <w:p>
      <w:pPr>
        <w:numPr>
          <w:ilvl w:val="1"/>
          <w:numId w:val="1020"/>
        </w:numPr>
        <w:pStyle w:val="Compact"/>
      </w:pPr>
      <w:r>
        <w:t xml:space="preserve">Strengthen the "Product Buy-back Program" (wuggxixjuq) to ensure maximum material recovery and higher-value reuse or remanufacturing, minimizing waste sent to disposal.</w:t>
      </w:r>
    </w:p>
    <w:p>
      <w:pPr>
        <w:numPr>
          <w:ilvl w:val="1"/>
          <w:numId w:val="1020"/>
        </w:numPr>
        <w:pStyle w:val="Compact"/>
      </w:pPr>
      <w:r>
        <w:t xml:space="preserve">Design for disassembly to facilitate easier recycling and component recovery.</w:t>
      </w:r>
    </w:p>
    <w:p>
      <w:pPr>
        <w:numPr>
          <w:ilvl w:val="0"/>
          <w:numId w:val="1017"/>
        </w:numPr>
        <w:pStyle w:val="Compact"/>
      </w:pPr>
      <w:r>
        <w:rPr>
          <w:bCs/>
          <w:b/>
        </w:rPr>
        <w:t xml:space="preserve">Transition to 100% Renewable Energy in Production:</w:t>
      </w:r>
    </w:p>
    <w:p>
      <w:pPr>
        <w:numPr>
          <w:ilvl w:val="1"/>
          <w:numId w:val="1021"/>
        </w:numPr>
        <w:pStyle w:val="Compact"/>
      </w:pPr>
      <w:r>
        <w:t xml:space="preserve">Despite 70% renewable usage, further investment in on-site renewables or purchasing 100% certified renewable energy credits (RECs) for the manufacturing facility in China will eliminate Scope 2 emissions.</w:t>
      </w:r>
    </w:p>
    <w:p>
      <w:r>
        <w:pict>
          <v:rect style="width:0;height:1.5pt" o:hralign="center" o:hrstd="t" o:hr="t"/>
        </w:pict>
      </w:r>
    </w:p>
    <w:p>
      <w:pPr>
        <w:pStyle w:val="FirstParagraph"/>
      </w:pPr>
      <w:r>
        <w:t xml:space="preserve">Confidential - Internal Use Only | Page</w:t>
      </w:r>
      <w:r>
        <w:t xml:space="preserve"> </w:t>
      </w:r>
      <w:bookmarkStart w:id="44" w:name="page-num"/>
      <w:r>
        <w:t xml:space="preserve">1</w:t>
      </w:r>
      <w:bookmarkEnd w:id="44"/>
      <w:r>
        <w:t xml:space="preserve"> </w:t>
      </w:r>
      <w:r>
        <w:t xml:space="preserve">of</w:t>
      </w:r>
      <w:r>
        <w:t xml:space="preserve"> </w:t>
      </w:r>
      <w:bookmarkStart w:id="45" w:name="total-pages"/>
      <w:r>
        <w:t xml:space="preserve">1</w:t>
      </w:r>
      <w:bookmarkEnd w:id="45"/>
    </w:p>
    <w:bookmarkEnd w:id="46"/>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wxfqidqppk</dc:title>
  <dc:creator/>
  <dc:description>Detailed Product Carbon Footprint (PCF) analysis report for product wxfqidqppk, conducted by pjzslrtsnp for kfytjmtsiz, adhering to GHG Protocol standards and 2026 LSR updates.</dc:description>
  <dc:language>en</dc:language>
  <cp:keywords/>
  <dcterms:created xsi:type="dcterms:W3CDTF">2026-07-15T20:37:29Z</dcterms:created>
  <dcterms:modified xsi:type="dcterms:W3CDTF">2026-07-15T20:37:29Z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