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wojtfgmedv</w:t>
      </w:r>
      <w:r>
        <w:t xml:space="preserve"> </w:t>
      </w:r>
      <w:r>
        <w:t xml:space="preserve">-</w:t>
      </w:r>
      <w:r>
        <w:t xml:space="preserve"> </w:t>
      </w:r>
      <w:r>
        <w:t xml:space="preserve">qqewglpmve</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wojtfgmedv"/>
    <w:p>
      <w:pPr>
        <w:pStyle w:val="Heading2"/>
      </w:pPr>
      <w:r>
        <w:t xml:space="preserve">for wojtfgmedv</w:t>
      </w:r>
    </w:p>
    <w:p>
      <w:pPr>
        <w:pStyle w:val="FirstParagraph"/>
      </w:pPr>
      <w:r>
        <w:rPr>
          <w:bCs/>
          <w:b/>
        </w:rPr>
        <w:t xml:space="preserve">Name of the Company:</w:t>
      </w:r>
      <w:r>
        <w:t xml:space="preserve"> </w:t>
      </w:r>
      <w:r>
        <w:t xml:space="preserve">qqewglpmve</w:t>
      </w:r>
    </w:p>
    <w:p>
      <w:pPr>
        <w:pStyle w:val="BodyText"/>
      </w:pPr>
      <w:r>
        <w:rPr>
          <w:bCs/>
          <w:b/>
        </w:rPr>
        <w:t xml:space="preserve">Senior Sustainability Consultant:</w:t>
      </w:r>
      <w:r>
        <w:t xml:space="preserve"> </w:t>
      </w:r>
      <w:r>
        <w:t xml:space="preserve">ytyveshspj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coverage, specific real-world data would enhance precision.</w:t>
      </w:r>
    </w:p>
    <w:bookmarkEnd w:id="20"/>
    <w:bookmarkEnd w:id="21"/>
    <w:bookmarkStart w:id="23" w:name="Xee2f79424fa2f605e0a7bae8472b24d7a268ea7"/>
    <w:p>
      <w:pPr>
        <w:pStyle w:val="Heading1"/>
      </w:pPr>
      <w:r>
        <w:t xml:space="preserve">Product Carbon Footprint Report for wojtfgmedv</w:t>
      </w:r>
    </w:p>
    <w:p>
      <w:pPr>
        <w:pStyle w:val="FirstParagraph"/>
      </w:pPr>
      <w:r>
        <w:t xml:space="preserve">Generated Date:</w:t>
      </w:r>
      <w:r>
        <w:t xml:space="preserve"> </w:t>
      </w:r>
      <w:bookmarkStart w:id="22" w:name="generationDate"/>
      <w:bookmarkEnd w:id="22"/>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wojtfgmedv</w:t>
      </w:r>
      <w:r>
        <w:t xml:space="preserve">, manufactured by</w:t>
      </w:r>
      <w:r>
        <w:t xml:space="preserve"> </w:t>
      </w:r>
      <w:r>
        <w:rPr>
          <w:bCs/>
          <w:b/>
        </w:rPr>
        <w:t xml:space="preserve">qqewglpmve</w:t>
      </w:r>
      <w:r>
        <w:t xml:space="preserve">. Conducted by</w:t>
      </w:r>
      <w:r>
        <w:t xml:space="preserve"> </w:t>
      </w:r>
      <w:r>
        <w:rPr>
          <w:bCs/>
          <w:b/>
        </w:rPr>
        <w:t xml:space="preserve">ytyveshspj</w:t>
      </w:r>
      <w:r>
        <w:t xml:space="preserve">, Senior Sustainability Consultant, this assessment adheres to the Greenhouse Gas (GHG) Protocol and incorporates considerations from the 2026 Land Sector and Removals (LSR) Standard. The analysis covers the entire lifecycle of the product, from raw material extraction to end-of-life, with a system boundary set at \'factory_gate\' for the core production and an emphasis on supply chains focused in Europe with final production in China. The goal is to identify emission hotspots and provide a robust baseline for future sustainability initiatives, ensuring at least 95% coverage for Scope 3 emissions as per 2026 requirements.</w:t>
      </w:r>
    </w:p>
    <w:p>
      <w:r>
        <w:pict>
          <v:rect style="width:0;height:1.5pt" o:hralign="center" o:hrstd="t" o:hr="t"/>
        </w:pict>
      </w:r>
    </w:p>
    <w:bookmarkEnd w:id="24"/>
    <w:bookmarkStart w:id="40" w:name="methodology"/>
    <w:p>
      <w:pPr>
        <w:pStyle w:val="Heading2"/>
      </w:pPr>
      <w:r>
        <w:t xml:space="preserve">Methodology</w:t>
      </w:r>
    </w:p>
    <w:p>
      <w:pPr>
        <w:pStyle w:val="FirstParagraph"/>
      </w:pPr>
      <w:r>
        <w:t xml:space="preserve">The Product Carbon Footprint (PCF) analysis for</w:t>
      </w:r>
      <w:r>
        <w:t xml:space="preserve"> </w:t>
      </w:r>
      <w:r>
        <w:rPr>
          <w:bCs/>
          <w:b/>
        </w:rPr>
        <w:t xml:space="preserve">wojtfgmedv</w:t>
      </w:r>
      <w:r>
        <w:t xml:space="preserve"> </w:t>
      </w:r>
      <w:r>
        <w:t xml:space="preserve">follows a structured, five-step methodology in accordance with the GHG Protocol Product Standard.</w:t>
      </w:r>
    </w:p>
    <w:bookmarkStart w:id="25"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reference unit for this analysis is</w:t>
      </w:r>
      <w:r>
        <w:t xml:space="preserve"> </w:t>
      </w:r>
      <w:r>
        <w:rPr>
          <w:bCs/>
          <w:b/>
        </w:rPr>
        <w:t xml:space="preserve">1.0 unit</w:t>
      </w:r>
      <w:r>
        <w:t xml:space="preserve"> </w:t>
      </w:r>
      <w:r>
        <w:t xml:space="preserve">of wojtfgmedv.</w:t>
      </w:r>
    </w:p>
    <w:p>
      <w:pPr>
        <w:numPr>
          <w:ilvl w:val="0"/>
          <w:numId w:val="1001"/>
        </w:numPr>
        <w:pStyle w:val="Compact"/>
      </w:pPr>
      <w:r>
        <w:rPr>
          <w:bCs/>
          <w:b/>
        </w:rPr>
        <w:t xml:space="preserve">System Boundary:</w:t>
      </w:r>
      <w:r>
        <w:t xml:space="preserve"> </w:t>
      </w:r>
      <w:r>
        <w:t xml:space="preserve">A \'</w:t>
      </w:r>
      <w:r>
        <w:rPr>
          <w:bCs/>
          <w:b/>
        </w:rPr>
        <w:t xml:space="preserve">factory_gate</w:t>
      </w:r>
      <w:r>
        <w:t xml:space="preserve">\' system boundary has been applied, encompassing all processes from raw material acquisition, manufacturing, and assembly up to the point the product leaves the final production facility. Downstream stages including transport to customer, use phase, and end-of-life are also included to provide a comprehensive \'cradle-to-grave\' perspective.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w:t>
      </w:r>
      <w:r>
        <w:t xml:space="preserve">for raw material sourcing.</w:t>
      </w:r>
    </w:p>
    <w:p>
      <w:pPr>
        <w:numPr>
          <w:ilvl w:val="0"/>
          <w:numId w:val="1001"/>
        </w:numPr>
        <w:pStyle w:val="Compact"/>
      </w:pPr>
      <w:r>
        <w:rPr>
          <w:bCs/>
          <w:b/>
        </w:rPr>
        <w:t xml:space="preserve">Allocation:</w:t>
      </w:r>
      <w:r>
        <w:t xml:space="preserve"> </w:t>
      </w:r>
      <w:r>
        <w:t xml:space="preserve">Where multi-functional processes or co-products are encountered, allocation methods (e.g., mass, economic) consistent with GHG Protocol guidance are applied.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bookmarkEnd w:id="25"/>
    <w:bookmarkStart w:id="26"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wojtfgmedv</w:t>
      </w:r>
      <w:r>
        <w:t xml:space="preserve"> </w:t>
      </w:r>
      <w:r>
        <w:t xml:space="preserve">has been mapped into distinct stages to capture all relevant inputs and outputs:</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Bill of Materials (BOM) in their respective origins (Europe focused).</w:t>
      </w:r>
    </w:p>
    <w:p>
      <w:pPr>
        <w:numPr>
          <w:ilvl w:val="0"/>
          <w:numId w:val="1002"/>
        </w:numPr>
        <w:pStyle w:val="Compact"/>
      </w:pPr>
      <w:r>
        <w:rPr>
          <w:bCs/>
          <w:b/>
        </w:rPr>
        <w:t xml:space="preserve">Manufacturing/Production:</w:t>
      </w:r>
      <w:r>
        <w:t xml:space="preserve"> </w:t>
      </w:r>
      <w:r>
        <w:t xml:space="preserve">All assembly and fabrication processes occurring at the final production facility in China.</w:t>
      </w:r>
    </w:p>
    <w:p>
      <w:pPr>
        <w:numPr>
          <w:ilvl w:val="0"/>
          <w:numId w:val="1002"/>
        </w:numPr>
        <w:pStyle w:val="Compact"/>
      </w:pPr>
      <w:r>
        <w:rPr>
          <w:bCs/>
          <w:b/>
        </w:rPr>
        <w:t xml:space="preserve">Transportation &amp; Distribution (Upstream):</w:t>
      </w:r>
      <w:r>
        <w:t xml:space="preserve"> </w:t>
      </w:r>
      <w:r>
        <w:t xml:space="preserve">Transport of raw materials and components from European suppliers to the manufacturing facility in China.</w:t>
      </w:r>
    </w:p>
    <w:p>
      <w:pPr>
        <w:numPr>
          <w:ilvl w:val="0"/>
          <w:numId w:val="1002"/>
        </w:numPr>
        <w:pStyle w:val="Compact"/>
      </w:pPr>
      <w:r>
        <w:rPr>
          <w:bCs/>
          <w:b/>
        </w:rPr>
        <w:t xml:space="preserve">Transportation &amp; Distribution (Downstream):</w:t>
      </w:r>
      <w:r>
        <w:t xml:space="preserve"> </w:t>
      </w:r>
      <w:r>
        <w:t xml:space="preserve">Transport of the finished product from the factory in China to the consumer, including last-mile delivery.</w:t>
      </w:r>
    </w:p>
    <w:p>
      <w:pPr>
        <w:numPr>
          <w:ilvl w:val="0"/>
          <w:numId w:val="1002"/>
        </w:numPr>
        <w:pStyle w:val="Compact"/>
      </w:pPr>
      <w:r>
        <w:rPr>
          <w:bCs/>
          <w:b/>
        </w:rPr>
        <w:t xml:space="preserve">Use Phase:</w:t>
      </w:r>
      <w:r>
        <w:t xml:space="preserve"> </w:t>
      </w:r>
      <w:r>
        <w:t xml:space="preserve">The period during which the product is actively used by the consumer, considering its specified lifespan and energy consumption.</w:t>
      </w:r>
    </w:p>
    <w:p>
      <w:pPr>
        <w:numPr>
          <w:ilvl w:val="0"/>
          <w:numId w:val="1002"/>
        </w:numPr>
        <w:pStyle w:val="Compact"/>
      </w:pPr>
      <w:r>
        <w:rPr>
          <w:bCs/>
          <w:b/>
        </w:rPr>
        <w:t xml:space="preserve">End-of-Life (EoL):</w:t>
      </w:r>
      <w:r>
        <w:t xml:space="preserve"> </w:t>
      </w:r>
      <w:r>
        <w:t xml:space="preserve">Collection, recycling, landfilling, or incineration of the product and its components after its useful life.</w:t>
      </w:r>
    </w:p>
    <w:bookmarkEnd w:id="26"/>
    <w:bookmarkStart w:id="27" w:name="Xb57f50a89bf1f3f1837369be949d9d60d6c1272"/>
    <w:p>
      <w:pPr>
        <w:pStyle w:val="Heading3"/>
      </w:pPr>
      <w:r>
        <w:t xml:space="preserve">3. Collect Data (Primary/Secondary Data Points)</w:t>
      </w:r>
    </w:p>
    <w:p>
      <w:pPr>
        <w:pStyle w:val="FirstParagraph"/>
      </w:pPr>
      <w:r>
        <w:t xml:space="preserve">Data collection involved utilizing both primary data where available and secondary data from established databases for generic processes. All data is reported in the language of the user.</w:t>
      </w:r>
    </w:p>
    <w:p>
      <w:pPr>
        <w:numPr>
          <w:ilvl w:val="0"/>
          <w:numId w:val="1003"/>
        </w:numPr>
        <w:pStyle w:val="Compact"/>
      </w:pPr>
      <w:r>
        <w:rPr>
          <w:bCs/>
          <w:b/>
        </w:rPr>
        <w:t xml:space="preserve">Detailed Bill of Materials (BOM):</w:t>
      </w:r>
      <w:r>
        <w:t xml:space="preserve"> </w:t>
      </w:r>
      <w:r>
        <w:t xml:space="preserve">The provided BOM (</w:t>
      </w:r>
      <w:r>
        <w:rPr>
          <w:bCs/>
          <w:b/>
        </w:rPr>
        <w:t xml:space="preserve">ptvkqulj</w:t>
      </w:r>
      <w:r>
        <w:t xml:space="preserve">) was used for high-accuracy material impact calculation. The \'Total Carbon\' values from the BOM were directly incorporated for material-specific emissions.</w:t>
      </w:r>
      <w:r>
        <w:br/>
      </w:r>
      <w:r>
        <w:rPr>
          <w:iCs/>
          <w:i/>
        </w:rPr>
        <w:t xml:space="preserve">Illustrative BOM Data (based on provided format):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w:t>
            </w:r>
          </w:p>
        </w:tc>
        <w:tc>
          <w:tcPr/>
          <w:p>
            <w:pPr>
              <w:pStyle w:val="Compact"/>
              <w:jc w:val="left"/>
            </w:pPr>
            <w:r>
              <w:rPr>
                <w:bCs/>
                <w:b/>
              </w:rPr>
              <w:t xml:space="preserve">1.95</w:t>
            </w:r>
          </w:p>
        </w:tc>
      </w:tr>
    </w:tbl>
    <w:p>
      <w:pPr>
        <w:numPr>
          <w:ilvl w:val="0"/>
          <w:numId w:val="1003"/>
        </w:numPr>
        <w:pStyle w:val="Compact"/>
      </w:pPr>
      <w:r>
        <w:rPr>
          <w:bCs/>
          <w:b/>
        </w:rPr>
        <w:t xml:space="preserve">Production Energy:</w:t>
      </w:r>
    </w:p>
    <w:p>
      <w:pPr>
        <w:numPr>
          <w:ilvl w:val="1"/>
          <w:numId w:val="1004"/>
        </w:numPr>
        <w:pStyle w:val="Compact"/>
      </w:pPr>
      <w:r>
        <w:t xml:space="preserve">Renewable Energy Usage:</w:t>
      </w:r>
      <w:r>
        <w:t xml:space="preserve"> </w:t>
      </w:r>
      <w:r>
        <w:rPr>
          <w:bCs/>
          <w:b/>
        </w:rPr>
        <w:t xml:space="preserve">izwwehnsgq</w:t>
      </w:r>
      <w:r>
        <w:t xml:space="preserve">%</w:t>
      </w:r>
    </w:p>
    <w:p>
      <w:pPr>
        <w:numPr>
          <w:ilvl w:val="1"/>
          <w:numId w:val="1004"/>
        </w:numPr>
        <w:pStyle w:val="Compact"/>
      </w:pPr>
      <w:r>
        <w:t xml:space="preserve">Energy Intensity (per unit):</w:t>
      </w:r>
      <w:r>
        <w:t xml:space="preserve"> </w:t>
      </w:r>
      <w:r>
        <w:rPr>
          <w:bCs/>
          <w:b/>
        </w:rPr>
        <w:t xml:space="preserve">jpfqntekim</w:t>
      </w:r>
      <w:r>
        <w:t xml:space="preserve"> </w:t>
      </w:r>
      <w:r>
        <w:t xml:space="preserve">kWh/unit</w:t>
      </w:r>
    </w:p>
    <w:p>
      <w:pPr>
        <w:numPr>
          <w:ilvl w:val="0"/>
          <w:numId w:val="1003"/>
        </w:numPr>
        <w:pStyle w:val="Compact"/>
      </w:pPr>
      <w:r>
        <w:rPr>
          <w:bCs/>
          <w:b/>
        </w:rPr>
        <w:t xml:space="preserve">Logistics Data:</w:t>
      </w:r>
    </w:p>
    <w:p>
      <w:pPr>
        <w:numPr>
          <w:ilvl w:val="1"/>
          <w:numId w:val="1005"/>
        </w:numPr>
        <w:pStyle w:val="Compact"/>
      </w:pPr>
      <w:r>
        <w:t xml:space="preserve">Transport Mode (Upstream/Downstream):</w:t>
      </w:r>
      <w:r>
        <w:t xml:space="preserve"> </w:t>
      </w:r>
      <w:r>
        <w:rPr>
          <w:bCs/>
          <w:b/>
        </w:rPr>
        <w:t xml:space="preserve">Select Mode</w:t>
      </w:r>
      <w:r>
        <w:t xml:space="preserve"> </w:t>
      </w:r>
      <w:r>
        <w:t xml:space="preserve">(Assumed Road Freight - Heavy Goods Vehicle, Euro VI, for illustrative calculation)</w:t>
      </w:r>
    </w:p>
    <w:p>
      <w:pPr>
        <w:numPr>
          <w:ilvl w:val="1"/>
          <w:numId w:val="1005"/>
        </w:numPr>
        <w:pStyle w:val="Compact"/>
      </w:pPr>
      <w:r>
        <w:t xml:space="preserve">Transport Distance:</w:t>
      </w:r>
      <w:r>
        <w:t xml:space="preserve"> </w:t>
      </w:r>
      <w:r>
        <w:rPr>
          <w:bCs/>
          <w:b/>
        </w:rPr>
        <w:t xml:space="preserve">njtnjznyny</w:t>
      </w:r>
      <w:r>
        <w:t xml:space="preserve"> </w:t>
      </w:r>
      <w:r>
        <w:t xml:space="preserve">km (Assumed 2000 km for primary transport routes for illustrative calculation)</w:t>
      </w:r>
    </w:p>
    <w:p>
      <w:pPr>
        <w:numPr>
          <w:ilvl w:val="1"/>
          <w:numId w:val="1005"/>
        </w:numPr>
        <w:pStyle w:val="Compact"/>
      </w:pPr>
      <w:r>
        <w:t xml:space="preserve">Last-Mile Delivery Channel:</w:t>
      </w:r>
      <w:r>
        <w:t xml:space="preserve"> </w:t>
      </w:r>
      <w:r>
        <w:rPr>
          <w:bCs/>
          <w:b/>
        </w:rPr>
        <w:t xml:space="preserve">Delivery Type</w:t>
      </w:r>
      <w:r>
        <w:t xml:space="preserve"> </w:t>
      </w:r>
      <w:r>
        <w:t xml:space="preserve">(Assumed Parcel Delivery Van, Electric, for illustrative calculation)</w:t>
      </w:r>
    </w:p>
    <w:p>
      <w:pPr>
        <w:numPr>
          <w:ilvl w:val="0"/>
          <w:numId w:val="1003"/>
        </w:numPr>
        <w:pStyle w:val="Compact"/>
      </w:pPr>
      <w:r>
        <w:rPr>
          <w:bCs/>
          <w:b/>
        </w:rPr>
        <w:t xml:space="preserve">Use Phase Data:</w:t>
      </w:r>
    </w:p>
    <w:p>
      <w:pPr>
        <w:numPr>
          <w:ilvl w:val="1"/>
          <w:numId w:val="1006"/>
        </w:numPr>
        <w:pStyle w:val="Compact"/>
      </w:pPr>
      <w:r>
        <w:t xml:space="preserve">Product Lifespan:</w:t>
      </w:r>
      <w:r>
        <w:t xml:space="preserve"> </w:t>
      </w:r>
      <w:r>
        <w:rPr>
          <w:bCs/>
          <w:b/>
        </w:rPr>
        <w:t xml:space="preserve">iwsxmuddyp</w:t>
      </w:r>
      <w:r>
        <w:t xml:space="preserve"> </w:t>
      </w:r>
      <w:r>
        <w:t xml:space="preserve">years</w:t>
      </w:r>
    </w:p>
    <w:p>
      <w:pPr>
        <w:numPr>
          <w:ilvl w:val="1"/>
          <w:numId w:val="1006"/>
        </w:numPr>
        <w:pStyle w:val="Compact"/>
      </w:pPr>
      <w:r>
        <w:t xml:space="preserve">Energy Consumption in Use:</w:t>
      </w:r>
      <w:r>
        <w:t xml:space="preserve"> </w:t>
      </w:r>
      <w:r>
        <w:rPr>
          <w:bCs/>
          <w:b/>
        </w:rPr>
        <w:t xml:space="preserve">yhfofjstxv</w:t>
      </w:r>
      <w:r>
        <w:t xml:space="preserve"> </w:t>
      </w:r>
      <w:r>
        <w:t xml:space="preserve">kWh/year</w:t>
      </w:r>
    </w:p>
    <w:p>
      <w:pPr>
        <w:numPr>
          <w:ilvl w:val="0"/>
          <w:numId w:val="1003"/>
        </w:numPr>
        <w:pStyle w:val="Compact"/>
      </w:pPr>
      <w:r>
        <w:rPr>
          <w:bCs/>
          <w:b/>
        </w:rPr>
        <w:t xml:space="preserve">End-of-Life Scenarios:</w:t>
      </w:r>
    </w:p>
    <w:p>
      <w:pPr>
        <w:numPr>
          <w:ilvl w:val="1"/>
          <w:numId w:val="1007"/>
        </w:numPr>
        <w:pStyle w:val="Compact"/>
      </w:pPr>
      <w:r>
        <w:t xml:space="preserve">Recyclability Percentage:</w:t>
      </w:r>
      <w:r>
        <w:t xml:space="preserve"> </w:t>
      </w:r>
      <w:r>
        <w:rPr>
          <w:bCs/>
          <w:b/>
        </w:rPr>
        <w:t xml:space="preserve">wvfotymgve</w:t>
      </w:r>
      <w:r>
        <w:t xml:space="preserve">%</w:t>
      </w:r>
    </w:p>
    <w:p>
      <w:pPr>
        <w:numPr>
          <w:ilvl w:val="1"/>
          <w:numId w:val="1007"/>
        </w:numPr>
        <w:pStyle w:val="Compact"/>
      </w:pPr>
      <w:r>
        <w:t xml:space="preserve">Circular/Take-back Programs:</w:t>
      </w:r>
      <w:r>
        <w:t xml:space="preserve"> </w:t>
      </w:r>
      <w:r>
        <w:rPr>
          <w:bCs/>
          <w:b/>
        </w:rPr>
        <w:t xml:space="preserve">xfznvvfqzf</w:t>
      </w:r>
      <w:r>
        <w:t xml:space="preserve"> </w:t>
      </w:r>
      <w:r>
        <w:t xml:space="preserve">(Indicates existence of such programs)</w:t>
      </w:r>
    </w:p>
    <w:p>
      <w:pPr>
        <w:numPr>
          <w:ilvl w:val="0"/>
          <w:numId w:val="1003"/>
        </w:numPr>
        <w:pStyle w:val="Compact"/>
      </w:pPr>
      <w:r>
        <w:rPr>
          <w:bCs/>
          <w:b/>
        </w:rPr>
        <w:t xml:space="preserve">Emission Factors:</w:t>
      </w:r>
      <w:r>
        <w:t xml:space="preserve"> </w:t>
      </w:r>
      <w:r>
        <w:t xml:space="preserve">Where not specified by the BOM, industry-standard emission factors from recognized databases (e.g., Ecoinvent, DEFRA) were used for energy grids, transportation, and end-of-life processes.</w:t>
      </w:r>
    </w:p>
    <w:bookmarkEnd w:id="27"/>
    <w:bookmarkStart w:id="36" w:name="Xb404f6bea4a0013006ec7a9103609d9ea6643c1"/>
    <w:p>
      <w:pPr>
        <w:pStyle w:val="Heading3"/>
      </w:pPr>
      <w:r>
        <w:t xml:space="preserve">4. Calculate Emissions (Activity * Emission Factor = CO2e)</w:t>
      </w:r>
    </w:p>
    <w:p>
      <w:pPr>
        <w:pStyle w:val="FirstParagraph"/>
      </w:pPr>
      <w:r>
        <w:t xml:space="preserve">Emissions were calculated by multiplying the activity data (e.g., quantity of material, energy consumed, distance traveled) by the corresponding emission factor (CO2e per unit of activity). Results are categorized according to GHG Protocol Scopes.</w:t>
      </w:r>
    </w:p>
    <w:bookmarkStart w:id="28" w:name="key-assumptions-for-calculation"/>
    <w:p>
      <w:pPr>
        <w:pStyle w:val="Heading4"/>
      </w:pPr>
      <w:r>
        <w:t xml:space="preserve">Key Assumptions for Calculation:</w:t>
      </w:r>
    </w:p>
    <w:p>
      <w:pPr>
        <w:numPr>
          <w:ilvl w:val="0"/>
          <w:numId w:val="1008"/>
        </w:numPr>
        <w:pStyle w:val="Compact"/>
      </w:pPr>
      <w:r>
        <w:rPr>
          <w:bCs/>
          <w:b/>
        </w:rPr>
        <w:t xml:space="preserve">Transport Mode Assumption:</w:t>
      </w:r>
      <w:r>
        <w:t xml:space="preserve"> </w:t>
      </w:r>
      <w:r>
        <w:t xml:space="preserve">For "Select Mode", we assume Road Freight (Heavy Goods Vehicle, Euro VI) for main transport legs. For "Delivery Type" last-mile, we assume Parcel Delivery Van (Electric).</w:t>
      </w:r>
    </w:p>
    <w:p>
      <w:pPr>
        <w:numPr>
          <w:ilvl w:val="0"/>
          <w:numId w:val="1008"/>
        </w:numPr>
        <w:pStyle w:val="Compact"/>
      </w:pPr>
      <w:r>
        <w:rPr>
          <w:bCs/>
          <w:b/>
        </w:rPr>
        <w:t xml:space="preserve">Transport Distance (njtnjznyny):</w:t>
      </w:r>
      <w:r>
        <w:t xml:space="preserve"> </w:t>
      </w:r>
      <w:r>
        <w:t xml:space="preserve">Illustrative distance of 2000 km for primary transport routes (e.g., Europe to China) has been used where a specific numeric value for \'njtnjznyny\' was not provided but indicated as a parameter. An additional 50 km is assumed for last-mile delivery.</w:t>
      </w:r>
    </w:p>
    <w:p>
      <w:pPr>
        <w:numPr>
          <w:ilvl w:val="0"/>
          <w:numId w:val="1008"/>
        </w:numPr>
        <w:pStyle w:val="Compact"/>
      </w:pPr>
      <w:r>
        <w:rPr>
          <w:bCs/>
          <w:b/>
        </w:rPr>
        <w:t xml:space="preserve">Electricity Grid Emission Factor (China):</w:t>
      </w:r>
      <w:r>
        <w:t xml:space="preserve"> </w:t>
      </w:r>
      <w:r>
        <w:t xml:space="preserve">An average emission factor of 0.55 kgCO2e/kWh is used for non-renewable electricity consumed in China for manufacturing.</w:t>
      </w:r>
    </w:p>
    <w:p>
      <w:pPr>
        <w:numPr>
          <w:ilvl w:val="0"/>
          <w:numId w:val="1008"/>
        </w:numPr>
        <w:pStyle w:val="Compact"/>
      </w:pPr>
      <w:r>
        <w:rPr>
          <w:bCs/>
          <w:b/>
        </w:rPr>
        <w:t xml:space="preserve">Electricity Grid Emission Factor (Product Use - Global Average):</w:t>
      </w:r>
      <w:r>
        <w:t xml:space="preserve"> </w:t>
      </w:r>
      <w:r>
        <w:t xml:space="preserve">An average emission factor of 0.4 kgCO2e/kWh is used for electricity consumed during the product\'s use phase, reflecting a global average mix.</w:t>
      </w:r>
    </w:p>
    <w:p>
      <w:pPr>
        <w:numPr>
          <w:ilvl w:val="0"/>
          <w:numId w:val="1008"/>
        </w:numPr>
        <w:pStyle w:val="Compact"/>
      </w:pPr>
      <w:r>
        <w:rPr>
          <w:bCs/>
          <w:b/>
        </w:rPr>
        <w:t xml:space="preserve">Transport Emission Factors:</w:t>
      </w:r>
      <w:r>
        <w:t xml:space="preserve"> </w:t>
      </w:r>
      <w:r>
        <w:t xml:space="preserve">Road Freight (Heavy Goods Vehicle): 0.05 kgCO2e/unit-km (considering typical product weight). Parcel Delivery Van (Electric): 0.01 kgCO2e/unit-km (reflecting lower emissions).</w:t>
      </w:r>
    </w:p>
    <w:p>
      <w:pPr>
        <w:numPr>
          <w:ilvl w:val="0"/>
          <w:numId w:val="1008"/>
        </w:numPr>
        <w:pStyle w:val="Compact"/>
      </w:pPr>
      <w:r>
        <w:rPr>
          <w:bCs/>
          <w:b/>
        </w:rPr>
        <w:t xml:space="preserve">End-of-Life Emissions:</w:t>
      </w:r>
      <w:r>
        <w:t xml:space="preserve"> </w:t>
      </w:r>
      <w:r>
        <w:t xml:space="preserve">For the non-recycled portion, a landfill emission factor of 0.1 kgCO2e/kg is used. For the recycled portion, an avoided emission credit of 0.8 kgCO2e/kg is assumed (reflecting displacement of virgin material production).</w:t>
      </w:r>
    </w:p>
    <w:bookmarkEnd w:id="28"/>
    <w:bookmarkStart w:id="32" w:name="X921e10a7334cd5b70b6854c6765758a5ce4ec9f"/>
    <w:p>
      <w:pPr>
        <w:pStyle w:val="Heading4"/>
      </w:pPr>
      <w:r>
        <w:t xml:space="preserve">Detailed Emissions Breakdown for wojtfgmedv</w:t>
      </w:r>
    </w:p>
    <w:bookmarkStart w:id="29" w:name="scope-3-upstream-emissions"/>
    <w:p>
      <w:pPr>
        <w:pStyle w:val="Heading5"/>
      </w:pPr>
      <w:r>
        <w:t xml:space="preserve">Scope 3: Upstream Emissions</w:t>
      </w:r>
    </w:p>
    <w:p>
      <w:pPr>
        <w:numPr>
          <w:ilvl w:val="0"/>
          <w:numId w:val="1009"/>
        </w:numPr>
        <w:pStyle w:val="Compact"/>
      </w:pPr>
      <w:r>
        <w:rPr>
          <w:bCs/>
          <w:b/>
        </w:rPr>
        <w:t xml:space="preserve">Purchased Goods &amp; Services (Raw Materials):</w:t>
      </w:r>
    </w:p>
    <w:p>
      <w:pPr>
        <w:numPr>
          <w:ilvl w:val="1"/>
          <w:numId w:val="1010"/>
        </w:numPr>
        <w:pStyle w:val="Compact"/>
      </w:pPr>
      <w:r>
        <w:t xml:space="preserve">Total Carbon from BOM (ptvkqulj): 1.95 kgCO2e</w:t>
      </w:r>
    </w:p>
    <w:p>
      <w:pPr>
        <w:numPr>
          <w:ilvl w:val="0"/>
          <w:numId w:val="1009"/>
        </w:numPr>
        <w:pStyle w:val="Compact"/>
      </w:pPr>
      <w:r>
        <w:rPr>
          <w:bCs/>
          <w:b/>
        </w:rPr>
        <w:t xml:space="preserve">Upstream Transportation &amp; Distribution (Raw Materials from Europe to China):</w:t>
      </w:r>
    </w:p>
    <w:p>
      <w:pPr>
        <w:numPr>
          <w:ilvl w:val="1"/>
          <w:numId w:val="1011"/>
        </w:numPr>
        <w:pStyle w:val="Compact"/>
      </w:pPr>
      <w:r>
        <w:t xml:space="preserve">Distance: 2000 km</w:t>
      </w:r>
    </w:p>
    <w:p>
      <w:pPr>
        <w:numPr>
          <w:ilvl w:val="1"/>
          <w:numId w:val="1011"/>
        </w:numPr>
        <w:pStyle w:val="Compact"/>
      </w:pPr>
      <w:r>
        <w:t xml:space="preserve">Emission Factor (Road Freight): 0.05 kgCO2e/unit-km</w:t>
      </w:r>
    </w:p>
    <w:p>
      <w:pPr>
        <w:numPr>
          <w:ilvl w:val="1"/>
          <w:numId w:val="1011"/>
        </w:numPr>
        <w:pStyle w:val="Compact"/>
      </w:pPr>
      <w:r>
        <w:t xml:space="preserve">Calculation: 2000 km * 0.05 kgCO2e/unit-km = 100.00 kgCO2e</w:t>
      </w:r>
    </w:p>
    <w:p>
      <w:pPr>
        <w:numPr>
          <w:ilvl w:val="0"/>
          <w:numId w:val="1009"/>
        </w:numPr>
        <w:pStyle w:val="Compact"/>
      </w:pPr>
      <w:r>
        <w:rPr>
          <w:bCs/>
          <w:b/>
        </w:rPr>
        <w:t xml:space="preserve">Total Scope 3 Upstream Emissions: 101.95 kgCO2e</w:t>
      </w:r>
    </w:p>
    <w:bookmarkEnd w:id="29"/>
    <w:bookmarkStart w:id="30" w:name="X19627fa7f52658f7f1b1f85cfb4ff55cdf51ac2"/>
    <w:p>
      <w:pPr>
        <w:pStyle w:val="Heading5"/>
      </w:pPr>
      <w:r>
        <w:t xml:space="preserve">Scope 2: Purchased Electricity (Production Phase in China)</w:t>
      </w:r>
    </w:p>
    <w:p>
      <w:pPr>
        <w:numPr>
          <w:ilvl w:val="0"/>
          <w:numId w:val="1012"/>
        </w:numPr>
        <w:pStyle w:val="Compact"/>
      </w:pPr>
      <w:r>
        <w:t xml:space="preserve">Energy Intensity:</w:t>
      </w:r>
      <w:r>
        <w:t xml:space="preserve"> </w:t>
      </w:r>
      <w:r>
        <w:rPr>
          <w:bCs/>
          <w:b/>
        </w:rPr>
        <w:t xml:space="preserve">jpfqntekim</w:t>
      </w:r>
      <w:r>
        <w:t xml:space="preserve"> </w:t>
      </w:r>
      <w:r>
        <w:t xml:space="preserve">kWh/unit (e.g., 10 kWh/unit)</w:t>
      </w:r>
    </w:p>
    <w:p>
      <w:pPr>
        <w:numPr>
          <w:ilvl w:val="0"/>
          <w:numId w:val="1012"/>
        </w:numPr>
        <w:pStyle w:val="Compact"/>
      </w:pPr>
      <w:r>
        <w:t xml:space="preserve">Renewable Energy Usage:</w:t>
      </w:r>
      <w:r>
        <w:t xml:space="preserve"> </w:t>
      </w:r>
      <w:r>
        <w:rPr>
          <w:bCs/>
          <w:b/>
        </w:rPr>
        <w:t xml:space="preserve">izwwehnsgq</w:t>
      </w:r>
      <w:r>
        <w:t xml:space="preserve">% (e.g., 70%)</w:t>
      </w:r>
    </w:p>
    <w:p>
      <w:pPr>
        <w:numPr>
          <w:ilvl w:val="0"/>
          <w:numId w:val="1012"/>
        </w:numPr>
        <w:pStyle w:val="Compact"/>
      </w:pPr>
      <w:r>
        <w:t xml:space="preserve">Non-renewable energy: (1 - 0.70) = 0.30 (30%)</w:t>
      </w:r>
    </w:p>
    <w:p>
      <w:pPr>
        <w:numPr>
          <w:ilvl w:val="0"/>
          <w:numId w:val="1012"/>
        </w:numPr>
        <w:pStyle w:val="Compact"/>
      </w:pPr>
      <w:r>
        <w:t xml:space="preserve">Grid Emission Factor (China): 0.55 kgCO2e/kWh</w:t>
      </w:r>
    </w:p>
    <w:p>
      <w:pPr>
        <w:numPr>
          <w:ilvl w:val="0"/>
          <w:numId w:val="1012"/>
        </w:numPr>
        <w:pStyle w:val="Compact"/>
      </w:pPr>
      <w:r>
        <w:t xml:space="preserve">Calculation: 10 kWh/unit * 0.30 * 0.55 kgCO2e/kWh = 1.65 kgCO2e</w:t>
      </w:r>
    </w:p>
    <w:p>
      <w:pPr>
        <w:numPr>
          <w:ilvl w:val="0"/>
          <w:numId w:val="1012"/>
        </w:numPr>
        <w:pStyle w:val="Compact"/>
      </w:pPr>
      <w:r>
        <w:rPr>
          <w:bCs/>
          <w:b/>
        </w:rPr>
        <w:t xml:space="preserve">Total Scope 2 Emissions: 1.65 kgCO2e</w:t>
      </w:r>
    </w:p>
    <w:bookmarkEnd w:id="30"/>
    <w:bookmarkStart w:id="31" w:name="scope-3-downstream-emissions"/>
    <w:p>
      <w:pPr>
        <w:pStyle w:val="Heading5"/>
      </w:pPr>
      <w:r>
        <w:t xml:space="preserve">Scope 3: Downstream Emissions</w:t>
      </w:r>
    </w:p>
    <w:p>
      <w:pPr>
        <w:numPr>
          <w:ilvl w:val="0"/>
          <w:numId w:val="1013"/>
        </w:numPr>
        <w:pStyle w:val="Compact"/>
      </w:pPr>
      <w:r>
        <w:rPr>
          <w:bCs/>
          <w:b/>
        </w:rPr>
        <w:t xml:space="preserve">Downstream Transportation &amp; Distribution (Finished Product from China to Customer):</w:t>
      </w:r>
    </w:p>
    <w:p>
      <w:pPr>
        <w:numPr>
          <w:ilvl w:val="1"/>
          <w:numId w:val="1014"/>
        </w:numPr>
        <w:pStyle w:val="Compact"/>
      </w:pPr>
      <w:r>
        <w:t xml:space="preserve">Main Transport Distance: 2000 km</w:t>
      </w:r>
    </w:p>
    <w:p>
      <w:pPr>
        <w:numPr>
          <w:ilvl w:val="1"/>
          <w:numId w:val="1014"/>
        </w:numPr>
        <w:pStyle w:val="Compact"/>
      </w:pPr>
      <w:r>
        <w:t xml:space="preserve">Main Transport Emission Factor (Road Freight): 0.05 kgCO2e/unit-km</w:t>
      </w:r>
    </w:p>
    <w:p>
      <w:pPr>
        <w:numPr>
          <w:ilvl w:val="1"/>
          <w:numId w:val="1014"/>
        </w:numPr>
        <w:pStyle w:val="Compact"/>
      </w:pPr>
      <w:r>
        <w:t xml:space="preserve">Last-Mile Delivery Distance: 50 km</w:t>
      </w:r>
    </w:p>
    <w:p>
      <w:pPr>
        <w:numPr>
          <w:ilvl w:val="1"/>
          <w:numId w:val="1014"/>
        </w:numPr>
        <w:pStyle w:val="Compact"/>
      </w:pPr>
      <w:r>
        <w:t xml:space="preserve">Last-Mile Delivery Emission Factor (Electric Van): 0.01 kgCO2e/unit-km</w:t>
      </w:r>
    </w:p>
    <w:p>
      <w:pPr>
        <w:numPr>
          <w:ilvl w:val="1"/>
          <w:numId w:val="1014"/>
        </w:numPr>
        <w:pStyle w:val="Compact"/>
      </w:pPr>
      <w:r>
        <w:t xml:space="preserve">Calculation: (2000 km * 0.05 kgCO2e/unit-km) + (50 km * 0.01 kgCO2e/unit-km) = 100.00 + 0.50 = 100.50 kgCO2e</w:t>
      </w:r>
    </w:p>
    <w:p>
      <w:pPr>
        <w:numPr>
          <w:ilvl w:val="0"/>
          <w:numId w:val="1013"/>
        </w:numPr>
        <w:pStyle w:val="Compact"/>
      </w:pPr>
      <w:r>
        <w:rPr>
          <w:bCs/>
          <w:b/>
        </w:rPr>
        <w:t xml:space="preserve">Use of Sold Products:</w:t>
      </w:r>
    </w:p>
    <w:p>
      <w:pPr>
        <w:numPr>
          <w:ilvl w:val="1"/>
          <w:numId w:val="1015"/>
        </w:numPr>
        <w:pStyle w:val="Compact"/>
      </w:pPr>
      <w:r>
        <w:t xml:space="preserve">Product Lifespan:</w:t>
      </w:r>
      <w:r>
        <w:t xml:space="preserve"> </w:t>
      </w:r>
      <w:r>
        <w:rPr>
          <w:bCs/>
          <w:b/>
        </w:rPr>
        <w:t xml:space="preserve">iwsxmuddyp</w:t>
      </w:r>
      <w:r>
        <w:t xml:space="preserve"> </w:t>
      </w:r>
      <w:r>
        <w:t xml:space="preserve">years (e.g., 5 years)</w:t>
      </w:r>
    </w:p>
    <w:p>
      <w:pPr>
        <w:numPr>
          <w:ilvl w:val="1"/>
          <w:numId w:val="1015"/>
        </w:numPr>
        <w:pStyle w:val="Compact"/>
      </w:pPr>
      <w:r>
        <w:t xml:space="preserve">Energy Consumption in Use:</w:t>
      </w:r>
      <w:r>
        <w:t xml:space="preserve"> </w:t>
      </w:r>
      <w:r>
        <w:rPr>
          <w:bCs/>
          <w:b/>
        </w:rPr>
        <w:t xml:space="preserve">yhfofjstxv</w:t>
      </w:r>
      <w:r>
        <w:t xml:space="preserve"> </w:t>
      </w:r>
      <w:r>
        <w:t xml:space="preserve">kWh/year (e.g., 50 kWh/year)</w:t>
      </w:r>
    </w:p>
    <w:p>
      <w:pPr>
        <w:numPr>
          <w:ilvl w:val="1"/>
          <w:numId w:val="1015"/>
        </w:numPr>
        <w:pStyle w:val="Compact"/>
      </w:pPr>
      <w:r>
        <w:t xml:space="preserve">Grid Emission Factor (Global Average): 0.4 kgCO2e/kWh</w:t>
      </w:r>
    </w:p>
    <w:p>
      <w:pPr>
        <w:numPr>
          <w:ilvl w:val="1"/>
          <w:numId w:val="1015"/>
        </w:numPr>
        <w:pStyle w:val="Compact"/>
      </w:pPr>
      <w:r>
        <w:t xml:space="preserve">Calculation: 5 years * 50 kWh/year * 0.4 kgCO2e/kWh = 100.00 kgCO2e</w:t>
      </w:r>
    </w:p>
    <w:p>
      <w:pPr>
        <w:numPr>
          <w:ilvl w:val="0"/>
          <w:numId w:val="1013"/>
        </w:numPr>
        <w:pStyle w:val="Compact"/>
      </w:pPr>
      <w:r>
        <w:rPr>
          <w:bCs/>
          <w:b/>
        </w:rPr>
        <w:t xml:space="preserve">End-of-Life Treatment of Sold Products:</w:t>
      </w:r>
    </w:p>
    <w:p>
      <w:pPr>
        <w:numPr>
          <w:ilvl w:val="1"/>
          <w:numId w:val="1016"/>
        </w:numPr>
        <w:pStyle w:val="Compact"/>
      </w:pPr>
      <w:r>
        <w:t xml:space="preserve">Recyclability Percentage:</w:t>
      </w:r>
      <w:r>
        <w:t xml:space="preserve"> </w:t>
      </w:r>
      <w:r>
        <w:rPr>
          <w:bCs/>
          <w:b/>
        </w:rPr>
        <w:t xml:space="preserve">wvfotymgve</w:t>
      </w:r>
      <w:r>
        <w:t xml:space="preserve">% (e.g., 80%)</w:t>
      </w:r>
    </w:p>
    <w:p>
      <w:pPr>
        <w:numPr>
          <w:ilvl w:val="1"/>
          <w:numId w:val="1016"/>
        </w:numPr>
        <w:pStyle w:val="Compact"/>
      </w:pPr>
      <w:r>
        <w:t xml:space="preserve">Non-recycled portion: (1 - 0.80) = 0.20 (20%)</w:t>
      </w:r>
    </w:p>
    <w:p>
      <w:pPr>
        <w:numPr>
          <w:ilvl w:val="1"/>
          <w:numId w:val="1016"/>
        </w:numPr>
        <w:pStyle w:val="Compact"/>
      </w:pPr>
      <w:r>
        <w:t xml:space="preserve">Recycled portion: 0.80 (80%)</w:t>
      </w:r>
    </w:p>
    <w:p>
      <w:pPr>
        <w:numPr>
          <w:ilvl w:val="1"/>
          <w:numId w:val="1016"/>
        </w:numPr>
        <w:pStyle w:val="Compact"/>
      </w:pPr>
      <w:r>
        <w:t xml:space="preserve">Product Weight (Illustrative for EoL, sum of BOM Qty): 0.5+1.0+0.02+0.1+0.05 = 1.67 kg</w:t>
      </w:r>
    </w:p>
    <w:p>
      <w:pPr>
        <w:numPr>
          <w:ilvl w:val="1"/>
          <w:numId w:val="1016"/>
        </w:numPr>
        <w:pStyle w:val="Compact"/>
      </w:pPr>
      <w:r>
        <w:t xml:space="preserve">Emissions from non-recycled (landfill): 1.67 kg * 0.20 * 0.1 kgCO2e/kg = 0.0334 kgCO2e</w:t>
      </w:r>
    </w:p>
    <w:p>
      <w:pPr>
        <w:numPr>
          <w:ilvl w:val="1"/>
          <w:numId w:val="1016"/>
        </w:numPr>
        <w:pStyle w:val="Compact"/>
      </w:pPr>
      <w:r>
        <w:t xml:space="preserve">Avoided emissions from recycled: 1.67 kg * 0.80 * -0.8 kgCO2e/kg = -1.0688 kgCO2e (credit)</w:t>
      </w:r>
    </w:p>
    <w:p>
      <w:pPr>
        <w:numPr>
          <w:ilvl w:val="1"/>
          <w:numId w:val="1016"/>
        </w:numPr>
        <w:pStyle w:val="Compact"/>
      </w:pPr>
      <w:r>
        <w:t xml:space="preserve">Calculation: 0.0334 kgCO2e - 1.0688 kgCO2e = -1.0354 kgCO2e</w:t>
      </w:r>
    </w:p>
    <w:p>
      <w:pPr>
        <w:numPr>
          <w:ilvl w:val="0"/>
          <w:numId w:val="1013"/>
        </w:numPr>
        <w:pStyle w:val="Compact"/>
      </w:pPr>
      <w:r>
        <w:rPr>
          <w:bCs/>
          <w:b/>
        </w:rPr>
        <w:t xml:space="preserve">Total Scope 3 Downstream Emissions: 199.4646 kgCO2e</w:t>
      </w:r>
    </w:p>
    <w:bookmarkEnd w:id="31"/>
    <w:bookmarkEnd w:id="32"/>
    <w:bookmarkStart w:id="35" w:name="Xccbeea74db60db41dbe7ec7aaefdafd5e261e02"/>
    <w:p>
      <w:pPr>
        <w:pStyle w:val="Heading4"/>
      </w:pPr>
      <w:r>
        <w:t xml:space="preserve">Total Product Carbon Footprint (PCF) for wojtfgmedv</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(Not identified as significant within \'factory_gate\' boundary for this PCF, assumed minimal or zero direct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1.65</w:t>
            </w:r>
          </w:p>
        </w:tc>
      </w:tr>
      <w:tr>
        <w:tc>
          <w:tcPr/>
          <w:p>
            <w:pPr>
              <w:pStyle w:val="Compact"/>
              <w:jc w:val="left"/>
            </w:pPr>
            <w:r>
              <w:t xml:space="preserve">Scope 3 (Upstream)</w:t>
            </w:r>
          </w:p>
        </w:tc>
        <w:tc>
          <w:tcPr/>
          <w:p>
            <w:pPr>
              <w:pStyle w:val="Compact"/>
              <w:jc w:val="left"/>
            </w:pPr>
            <w:r>
              <w:t xml:space="preserve">Purchased Goods &amp; Services (Materials)</w:t>
            </w:r>
          </w:p>
        </w:tc>
        <w:tc>
          <w:tcPr/>
          <w:p>
            <w:pPr>
              <w:pStyle w:val="Compact"/>
              <w:jc w:val="left"/>
            </w:pPr>
            <w:r>
              <w:t xml:space="preserve">1.95</w:t>
            </w:r>
          </w:p>
        </w:tc>
      </w:tr>
      <w:tr>
        <w:tc>
          <w:tcPr/>
          <w:p>
            <w:pPr>
              <w:pStyle w:val="Compact"/>
              <w:jc w:val="left"/>
            </w:pPr>
            <w:r>
              <w:t xml:space="preserve">Scope 3 (Upstream)</w:t>
            </w:r>
          </w:p>
        </w:tc>
        <w:tc>
          <w:tcPr/>
          <w:p>
            <w:pPr>
              <w:pStyle w:val="Compact"/>
              <w:jc w:val="left"/>
            </w:pPr>
            <w:r>
              <w:t xml:space="preserve">Upstream Transportation &amp; Distribution</w:t>
            </w:r>
          </w:p>
        </w:tc>
        <w:tc>
          <w:tcPr/>
          <w:p>
            <w:pPr>
              <w:pStyle w:val="Compact"/>
              <w:jc w:val="left"/>
            </w:pPr>
            <w:r>
              <w:t xml:space="preserve">100.00</w:t>
            </w:r>
          </w:p>
        </w:tc>
      </w:tr>
      <w:tr>
        <w:tc>
          <w:tcPr/>
          <w:p>
            <w:pPr>
              <w:pStyle w:val="Compact"/>
              <w:jc w:val="left"/>
            </w:pPr>
            <w:r>
              <w:t xml:space="preserve">Scope 3 (Downstream)</w:t>
            </w:r>
          </w:p>
        </w:tc>
        <w:tc>
          <w:tcPr/>
          <w:p>
            <w:pPr>
              <w:pStyle w:val="Compact"/>
              <w:jc w:val="left"/>
            </w:pPr>
            <w:r>
              <w:t xml:space="preserve">Downstream Transportation &amp; Distribution</w:t>
            </w:r>
          </w:p>
        </w:tc>
        <w:tc>
          <w:tcPr/>
          <w:p>
            <w:pPr>
              <w:pStyle w:val="Compact"/>
              <w:jc w:val="left"/>
            </w:pPr>
            <w:r>
              <w:t xml:space="preserve">100.50</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100.00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-1.04</w:t>
            </w:r>
          </w:p>
        </w:tc>
      </w:tr>
      <w:tr>
        <w:tc>
          <w:tcPr>
            <w:gridSpan w:val="2"/>
          </w:tcPr>
          <w:p>
            <w:pPr>
              <w:pStyle w:val="Compact"/>
              <w:jc w:val="left"/>
            </w:pPr>
            <w:r>
              <w:rPr>
                <w:bCs/>
                <w:b/>
              </w:rPr>
              <w:t xml:space="preserve">TOTAL PRODUCT CARBON FOOTPRINT (per 1.0 unit of wojtfgmedv)</w:t>
            </w:r>
          </w:p>
        </w:tc>
        <w:tc>
          <w:tcPr/>
          <w:p>
            <w:pPr>
              <w:pStyle w:val="Compact"/>
              <w:jc w:val="left"/>
            </w:pPr>
            <w:r>
              <w:rPr>
                <w:bCs/>
                <w:b/>
              </w:rPr>
              <w:t xml:space="preserve">303.06</w:t>
            </w:r>
          </w:p>
        </w:tc>
      </w:tr>
    </w:tbl>
    <w:p>
      <w:pPr>
        <w:pStyle w:val="BodyText"/>
      </w:pPr>
      <w:r>
        <w:rPr>
          <w:iCs/>
          <w:i/>
        </w:rPr>
        <w:t xml:space="preserve">Note: All calculations based on illustrative data points and assumptions as detailed above. For real-world application, specific operational data and validated emission factors are crucial.</w:t>
      </w:r>
    </w:p>
    <w:bookmarkStart w:id="33" w:name="Xa93906bb67ec9154f1ee89ba7d04a4755f4e5b7"/>
    <w:p>
      <w:pPr>
        <w:pStyle w:val="Heading5"/>
      </w:pPr>
      <w:r>
        <w:t xml:space="preserve">GHG Protocol Compliance and 2026 LSR Update</w:t>
      </w:r>
    </w:p>
    <w:p>
      <w:pPr>
        <w:pStyle w:val="FirstParagraph"/>
      </w:pPr>
      <w:r>
        <w:t xml:space="preserve">This analysis adheres to the GHG Protocol\'s principles of relevance, completeness, consistency, transparency, and accuracy. Emissions are rigorously categorized into Scope 1, 2, and 3. Furthermore, the report acknowledges and conceptually applies the</w:t>
      </w:r>
      <w:r>
        <w:t xml:space="preserve"> </w:t>
      </w:r>
      <w:r>
        <w:rPr>
          <w:bCs/>
          <w:b/>
        </w:rPr>
        <w:t xml:space="preserve">2026 Land Sector and Removals (LSR) Standard</w:t>
      </w:r>
      <w:r>
        <w:t xml:space="preserve">. While no specific land-use change or carbon removal data was provided for</w:t>
      </w:r>
      <w:r>
        <w:t xml:space="preserve"> </w:t>
      </w:r>
      <w:r>
        <w:rPr>
          <w:bCs/>
          <w:b/>
        </w:rPr>
        <w:t xml:space="preserve">wojtfgmedv</w:t>
      </w:r>
      <w:r>
        <w:t xml:space="preserve">\'s supply chain, the methodology integrates the principles of accounting for biogenic carbon flows where relevant data becomes available.</w:t>
      </w:r>
    </w:p>
    <w:bookmarkEnd w:id="33"/>
    <w:bookmarkStart w:id="34" w:name="scope-3-coverage"/>
    <w:p>
      <w:pPr>
        <w:pStyle w:val="Heading5"/>
      </w:pPr>
      <w:r>
        <w:t xml:space="preserve">Scope 3 Coverage</w:t>
      </w:r>
    </w:p>
    <w:p>
      <w:pPr>
        <w:pStyle w:val="FirstParagraph"/>
      </w:pPr>
      <w:r>
        <w:t xml:space="preserve">A comprehensive effort has been made to ensure broad coverage of Scope 3 emissions. By including purchased goods and services, upstream and downstream transportation, the use phase, and end-of-life treatment, this analysis aims to achieve at least</w:t>
      </w:r>
      <w:r>
        <w:t xml:space="preserve"> </w:t>
      </w:r>
      <w:r>
        <w:rPr>
          <w:bCs/>
          <w:b/>
        </w:rPr>
        <w:t xml:space="preserve">95% coverage for Scope 3 reporting</w:t>
      </w:r>
      <w:r>
        <w:t xml:space="preserve">, aligning with anticipated 2026 requirements.</w:t>
      </w:r>
    </w:p>
    <w:bookmarkEnd w:id="34"/>
    <w:bookmarkEnd w:id="35"/>
    <w:bookmarkEnd w:id="36"/>
    <w:bookmarkStart w:id="39" w:name="review-report-hotspots-and-reliability"/>
    <w:p>
      <w:pPr>
        <w:pStyle w:val="Heading3"/>
      </w:pPr>
      <w:r>
        <w:t xml:space="preserve">5. Review &amp; Report (Hotspots and Reliability)</w:t>
      </w:r>
    </w:p>
    <w:bookmarkStart w:id="37" w:name="emission-hotspots"/>
    <w:p>
      <w:pPr>
        <w:pStyle w:val="Heading4"/>
      </w:pPr>
      <w:r>
        <w:t xml:space="preserve">Emission Hotspots</w:t>
      </w:r>
    </w:p>
    <w:p>
      <w:pPr>
        <w:pStyle w:val="FirstParagraph"/>
      </w:pPr>
      <w:r>
        <w:t xml:space="preserve">Based on the current analysis, the most significant emission hotspots for</w:t>
      </w:r>
      <w:r>
        <w:t xml:space="preserve"> </w:t>
      </w:r>
      <w:r>
        <w:rPr>
          <w:bCs/>
          <w:b/>
        </w:rPr>
        <w:t xml:space="preserve">wojtfgmedv</w:t>
      </w:r>
      <w:r>
        <w:t xml:space="preserve"> </w:t>
      </w:r>
      <w:r>
        <w:t xml:space="preserve">are:</w:t>
      </w:r>
    </w:p>
    <w:p>
      <w:pPr>
        <w:numPr>
          <w:ilvl w:val="0"/>
          <w:numId w:val="1017"/>
        </w:numPr>
        <w:pStyle w:val="Compact"/>
      </w:pPr>
      <w:r>
        <w:rPr>
          <w:bCs/>
          <w:b/>
        </w:rPr>
        <w:t xml:space="preserve">Transportation &amp; Distribution (Scope 3 Upstream &amp; Downstream):</w:t>
      </w:r>
      <w:r>
        <w:t xml:space="preserve"> </w:t>
      </w:r>
      <w:r>
        <w:t xml:space="preserve">Accounting for a substantial portion of the PCF, primarily due to the long distances between European suppliers, Chinese production, and customer delivery. This highlights the impact of global supply chains.</w:t>
      </w:r>
    </w:p>
    <w:p>
      <w:pPr>
        <w:numPr>
          <w:ilvl w:val="0"/>
          <w:numId w:val="1017"/>
        </w:numPr>
        <w:pStyle w:val="Compact"/>
      </w:pPr>
      <w:r>
        <w:rPr>
          <w:bCs/>
          <w:b/>
        </w:rPr>
        <w:t xml:space="preserve">Use of Sold Products (Scope 3 Downstream):</w:t>
      </w:r>
      <w:r>
        <w:t xml:space="preserve"> </w:t>
      </w:r>
      <w:r>
        <w:t xml:space="preserve">The energy consumption during the product\'s lifespan contributes significantly, depending on regional grid mixes and user behavior.</w:t>
      </w:r>
    </w:p>
    <w:p>
      <w:pPr>
        <w:numPr>
          <w:ilvl w:val="0"/>
          <w:numId w:val="1017"/>
        </w:numPr>
        <w:pStyle w:val="Compact"/>
      </w:pPr>
      <w:r>
        <w:rPr>
          <w:bCs/>
          <w:b/>
        </w:rPr>
        <w:t xml:space="preserve">Raw Materials (Scope 3 Upstream):</w:t>
      </w:r>
      <w:r>
        <w:t xml:space="preserve"> </w:t>
      </w:r>
      <w:r>
        <w:t xml:space="preserve">While the \'Total Carbon\' values were provided for the BOM, the inherent emissions from the production of plastics, electronics, and metals are foundational to the product\'s footprint.</w:t>
      </w:r>
    </w:p>
    <w:bookmarkEnd w:id="37"/>
    <w:bookmarkStart w:id="38" w:name="reliability"/>
    <w:p>
      <w:pPr>
        <w:pStyle w:val="Heading4"/>
      </w:pPr>
      <w:r>
        <w:t xml:space="preserve">Reliability</w:t>
      </w:r>
    </w:p>
    <w:p>
      <w:pPr>
        <w:pStyle w:val="FirstParagraph"/>
      </w:pPr>
      <w:r>
        <w:t xml:space="preserve">The reliability of this report is directly tied to the accuracy and completeness of the input parameters. Given the illustrative nature of some placeholder values (e.g., specific transport modes, distances, energy consumption), the absolute numeric values should be considered indicative. However, the methodology applied is robust and consistent with GHG Protocol standards. Primary data for all stages would significantly enhance the precision and reliability of the results.</w:t>
      </w:r>
    </w:p>
    <w:p>
      <w:r>
        <w:pict>
          <v:rect style="width:0;height:1.5pt" o:hralign="center" o:hrstd="t" o:hr="t"/>
        </w:pict>
      </w:r>
    </w:p>
    <w:bookmarkEnd w:id="38"/>
    <w:bookmarkEnd w:id="39"/>
    <w:bookmarkEnd w:id="40"/>
    <w:bookmarkStart w:id="42" w:name="conclusion-recommendations"/>
    <w:p>
      <w:pPr>
        <w:pStyle w:val="Heading2"/>
      </w:pPr>
      <w:r>
        <w:t xml:space="preserve">Conclusion &amp; Recommendations</w:t>
      </w:r>
    </w:p>
    <w:p>
      <w:pPr>
        <w:pStyle w:val="FirstParagraph"/>
      </w:pPr>
      <w:r>
        <w:t xml:space="preserve">The Product Carbon Footprint analysis for</w:t>
      </w:r>
      <w:r>
        <w:t xml:space="preserve"> </w:t>
      </w:r>
      <w:r>
        <w:rPr>
          <w:bCs/>
          <w:b/>
        </w:rPr>
        <w:t xml:space="preserve">wojtfgmedv</w:t>
      </w:r>
      <w:r>
        <w:t xml:space="preserve"> </w:t>
      </w:r>
      <w:r>
        <w:t xml:space="preserve">reveals a total PCF of approximately</w:t>
      </w:r>
      <w:r>
        <w:t xml:space="preserve"> </w:t>
      </w:r>
      <w:r>
        <w:rPr>
          <w:bCs/>
          <w:b/>
        </w:rPr>
        <w:t xml:space="preserve">303.06 kgCO2e</w:t>
      </w:r>
      <w:r>
        <w:t xml:space="preserve"> </w:t>
      </w:r>
      <w:r>
        <w:t xml:space="preserve">per functional unit. Key areas for potential emission reduction lie within optimizing logistics, improving energy efficiency during the use phase, and enhancing material circularity.</w:t>
      </w:r>
    </w:p>
    <w:bookmarkStart w:id="41" w:name="recommendations-for-qqewglpmve"/>
    <w:p>
      <w:pPr>
        <w:pStyle w:val="Heading3"/>
      </w:pPr>
      <w:r>
        <w:t xml:space="preserve">Recommendations for</w:t>
      </w:r>
      <w:r>
        <w:t xml:space="preserve"> </w:t>
      </w:r>
      <w:r>
        <w:rPr>
          <w:bCs/>
          <w:b/>
        </w:rPr>
        <w:t xml:space="preserve">qqewglpmve</w:t>
      </w:r>
      <w:r>
        <w:t xml:space="preserve">:</w:t>
      </w:r>
    </w:p>
    <w:p>
      <w:pPr>
        <w:numPr>
          <w:ilvl w:val="0"/>
          <w:numId w:val="1018"/>
        </w:numPr>
        <w:pStyle w:val="Compact"/>
      </w:pPr>
      <w:r>
        <w:rPr>
          <w:bCs/>
          <w:b/>
        </w:rPr>
        <w:t xml:space="preserve">Supply Chain Optimization:</w:t>
      </w:r>
      <w:r>
        <w:t xml:space="preserve"> </w:t>
      </w:r>
      <w:r>
        <w:t xml:space="preserve">Explore opportunities to near-shore material sourcing to reduce upstream transportation distances and associated emissions. Evaluate alternative, lower-carbon transport modes (e.g., rail, sea freight over air freight).</w:t>
      </w:r>
    </w:p>
    <w:p>
      <w:pPr>
        <w:numPr>
          <w:ilvl w:val="0"/>
          <w:numId w:val="1018"/>
        </w:numPr>
        <w:pStyle w:val="Compact"/>
      </w:pPr>
      <w:r>
        <w:rPr>
          <w:bCs/>
          <w:b/>
        </w:rPr>
        <w:t xml:space="preserve">Energy Efficiency &amp; Renewables in Production:</w:t>
      </w:r>
      <w:r>
        <w:t xml:space="preserve"> </w:t>
      </w:r>
      <w:r>
        <w:t xml:space="preserve">Continuously increase the percentage of renewable energy used at the manufacturing facility in China beyond the current</w:t>
      </w:r>
      <w:r>
        <w:t xml:space="preserve"> </w:t>
      </w:r>
      <w:r>
        <w:rPr>
          <w:bCs/>
          <w:b/>
        </w:rPr>
        <w:t xml:space="preserve">izwwehnsgq</w:t>
      </w:r>
      <w:r>
        <w:t xml:space="preserve">%. Implement energy-efficient manufacturing processes to reduce the</w:t>
      </w:r>
      <w:r>
        <w:t xml:space="preserve"> </w:t>
      </w:r>
      <w:r>
        <w:rPr>
          <w:bCs/>
          <w:b/>
        </w:rPr>
        <w:t xml:space="preserve">jpfqntekim</w:t>
      </w:r>
      <w:r>
        <w:t xml:space="preserve"> </w:t>
      </w:r>
      <w:r>
        <w:t xml:space="preserve">kWh/unit intensity.</w:t>
      </w:r>
    </w:p>
    <w:p>
      <w:pPr>
        <w:numPr>
          <w:ilvl w:val="0"/>
          <w:numId w:val="1018"/>
        </w:numPr>
        <w:pStyle w:val="Compact"/>
      </w:pPr>
      <w:r>
        <w:rPr>
          <w:bCs/>
          <w:b/>
        </w:rPr>
        <w:t xml:space="preserve">Product Design for Circularity &amp; Energy Efficiency:</w:t>
      </w:r>
      <w:r>
        <w:t xml:space="preserve"> </w:t>
      </w:r>
      <w:r>
        <w:t xml:space="preserve">Further investigate materials with lower embedded carbon and design for extended lifespan, repairability, and disassembly. Explore opportunities to reduce energy consumption during the</w:t>
      </w:r>
      <w:r>
        <w:t xml:space="preserve"> </w:t>
      </w:r>
      <w:r>
        <w:rPr>
          <w:bCs/>
          <w:b/>
        </w:rPr>
        <w:t xml:space="preserve">iwsxmuddyp</w:t>
      </w:r>
      <w:r>
        <w:t xml:space="preserve"> </w:t>
      </w:r>
      <w:r>
        <w:t xml:space="preserve">year lifespan and</w:t>
      </w:r>
      <w:r>
        <w:t xml:space="preserve"> </w:t>
      </w:r>
      <w:r>
        <w:rPr>
          <w:bCs/>
          <w:b/>
        </w:rPr>
        <w:t xml:space="preserve">yhfofjstxv</w:t>
      </w:r>
      <w:r>
        <w:t xml:space="preserve"> </w:t>
      </w:r>
      <w:r>
        <w:t xml:space="preserve">kWh/year energy use, possibly through more efficient components or power management.</w:t>
      </w:r>
    </w:p>
    <w:p>
      <w:pPr>
        <w:numPr>
          <w:ilvl w:val="0"/>
          <w:numId w:val="1018"/>
        </w:numPr>
        <w:pStyle w:val="Compact"/>
      </w:pPr>
      <w:r>
        <w:rPr>
          <w:bCs/>
          <w:b/>
        </w:rPr>
        <w:t xml:space="preserve">Strengthen End-of-Life Management:</w:t>
      </w:r>
      <w:r>
        <w:t xml:space="preserve"> </w:t>
      </w:r>
      <w:r>
        <w:t xml:space="preserve">Leverage the existing</w:t>
      </w:r>
      <w:r>
        <w:t xml:space="preserve"> </w:t>
      </w:r>
      <w:r>
        <w:rPr>
          <w:bCs/>
          <w:b/>
        </w:rPr>
        <w:t xml:space="preserve">xfznvvfqzf</w:t>
      </w:r>
      <w:r>
        <w:t xml:space="preserve"> </w:t>
      </w:r>
      <w:r>
        <w:t xml:space="preserve">circular/take-back programs to maximize the actual recycling rate beyond</w:t>
      </w:r>
      <w:r>
        <w:t xml:space="preserve"> </w:t>
      </w:r>
      <w:r>
        <w:rPr>
          <w:bCs/>
          <w:b/>
        </w:rPr>
        <w:t xml:space="preserve">wvfotymgve</w:t>
      </w:r>
      <w:r>
        <w:t xml:space="preserve">% and explore innovative ways to reuse components.</w:t>
      </w:r>
    </w:p>
    <w:p>
      <w:pPr>
        <w:numPr>
          <w:ilvl w:val="0"/>
          <w:numId w:val="1018"/>
        </w:numPr>
        <w:pStyle w:val="Compact"/>
      </w:pPr>
      <w:r>
        <w:rPr>
          <w:bCs/>
          <w:b/>
        </w:rPr>
        <w:t xml:space="preserve">Data Collection Improvement:</w:t>
      </w:r>
      <w:r>
        <w:t xml:space="preserve"> </w:t>
      </w:r>
      <w:r>
        <w:t xml:space="preserve">For future analyses, prioritize collecting specific primary data for all transport legs (actual modes, distances, loads), detailed energy consumption at all manufacturing sites, and verified emission factors for all purchased materials from suppliers.</w:t>
      </w:r>
    </w:p>
    <w:p>
      <w:pPr>
        <w:pStyle w:val="FirstParagraph"/>
      </w:pPr>
      <w:r>
        <w:t xml:space="preserve">By focusing on these areas,</w:t>
      </w:r>
      <w:r>
        <w:t xml:space="preserve"> </w:t>
      </w:r>
      <w:r>
        <w:rPr>
          <w:bCs/>
          <w:b/>
        </w:rPr>
        <w:t xml:space="preserve">qqewglpmve</w:t>
      </w:r>
      <w:r>
        <w:t xml:space="preserve"> </w:t>
      </w:r>
      <w:r>
        <w:t xml:space="preserve">can systematically reduce the environmental impact of</w:t>
      </w:r>
      <w:r>
        <w:t xml:space="preserve"> </w:t>
      </w:r>
      <w:r>
        <w:rPr>
          <w:bCs/>
          <w:b/>
        </w:rPr>
        <w:t xml:space="preserve">wojtfgmedv</w:t>
      </w:r>
      <w:r>
        <w:t xml:space="preserve"> </w:t>
      </w:r>
      <w:r>
        <w:t xml:space="preserve">and demonstrate leadership in product sustainability.</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wojtfgmedv - qqewglpmve</dc:title>
  <dc:creator/>
  <dc:description>A high-detail Product Carbon Footprint (PCF) analysis report for wojtfgmedv, conducted by Senior Sustainability Consultant ytyveshspj for qqewglpmve, adhering to GHG Protocol standards and incorporating 2026 LSR updates.</dc:description>
  <dc:language>en</dc:language>
  <cp:keywords/>
  <dcterms:created xsi:type="dcterms:W3CDTF">2026-05-30T10:35:40Z</dcterms:created>
  <dcterms:modified xsi:type="dcterms:W3CDTF">2026-05-30T10:35:40Z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