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wjqwixeeeo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product-wjqwixeeeo"/>
    <w:p>
      <w:pPr>
        <w:pStyle w:val="Heading1"/>
      </w:pPr>
      <w:r>
        <w:t xml:space="preserve">For Product: wjqwixeeeo</w:t>
      </w:r>
    </w:p>
    <w:p>
      <w:pPr>
        <w:pStyle w:val="FirstParagraph"/>
      </w:pPr>
      <w:r>
        <w:rPr>
          <w:bCs/>
          <w:b/>
        </w:rPr>
        <w:t xml:space="preserve">Company Name:</w:t>
      </w:r>
      <w:r>
        <w:t xml:space="preserve"> </w:t>
      </w:r>
      <w:r>
        <w:t xml:space="preserve">pktygeuxxp</w:t>
      </w:r>
    </w:p>
    <w:p>
      <w:pPr>
        <w:pStyle w:val="BodyText"/>
      </w:pPr>
      <w:r>
        <w:rPr>
          <w:bCs/>
          <w:b/>
        </w:rPr>
        <w:t xml:space="preserve">Senior Sustainability Consultant:</w:t>
      </w:r>
      <w:r>
        <w:t xml:space="preserve"> </w:t>
      </w:r>
      <w:r>
        <w:t xml:space="preserve">vlvxxqmgdm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All emission factors and specific data points used in calculations are illustrative, based on industry averages and best available estimates where primary data was not provided in a directly calculable format. The actual values in a real-world scenario would require precise primary data collection.</w:t>
      </w:r>
    </w:p>
    <w:bookmarkEnd w:id="21"/>
    <w:bookmarkStart w:id="47" w:name="product-carbon-footprint-analysis-report"/>
    <w:p>
      <w:pPr>
        <w:pStyle w:val="Heading1"/>
      </w:pPr>
      <w:r>
        <w:t xml:space="preserve">Product Carbon Footprint Analysis Report</w:t>
      </w:r>
    </w:p>
    <w:p>
      <w:pPr>
        <w:pStyle w:val="FirstParagraph"/>
      </w:pPr>
      <w:r>
        <w:t xml:space="preserve">Generated Date: May 16,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"wjqwixeeeo" manufactured by pktygeuxxp. The analysis was conducted by vlvxxqmgdm, Senior Sustainability Consultant, strictly adhering to the Greenhouse Gas (GHG) Protocol. The aim is to quantify the total greenhouse gas emissions associated with the product across its entire lifecycle, from raw material extraction to end-of-life treatment (cradle-to-grave). This report identifies emission hotspots and provides a foundational understanding for strategic emission reduction initiatives. Given the explicit request to include Use Phase and End-of-Life scenarios, a cradle-to-grave approach has been adopted, extending beyond the "factory_gate" system boundary mentioned for the initial production phase to provide a comprehensive view of the product\'s environmental impact.</w:t>
      </w:r>
    </w:p>
    <w:p>
      <w:r>
        <w:pict>
          <v:rect style="width:0;height:1.5pt" o:hralign="center" o:hrstd="t" o:hr="t"/>
        </w:pict>
      </w:r>
    </w:p>
    <w:bookmarkEnd w:id="22"/>
    <w:bookmarkStart w:id="30" w:name="methodology"/>
    <w:p>
      <w:pPr>
        <w:pStyle w:val="Heading2"/>
      </w:pPr>
      <w:r>
        <w:t xml:space="preserve">1. Methodology</w:t>
      </w:r>
    </w:p>
    <w:p>
      <w:pPr>
        <w:pStyle w:val="FirstParagraph"/>
      </w:pPr>
      <w:r>
        <w:t xml:space="preserve">The Product Carbon Footprint (PCF) analysis was performed following the five-step methodology prescribed by leading standards, primarily the GHG Protocol Product Standard, while integrating the principles of Life Cycle Assessment (LCA).</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wjqwixeeeo</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While the primary production focus is "factory_gate" (covering raw material extraction, manufacturing, and inbound transportation), the scope has been expanded to a</w:t>
      </w:r>
      <w:r>
        <w:t xml:space="preserve"> </w:t>
      </w:r>
      <w:r>
        <w:rPr>
          <w:bCs/>
          <w:b/>
        </w:rPr>
        <w:t xml:space="preserve">cradle-to-grave</w:t>
      </w:r>
      <w:r>
        <w:t xml:space="preserve"> </w:t>
      </w:r>
      <w:r>
        <w:t xml:space="preserve">assessment to include the Use Phase and End-of-Life scenarios as explicitly requested. This encompasses all relevant lifecycle stages: Raw Material Acquisition, Manufacturing, Transportation (Upstream &amp; Downstream),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product sales in Europe)</w:t>
      </w:r>
    </w:p>
    <w:p>
      <w:pPr>
        <w:numPr>
          <w:ilvl w:val="0"/>
          <w:numId w:val="1001"/>
        </w:numPr>
        <w:pStyle w:val="Compact"/>
      </w:pPr>
      <w:r>
        <w:rPr>
          <w:bCs/>
          <w:b/>
        </w:rPr>
        <w:t xml:space="preserve">Allocation:</w:t>
      </w:r>
      <w:r>
        <w:t xml:space="preserve"> </w:t>
      </w:r>
      <w:r>
        <w:t xml:space="preserve">Emissions are allocated to the functional unit based on a physical allocation method, primarily by mass, where applicable and appropriate for multi-output processes.</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 to align with corporate GHG accounting practices.</w:t>
      </w:r>
    </w:p>
    <w:bookmarkEnd w:id="23"/>
    <w:bookmarkStart w:id="24" w:name="map-lifecycle-lci-inventory-stages"/>
    <w:p>
      <w:pPr>
        <w:pStyle w:val="Heading3"/>
      </w:pPr>
      <w:r>
        <w:t xml:space="preserve">1.2. Map Lifecycle (LCI Inventory Stages)</w:t>
      </w:r>
    </w:p>
    <w:p>
      <w:pPr>
        <w:pStyle w:val="FirstParagraph"/>
      </w:pPr>
      <w:r>
        <w:t xml:space="preserve">The lifecycle of wjqwixeeeo is mapped across the following stages, detailing material and energy inputs:</w:t>
      </w:r>
    </w:p>
    <w:p>
      <w:pPr>
        <w:numPr>
          <w:ilvl w:val="0"/>
          <w:numId w:val="1003"/>
        </w:numPr>
        <w:pStyle w:val="Compact"/>
      </w:pPr>
      <w:r>
        <w:rPr>
          <w:bCs/>
          <w:b/>
        </w:rPr>
        <w:t xml:space="preserve">Raw Material Acquisition &amp; Pre-processing (Upstream - Scope 3, Category 1):</w:t>
      </w:r>
      <w:r>
        <w:t xml:space="preserve"> </w:t>
      </w:r>
      <w:r>
        <w:t xml:space="preserve">Extraction and initial processing of all materials listed in the Bill of Materials (BOM).</w:t>
      </w:r>
    </w:p>
    <w:p>
      <w:pPr>
        <w:numPr>
          <w:ilvl w:val="0"/>
          <w:numId w:val="1003"/>
        </w:numPr>
        <w:pStyle w:val="Compact"/>
      </w:pPr>
      <w:r>
        <w:rPr>
          <w:bCs/>
          <w:b/>
        </w:rPr>
        <w:t xml:space="preserve">Manufacturing/Production (Operational - Scope 1 &amp; 2):</w:t>
      </w:r>
      <w:r>
        <w:t xml:space="preserve"> </w:t>
      </w:r>
      <w:r>
        <w:t xml:space="preserve">Energy consumption (electricity, direct fuel combustion if any) and associated emissions at the pktygeuxxp factory in China for assembling/producing wjqwixeeeo.</w:t>
      </w:r>
    </w:p>
    <w:p>
      <w:pPr>
        <w:numPr>
          <w:ilvl w:val="0"/>
          <w:numId w:val="1003"/>
        </w:numPr>
        <w:pStyle w:val="Compact"/>
      </w:pPr>
      <w:r>
        <w:rPr>
          <w:bCs/>
          <w:b/>
        </w:rPr>
        <w:t xml:space="preserve">Transportation &amp; Distribution (Upstream &amp; Downstream - Scope 3, Category 4 &amp; 9):</w:t>
      </w:r>
      <w:r>
        <w:t xml:space="preserve"> </w:t>
      </w:r>
      <w:r>
        <w:t xml:space="preserve">Transport of raw materials to the factory (upstream) and distribution of the finished product to the customer, including last-mile delivery (downstream).</w:t>
      </w:r>
    </w:p>
    <w:p>
      <w:pPr>
        <w:numPr>
          <w:ilvl w:val="0"/>
          <w:numId w:val="1003"/>
        </w:numPr>
        <w:pStyle w:val="Compact"/>
      </w:pPr>
      <w:r>
        <w:rPr>
          <w:bCs/>
          <w:b/>
        </w:rPr>
        <w:t xml:space="preserve">Use Phase (Downstream - Scope 3, Category 11):</w:t>
      </w:r>
      <w:r>
        <w:t xml:space="preserve"> </w:t>
      </w:r>
      <w:r>
        <w:t xml:space="preserve">Energy consumption during the lifespan of the product as used by the end-consumer.</w:t>
      </w:r>
    </w:p>
    <w:p>
      <w:pPr>
        <w:numPr>
          <w:ilvl w:val="0"/>
          <w:numId w:val="1003"/>
        </w:numPr>
        <w:pStyle w:val="Compact"/>
      </w:pPr>
      <w:r>
        <w:rPr>
          <w:bCs/>
          <w:b/>
        </w:rPr>
        <w:t xml:space="preserve">End-of-Life Treatment (Downstream - Scope 3, Category 12):</w:t>
      </w:r>
      <w:r>
        <w:t xml:space="preserve"> </w:t>
      </w:r>
      <w:r>
        <w:t xml:space="preserve">Disposal, recycling, or recovery processes for the product components at the end of its useful life.</w:t>
      </w:r>
    </w:p>
    <w:bookmarkEnd w:id="24"/>
    <w:bookmarkStart w:id="27" w:name="collect-data"/>
    <w:p>
      <w:pPr>
        <w:pStyle w:val="Heading3"/>
      </w:pPr>
      <w:r>
        <w:t xml:space="preserve">1.3. Collect Data</w:t>
      </w:r>
    </w:p>
    <w:p>
      <w:pPr>
        <w:pStyle w:val="FirstParagraph"/>
      </w:pPr>
      <w:r>
        <w:t xml:space="preserve">Data was collected based on the provided parameters. For placeholder values, illustrative industry averages and expert estimates have been utilized to demonstrate the calculation methodology. Primary data from suppliers and operational facilities would enhance accuracy significantly.</w:t>
      </w:r>
    </w:p>
    <w:bookmarkStart w:id="25" w:name="X3ef9ef8e9c5a6019f7d6020bb09b2698dc5b5d9"/>
    <w:p>
      <w:pPr>
        <w:pStyle w:val="Heading4"/>
      </w:pPr>
      <w:r>
        <w:t xml:space="preserve">Parameters Provided &amp; Assumed Values for Calculation:</w:t>
      </w:r>
    </w:p>
    <w:p>
      <w:pPr>
        <w:numPr>
          <w:ilvl w:val="0"/>
          <w:numId w:val="1004"/>
        </w:numPr>
        <w:pStyle w:val="Compact"/>
      </w:pPr>
      <w:r>
        <w:rPr>
          <w:bCs/>
          <w:b/>
        </w:rPr>
        <w:t xml:space="preserve">Company Name:</w:t>
      </w:r>
      <w:r>
        <w:t xml:space="preserve"> </w:t>
      </w:r>
      <w:r>
        <w:t xml:space="preserve">pktygeuxxp</w:t>
      </w:r>
    </w:p>
    <w:p>
      <w:pPr>
        <w:numPr>
          <w:ilvl w:val="0"/>
          <w:numId w:val="1004"/>
        </w:numPr>
        <w:pStyle w:val="Compact"/>
      </w:pPr>
      <w:r>
        <w:rPr>
          <w:bCs/>
          <w:b/>
        </w:rPr>
        <w:t xml:space="preserve">Senior Sustainability Consultant:</w:t>
      </w:r>
      <w:r>
        <w:t xml:space="preserve"> </w:t>
      </w:r>
      <w:r>
        <w:t xml:space="preserve">vlvxxqmgdm</w:t>
      </w:r>
    </w:p>
    <w:p>
      <w:pPr>
        <w:numPr>
          <w:ilvl w:val="0"/>
          <w:numId w:val="1004"/>
        </w:numPr>
        <w:pStyle w:val="Compact"/>
      </w:pPr>
      <w:r>
        <w:rPr>
          <w:bCs/>
          <w:b/>
        </w:rPr>
        <w:t xml:space="preserve">Product Name:</w:t>
      </w:r>
      <w:r>
        <w:t xml:space="preserve"> </w:t>
      </w:r>
      <w:r>
        <w:t xml:space="preserve">wjqwixeeeo</w:t>
      </w:r>
    </w:p>
    <w:p>
      <w:pPr>
        <w:numPr>
          <w:ilvl w:val="0"/>
          <w:numId w:val="1004"/>
        </w:numPr>
      </w:pPr>
      <w:r>
        <w:rPr>
          <w:bCs/>
          <w:b/>
        </w:rPr>
        <w:t xml:space="preserve">Detailed Bill of Materials (BOM):</w:t>
      </w:r>
      <w:r>
        <w:t xml:space="preserve"> </w:t>
      </w:r>
      <w:r>
        <w:rPr>
          <w:rStyle w:val="VerbatimChar"/>
        </w:rPr>
        <w:t xml:space="preserve">wwhfnqss</w:t>
      </w:r>
      <w:r>
        <w:t xml:space="preserve"> </w:t>
      </w:r>
      <w:r>
        <w:t xml:space="preserve">- *Illustrative data based on format: ID, Description, Category, Process, Qty, Unit, Emission Factor (kgCO2e/unit), Total Carbon (kgCO2e)*.</w:t>
      </w:r>
    </w:p>
    <w:p>
      <w:pPr>
        <w:numPr>
          <w:ilvl w:val="0"/>
          <w:numId w:val="1000"/>
        </w:numPr>
      </w:pPr>
      <w:r>
        <w:t xml:space="preserve">For calculation purposes, the following illustrative BOM data is used: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r>
              <w:t xml:space="preserve"> </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r>
              <w:t xml:space="preserve"> </w:t>
            </w:r>
          </w:p>
        </w:tc>
        <w:tc>
          <w:tcPr/>
          <w:p>
            <w:pPr>
              <w:pStyle w:val="Compact"/>
              <w:jc w:val="left"/>
            </w:pPr>
            <w:r>
              <w:t xml:space="preserve">15.00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r>
              <w:t xml:space="preserve"> </w:t>
            </w:r>
          </w:p>
        </w:tc>
        <w:tc>
          <w:tcPr/>
          <w:p>
            <w:pPr>
              <w:pStyle w:val="Compact"/>
              <w:jc w:val="left"/>
            </w:pPr>
            <w:r>
              <w:t xml:space="preserve">0.25</w:t>
            </w:r>
          </w:p>
        </w:tc>
      </w:tr>
    </w:tbl>
    <w:p>
      <w:pPr>
        <w:numPr>
          <w:ilvl w:val="0"/>
          <w:numId w:val="1000"/>
        </w:numPr>
      </w:pPr>
      <w:r>
        <w:t xml:space="preserve">Total Illustrative Product Mass (excluding Circuit Board\'s explicit mass component for material, but acknowledging its presence): 0.5 kg + 0.2 kg + 0.05 kg = 0.75 kg. For transport calculations, assuming total product weight including circuit board components to be 0.85 kg.</w:t>
      </w:r>
    </w:p>
    <w:p>
      <w:pPr>
        <w:numPr>
          <w:ilvl w:val="0"/>
          <w:numId w:val="1004"/>
        </w:numPr>
        <w:pStyle w:val="Compact"/>
      </w:pPr>
      <w:r>
        <w:rPr>
          <w:bCs/>
          <w:b/>
        </w:rPr>
        <w:t xml:space="preserve">Transport Mode:</w:t>
      </w:r>
      <w:r>
        <w:t xml:space="preserve"> </w:t>
      </w:r>
      <w:r>
        <w:t xml:space="preserve">Select Mode - *Assumed: Road Freight (Heavy Duty Truck)*</w:t>
      </w:r>
    </w:p>
    <w:p>
      <w:pPr>
        <w:numPr>
          <w:ilvl w:val="0"/>
          <w:numId w:val="1004"/>
        </w:numPr>
        <w:pStyle w:val="Compact"/>
      </w:pPr>
      <w:r>
        <w:rPr>
          <w:bCs/>
          <w:b/>
        </w:rPr>
        <w:t xml:space="preserve">Transport Distance:</w:t>
      </w:r>
      <w:r>
        <w:t xml:space="preserve"> </w:t>
      </w:r>
      <w:r>
        <w:rPr>
          <w:rStyle w:val="VerbatimChar"/>
        </w:rPr>
        <w:t xml:space="preserve">uitjdhrqwl</w:t>
      </w:r>
      <w:r>
        <w:t xml:space="preserve"> </w:t>
      </w:r>
      <w:r>
        <w:t xml:space="preserve">- *Assumed: 2000 km (for raw materials to factory &amp; finished product to distribution hub)*</w:t>
      </w:r>
    </w:p>
    <w:p>
      <w:pPr>
        <w:numPr>
          <w:ilvl w:val="0"/>
          <w:numId w:val="1004"/>
        </w:numPr>
        <w:pStyle w:val="Compact"/>
      </w:pPr>
      <w:r>
        <w:rPr>
          <w:bCs/>
          <w:b/>
        </w:rPr>
        <w:t xml:space="preserve">Last-Mile Delivery Channel:</w:t>
      </w:r>
      <w:r>
        <w:t xml:space="preserve"> </w:t>
      </w:r>
      <w:r>
        <w:t xml:space="preserve">Delivery Type - *Assumed: Road Freight (Light Commercial Vehicle) for an additional 100 km*</w:t>
      </w:r>
    </w:p>
    <w:p>
      <w:pPr>
        <w:numPr>
          <w:ilvl w:val="0"/>
          <w:numId w:val="1004"/>
        </w:numPr>
        <w:pStyle w:val="Compact"/>
      </w:pPr>
      <w:r>
        <w:rPr>
          <w:bCs/>
          <w:b/>
        </w:rPr>
        <w:t xml:space="preserve">Renewable Energy Usage (Production):</w:t>
      </w:r>
      <w:r>
        <w:t xml:space="preserve"> </w:t>
      </w:r>
      <w:r>
        <w:rPr>
          <w:rStyle w:val="VerbatimChar"/>
        </w:rPr>
        <w:t xml:space="preserve">zqzymqkmiv</w:t>
      </w:r>
      <w:r>
        <w:t xml:space="preserve"> </w:t>
      </w:r>
      <w:r>
        <w:t xml:space="preserve">- *Assumed: 60% (of electricity used in production)*</w:t>
      </w:r>
    </w:p>
    <w:p>
      <w:pPr>
        <w:numPr>
          <w:ilvl w:val="0"/>
          <w:numId w:val="1004"/>
        </w:numPr>
        <w:pStyle w:val="Compact"/>
      </w:pPr>
      <w:r>
        <w:rPr>
          <w:bCs/>
          <w:b/>
        </w:rPr>
        <w:t xml:space="preserve">Energy Intensity (kWh/unit) (Production):</w:t>
      </w:r>
      <w:r>
        <w:t xml:space="preserve"> </w:t>
      </w:r>
      <w:r>
        <w:rPr>
          <w:rStyle w:val="VerbatimChar"/>
        </w:rPr>
        <w:t xml:space="preserve">knygvtfzmz</w:t>
      </w:r>
      <w:r>
        <w:t xml:space="preserve"> </w:t>
      </w:r>
      <w:r>
        <w:t xml:space="preserve">- *Assumed: 25 kWh/unit*</w:t>
      </w:r>
    </w:p>
    <w:p>
      <w:pPr>
        <w:numPr>
          <w:ilvl w:val="0"/>
          <w:numId w:val="1004"/>
        </w:numPr>
        <w:pStyle w:val="Compact"/>
      </w:pPr>
      <w:r>
        <w:rPr>
          <w:bCs/>
          <w:b/>
        </w:rPr>
        <w:t xml:space="preserve">Product Lifespan:</w:t>
      </w:r>
      <w:r>
        <w:t xml:space="preserve"> </w:t>
      </w:r>
      <w:r>
        <w:rPr>
          <w:rStyle w:val="VerbatimChar"/>
        </w:rPr>
        <w:t xml:space="preserve">pgskmhzjdw</w:t>
      </w:r>
      <w:r>
        <w:t xml:space="preserve"> </w:t>
      </w:r>
      <w:r>
        <w:t xml:space="preserve">- *Assumed: 7 years*</w:t>
      </w:r>
    </w:p>
    <w:p>
      <w:pPr>
        <w:numPr>
          <w:ilvl w:val="0"/>
          <w:numId w:val="1004"/>
        </w:numPr>
        <w:pStyle w:val="Compact"/>
      </w:pPr>
      <w:r>
        <w:rPr>
          <w:bCs/>
          <w:b/>
        </w:rPr>
        <w:t xml:space="preserve">Energy Consumption in Use:</w:t>
      </w:r>
      <w:r>
        <w:t xml:space="preserve"> </w:t>
      </w:r>
      <w:r>
        <w:rPr>
          <w:rStyle w:val="VerbatimChar"/>
        </w:rPr>
        <w:t xml:space="preserve">mitmkvthsl</w:t>
      </w:r>
      <w:r>
        <w:t xml:space="preserve"> </w:t>
      </w:r>
      <w:r>
        <w:t xml:space="preserve">- *Assumed: 50 kWh/year*</w:t>
      </w:r>
    </w:p>
    <w:p>
      <w:pPr>
        <w:numPr>
          <w:ilvl w:val="0"/>
          <w:numId w:val="1004"/>
        </w:numPr>
        <w:pStyle w:val="Compact"/>
      </w:pPr>
      <w:r>
        <w:rPr>
          <w:bCs/>
          <w:b/>
        </w:rPr>
        <w:t xml:space="preserve">Recyclability Percentage (Product EoL):</w:t>
      </w:r>
      <w:r>
        <w:t xml:space="preserve"> </w:t>
      </w:r>
      <w:r>
        <w:rPr>
          <w:rStyle w:val="VerbatimChar"/>
        </w:rPr>
        <w:t xml:space="preserve">zkxkhtwxks</w:t>
      </w:r>
      <w:r>
        <w:t xml:space="preserve"> </w:t>
      </w:r>
      <w:r>
        <w:t xml:space="preserve">- *Assumed: 85%*</w:t>
      </w:r>
    </w:p>
    <w:p>
      <w:pPr>
        <w:numPr>
          <w:ilvl w:val="0"/>
          <w:numId w:val="1004"/>
        </w:numPr>
        <w:pStyle w:val="Compact"/>
      </w:pPr>
      <w:r>
        <w:rPr>
          <w:bCs/>
          <w:b/>
        </w:rPr>
        <w:t xml:space="preserve">Circular/Take-back Programs:</w:t>
      </w:r>
      <w:r>
        <w:t xml:space="preserve"> </w:t>
      </w:r>
      <w:r>
        <w:rPr>
          <w:rStyle w:val="VerbatimChar"/>
        </w:rPr>
        <w:t xml:space="preserve">tliwdngqfu</w:t>
      </w:r>
      <w:r>
        <w:t xml:space="preserve"> </w:t>
      </w:r>
      <w:r>
        <w:t xml:space="preserve">- *Assumed: Yes, established program with 40% return rate for key components, leading to high-quality recycling.*</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factory_gate (expanded to cradle-to-grave)</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w:t>
      </w:r>
    </w:p>
    <w:bookmarkEnd w:id="25"/>
    <w:bookmarkStart w:id="26" w:name="illustrative-emission-factors-used"/>
    <w:p>
      <w:pPr>
        <w:pStyle w:val="Heading4"/>
      </w:pPr>
      <w:r>
        <w:t xml:space="preserve">Illustrative Emission Factors Used:</w:t>
      </w:r>
    </w:p>
    <w:p>
      <w:pPr>
        <w:numPr>
          <w:ilvl w:val="0"/>
          <w:numId w:val="1005"/>
        </w:numPr>
        <w:pStyle w:val="Compact"/>
      </w:pPr>
      <w:r>
        <w:t xml:space="preserve">China Grid Electricity: 0.6 kgCO2e/kWh (Average for 2021, various sources range from 0.5568 to 0.6093 kgCO2/kWh)</w:t>
      </w:r>
      <w:r>
        <w:t xml:space="preserve"> </w:t>
      </w:r>
    </w:p>
    <w:p>
      <w:pPr>
        <w:numPr>
          <w:ilvl w:val="0"/>
          <w:numId w:val="1005"/>
        </w:numPr>
        <w:pStyle w:val="Compact"/>
      </w:pPr>
      <w:r>
        <w:t xml:space="preserve">Road Freight (Heavy Duty Truck): 0.09 kgCO2e/tonne-km (illustrative)</w:t>
      </w:r>
    </w:p>
    <w:p>
      <w:pPr>
        <w:numPr>
          <w:ilvl w:val="0"/>
          <w:numId w:val="1005"/>
        </w:numPr>
        <w:pStyle w:val="Compact"/>
      </w:pPr>
      <w:r>
        <w:t xml:space="preserve">Road Freight (Light Commercial Vehicle): 0.2 kgCO2e/tonne-km (illustrative for last-mile)</w:t>
      </w:r>
    </w:p>
    <w:p>
      <w:pPr>
        <w:numPr>
          <w:ilvl w:val="0"/>
          <w:numId w:val="1005"/>
        </w:numPr>
        <w:pStyle w:val="Compact"/>
      </w:pPr>
      <w:r>
        <w:t xml:space="preserve">European Average Grid Electricity: 0.276 kgCO2e/kWh (illustrative for use phase, highly variable by country)</w:t>
      </w:r>
    </w:p>
    <w:p>
      <w:pPr>
        <w:numPr>
          <w:ilvl w:val="0"/>
          <w:numId w:val="1005"/>
        </w:numPr>
        <w:pStyle w:val="Compact"/>
      </w:pPr>
      <w:r>
        <w:t xml:space="preserve">Waste Treatment (Landfill, general): 0.5 kgCO2e/kg (illustrative)</w:t>
      </w:r>
    </w:p>
    <w:p>
      <w:pPr>
        <w:numPr>
          <w:ilvl w:val="0"/>
          <w:numId w:val="1005"/>
        </w:numPr>
        <w:pStyle w:val="Compact"/>
      </w:pPr>
      <w:r>
        <w:t xml:space="preserve">Recycling Benefit (Aluminum): -9.0 kgCO2e/kg (avoided primary production emissions)</w:t>
      </w:r>
      <w:r>
        <w:t xml:space="preserve"> </w:t>
      </w:r>
    </w:p>
    <w:p>
      <w:pPr>
        <w:numPr>
          <w:ilvl w:val="0"/>
          <w:numId w:val="1005"/>
        </w:numPr>
        <w:pStyle w:val="Compact"/>
      </w:pPr>
      <w:r>
        <w:t xml:space="preserve">Recycling Benefit (Plastic): -1.5 kgCO2e/kg (average avoided primary production emissions)</w:t>
      </w:r>
      <w:r>
        <w:t xml:space="preserve"> </w:t>
      </w:r>
    </w:p>
    <w:bookmarkEnd w:id="26"/>
    <w:bookmarkEnd w:id="27"/>
    <w:bookmarkStart w:id="28" w:name="calculate-emissions"/>
    <w:p>
      <w:pPr>
        <w:pStyle w:val="Heading3"/>
      </w:pPr>
      <w:r>
        <w:t xml:space="preserve">1.4. Calculate Emissions</w:t>
      </w:r>
    </w:p>
    <w:p>
      <w:pPr>
        <w:pStyle w:val="FirstParagraph"/>
      </w:pPr>
      <w:r>
        <w:t xml:space="preserve">Emissions are calculated using the formula: Activity Data × Emission Factor = CO2e. Results are aggregated and categorized according to GHG Protocol scopes.</w:t>
      </w:r>
    </w:p>
    <w:bookmarkEnd w:id="28"/>
    <w:bookmarkStart w:id="29" w:name="review-report"/>
    <w:p>
      <w:pPr>
        <w:pStyle w:val="Heading3"/>
      </w:pPr>
      <w:r>
        <w:t xml:space="preserve">1.5. Review &amp; Report</w:t>
      </w:r>
    </w:p>
    <w:p>
      <w:pPr>
        <w:pStyle w:val="FirstParagraph"/>
      </w:pPr>
      <w:r>
        <w:t xml:space="preserve">The report identifies emission hotspots and discusses the reliability of the data. Given the use of illustrative data for placeholders, the reliability is dependent on the accuracy of these assumptions. In a real scenario, primary data would be critical.</w:t>
      </w:r>
    </w:p>
    <w:p>
      <w:r>
        <w:pict>
          <v:rect style="width:0;height:1.5pt" o:hralign="center" o:hrstd="t" o:hr="t"/>
        </w:pict>
      </w:r>
    </w:p>
    <w:bookmarkEnd w:id="29"/>
    <w:bookmarkEnd w:id="30"/>
    <w:bookmarkStart w:id="33" w:name="X375f90d34e2738bf774185f3c83efd090ce459a"/>
    <w:p>
      <w:pPr>
        <w:pStyle w:val="Heading2"/>
      </w:pPr>
      <w:r>
        <w:t xml:space="preserve">2. Detailed Breakdown of Materials and Energy Inputs</w:t>
      </w:r>
    </w:p>
    <w:bookmarkStart w:id="31" w:name="raw-materials-based-on-illustrative-bom"/>
    <w:p>
      <w:pPr>
        <w:pStyle w:val="Heading3"/>
      </w:pPr>
      <w:r>
        <w:t xml:space="preserve">2.1. Raw Materials (Based on Illustrative BOM)</w:t>
      </w:r>
    </w:p>
    <w:p>
      <w:pPr>
        <w:pStyle w:val="FirstParagraph"/>
      </w:pPr>
      <w:r>
        <w:t xml:space="preserve">The following table provides a breakdown of materials, quantities, and their associated cradle-to-gate carbon emissions, representing Scope 3, Category 1 (Purchased goods and services).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r>
              <w:t xml:space="preserve"> </w:t>
            </w:r>
          </w:p>
        </w:tc>
        <w:tc>
          <w:tcPr/>
          <w:p>
            <w:pPr>
              <w:pStyle w:val="Compact"/>
              <w:jc w:val="left"/>
            </w:pPr>
            <w:r>
              <w:t xml:space="preserve">0.70</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r>
              <w:t xml:space="preserve"> </w:t>
            </w:r>
          </w:p>
        </w:tc>
        <w:tc>
          <w:tcPr/>
          <w:p>
            <w:pPr>
              <w:pStyle w:val="Compact"/>
              <w:jc w:val="left"/>
            </w:pPr>
            <w:r>
              <w:t xml:space="preserve">15.00</w:t>
            </w:r>
          </w:p>
        </w:tc>
      </w:tr>
      <w:tr>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r>
              <w:t xml:space="preserve"> </w:t>
            </w:r>
          </w:p>
        </w:tc>
        <w:tc>
          <w:tcPr/>
          <w:p>
            <w:pPr>
              <w:pStyle w:val="Compact"/>
              <w:jc w:val="left"/>
            </w:pPr>
            <w:r>
              <w:t xml:space="preserve">0.25</w:t>
            </w:r>
          </w:p>
        </w:tc>
      </w:tr>
      <w:tr>
        <w:tc>
          <w:tcPr>
            <w:gridSpan w:val="6"/>
          </w:tcPr>
          <w:p>
            <w:pPr>
              <w:pStyle w:val="Compact"/>
              <w:jc w:val="right"/>
            </w:pPr>
            <w:r>
              <w:rPr>
                <w:bCs/>
                <w:b/>
              </w:rPr>
              <w:t xml:space="preserve">Subtotal Material Emissions (Scope 3, Cat 1):</w:t>
            </w:r>
          </w:p>
        </w:tc>
        <w:tc>
          <w:tcPr/>
          <w:p>
            <w:pPr>
              <w:pStyle w:val="Compact"/>
              <w:jc w:val="left"/>
            </w:pPr>
            <w:r>
              <w:rPr>
                <w:bCs/>
                <w:b/>
              </w:rPr>
              <w:t xml:space="preserve">20.00 kgCO2e</w:t>
            </w:r>
          </w:p>
        </w:tc>
      </w:tr>
    </w:tbl>
    <w:bookmarkEnd w:id="31"/>
    <w:bookmarkStart w:id="32" w:name="energy-inputs-production-phase"/>
    <w:p>
      <w:pPr>
        <w:pStyle w:val="Heading3"/>
      </w:pPr>
      <w:r>
        <w:t xml:space="preserve">2.2. Energy Inputs (Production Phase)</w:t>
      </w:r>
    </w:p>
    <w:p>
      <w:pPr>
        <w:pStyle w:val="FirstParagraph"/>
      </w:pPr>
      <w:r>
        <w:t xml:space="preserve">Electricity is the primary energy input for the manufacturing process. Direct fuel combustion (Scope 1) is assumed to be negligible or covered by upstream material emission factors for the purpose of this illustrative report, unless specific on-site fuel use is provided.</w:t>
      </w:r>
    </w:p>
    <w:p>
      <w:pPr>
        <w:numPr>
          <w:ilvl w:val="0"/>
          <w:numId w:val="1006"/>
        </w:numPr>
        <w:pStyle w:val="Compact"/>
      </w:pPr>
      <w:r>
        <w:rPr>
          <w:bCs/>
          <w:b/>
        </w:rPr>
        <w:t xml:space="preserve">Energy Intensity (kWh/unit):</w:t>
      </w:r>
      <w:r>
        <w:t xml:space="preserve"> </w:t>
      </w:r>
      <w:r>
        <w:t xml:space="preserve">25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Energy:</w:t>
      </w:r>
      <w:r>
        <w:t xml:space="preserve"> </w:t>
      </w:r>
      <w:r>
        <w:t xml:space="preserve">25 kWh/unit * (1 - 0.60) = 10 kWh/unit</w:t>
      </w:r>
    </w:p>
    <w:p>
      <w:pPr>
        <w:numPr>
          <w:ilvl w:val="0"/>
          <w:numId w:val="1006"/>
        </w:numPr>
        <w:pStyle w:val="Compact"/>
      </w:pPr>
      <w:r>
        <w:rPr>
          <w:bCs/>
          <w:b/>
        </w:rPr>
        <w:t xml:space="preserve">China Grid Emission Factor:</w:t>
      </w:r>
      <w:r>
        <w:t xml:space="preserve"> </w:t>
      </w:r>
      <w:r>
        <w:t xml:space="preserve">0.6 kgCO2e/kWh</w:t>
      </w:r>
      <w:r>
        <w:t xml:space="preserve"> </w:t>
      </w:r>
    </w:p>
    <w:p>
      <w:r>
        <w:pict>
          <v:rect style="width:0;height:1.5pt" o:hralign="center" o:hrstd="t" o:hr="t"/>
        </w:pict>
      </w:r>
    </w:p>
    <w:bookmarkEnd w:id="32"/>
    <w:bookmarkEnd w:id="33"/>
    <w:bookmarkStart w:id="43" w:name="emission-calculation-results"/>
    <w:p>
      <w:pPr>
        <w:pStyle w:val="Heading2"/>
      </w:pPr>
      <w:r>
        <w:t xml:space="preserve">3. Emission Calculation Results</w:t>
      </w:r>
    </w:p>
    <w:p>
      <w:pPr>
        <w:pStyle w:val="FirstParagraph"/>
      </w:pPr>
      <w:r>
        <w:t xml:space="preserve">The total Product Carbon Footprint for wjqwixeeeo (1.0 unit) is calculated across its lifecycle:</w:t>
      </w:r>
    </w:p>
    <w:bookmarkStart w:id="34" w:name="X803f1a2d294c2df7ca399abbc08b79c0f9fca01"/>
    <w:p>
      <w:pPr>
        <w:pStyle w:val="Heading3"/>
      </w:pPr>
      <w:r>
        <w:t xml:space="preserve">3.1. Raw Material Acquisition &amp; Pre-processing (Scope 3, Category 1)</w:t>
      </w:r>
    </w:p>
    <w:p>
      <w:pPr>
        <w:pStyle w:val="FirstParagraph"/>
      </w:pPr>
      <w:r>
        <w:t xml:space="preserve">Emissions from the extraction and production of materials before they arrive at the pktygeuxxp factory.</w:t>
      </w:r>
    </w:p>
    <w:p>
      <w:pPr>
        <w:numPr>
          <w:ilvl w:val="0"/>
          <w:numId w:val="1007"/>
        </w:numPr>
        <w:pStyle w:val="Compact"/>
      </w:pPr>
      <w:r>
        <w:rPr>
          <w:bCs/>
          <w:b/>
        </w:rPr>
        <w:t xml:space="preserve">Total Material Emissions:</w:t>
      </w:r>
      <w:r>
        <w:t xml:space="preserve"> </w:t>
      </w:r>
      <w:r>
        <w:t xml:space="preserve">20.00 kgCO2e (as calculated in Section 2.1)</w:t>
      </w:r>
    </w:p>
    <w:bookmarkEnd w:id="34"/>
    <w:bookmarkStart w:id="37" w:name="manufacturingproduction-phase"/>
    <w:p>
      <w:pPr>
        <w:pStyle w:val="Heading3"/>
      </w:pPr>
      <w:r>
        <w:t xml:space="preserve">3.2. Manufacturing/Production Phase</w:t>
      </w:r>
    </w:p>
    <w:bookmarkStart w:id="35" w:name="scope-1-emissions-direct-emissions"/>
    <w:p>
      <w:pPr>
        <w:pStyle w:val="Heading4"/>
      </w:pPr>
      <w:r>
        <w:t xml:space="preserve">Scope 1 Emissions (Direct Emissions)</w:t>
      </w:r>
    </w:p>
    <w:p>
      <w:pPr>
        <w:pStyle w:val="FirstParagraph"/>
      </w:pPr>
      <w:r>
        <w:t xml:space="preserve">Direct GHG emissions from sources owned or controlled by pktygeuxxp during the manufacturing of wjqwixeeeo. For this product, without explicit on-site fuel consumption data, these are assumed to be minimal or embedded in the upstream material processing. If direct combustion for heating, cooling, or specific chemical reactions occurred on-site, it would be quantified here.</w:t>
      </w:r>
    </w:p>
    <w:p>
      <w:pPr>
        <w:numPr>
          <w:ilvl w:val="0"/>
          <w:numId w:val="1008"/>
        </w:numPr>
        <w:pStyle w:val="Compact"/>
      </w:pPr>
      <w:r>
        <w:rPr>
          <w:bCs/>
          <w:b/>
        </w:rPr>
        <w:t xml:space="preserve">Assumed Scope 1 Emissions:</w:t>
      </w:r>
      <w:r>
        <w:t xml:space="preserve"> </w:t>
      </w:r>
      <w:r>
        <w:t xml:space="preserve">0.00 kgCO2e (Illustrative, further data required for precise calculation)</w:t>
      </w:r>
    </w:p>
    <w:bookmarkEnd w:id="35"/>
    <w:bookmarkStart w:id="36" w:name="scope-2-emissions-purchased-electricity"/>
    <w:p>
      <w:pPr>
        <w:pStyle w:val="Heading4"/>
      </w:pPr>
      <w:r>
        <w:t xml:space="preserve">Scope 2 Emissions (Purchased Electricity)</w:t>
      </w:r>
    </w:p>
    <w:p>
      <w:pPr>
        <w:pStyle w:val="FirstParagraph"/>
      </w:pPr>
      <w:r>
        <w:t xml:space="preserve">Indirect GHG emissions from the generation of purchased electricity consumed by pktygeuxxp\'s manufacturing facility in China.</w:t>
      </w:r>
    </w:p>
    <w:p>
      <w:pPr>
        <w:numPr>
          <w:ilvl w:val="0"/>
          <w:numId w:val="1009"/>
        </w:numPr>
        <w:pStyle w:val="Compact"/>
      </w:pPr>
      <w:r>
        <w:rPr>
          <w:bCs/>
          <w:b/>
        </w:rPr>
        <w:t xml:space="preserve">Non-Renewable Electricity Consumption:</w:t>
      </w:r>
      <w:r>
        <w:t xml:space="preserve"> </w:t>
      </w:r>
      <w:r>
        <w:t xml:space="preserve">10 kWh/unit</w:t>
      </w:r>
    </w:p>
    <w:p>
      <w:pPr>
        <w:numPr>
          <w:ilvl w:val="0"/>
          <w:numId w:val="1009"/>
        </w:numPr>
        <w:pStyle w:val="Compact"/>
      </w:pPr>
      <w:r>
        <w:rPr>
          <w:bCs/>
          <w:b/>
        </w:rPr>
        <w:t xml:space="preserve">China Grid Emission Factor:</w:t>
      </w:r>
      <w:r>
        <w:t xml:space="preserve"> </w:t>
      </w:r>
      <w:r>
        <w:t xml:space="preserve">0.6 kgCO2e/kWh</w:t>
      </w:r>
      <w:r>
        <w:t xml:space="preserve"> </w:t>
      </w:r>
    </w:p>
    <w:p>
      <w:pPr>
        <w:numPr>
          <w:ilvl w:val="0"/>
          <w:numId w:val="1009"/>
        </w:numPr>
        <w:pStyle w:val="Compact"/>
      </w:pPr>
      <w:r>
        <w:rPr>
          <w:bCs/>
          <w:b/>
        </w:rPr>
        <w:t xml:space="preserve">Total Scope 2 Emissions:</w:t>
      </w:r>
      <w:r>
        <w:t xml:space="preserve"> </w:t>
      </w:r>
      <w:r>
        <w:t xml:space="preserve">10 kWh/unit * 0.6 kgCO2e/kWh = 6.00 kgCO2e</w:t>
      </w:r>
    </w:p>
    <w:bookmarkEnd w:id="36"/>
    <w:bookmarkEnd w:id="37"/>
    <w:bookmarkStart w:id="38" w:name="X1aba12e767cf943a5f815dc779ff8a22eed13a2"/>
    <w:p>
      <w:pPr>
        <w:pStyle w:val="Heading3"/>
      </w:pPr>
      <w:r>
        <w:t xml:space="preserve">3.3. Transportation &amp; Distribution (Scope 3, Category 4 &amp; 9)</w:t>
      </w:r>
    </w:p>
    <w:p>
      <w:pPr>
        <w:pStyle w:val="FirstParagraph"/>
      </w:pPr>
      <w:r>
        <w:t xml:space="preserve">Emissions from transporting raw materials (upstream) and the finished product (downstream). Total product mass assumed for transport = 0.85 kg (0.00085 tonnes).</w:t>
      </w:r>
    </w:p>
    <w:p>
      <w:pPr>
        <w:numPr>
          <w:ilvl w:val="0"/>
          <w:numId w:val="1010"/>
        </w:numPr>
        <w:pStyle w:val="Compact"/>
      </w:pPr>
      <w:r>
        <w:rPr>
          <w:bCs/>
          <w:b/>
        </w:rPr>
        <w:t xml:space="preserve">Upstream Transport (Materials to Factory - Europe Focused to China):</w:t>
      </w:r>
    </w:p>
    <w:p>
      <w:pPr>
        <w:numPr>
          <w:ilvl w:val="1"/>
          <w:numId w:val="1011"/>
        </w:numPr>
        <w:pStyle w:val="Compact"/>
      </w:pPr>
      <w:r>
        <w:t xml:space="preserve">Transport Distance: 2000 km</w:t>
      </w:r>
    </w:p>
    <w:p>
      <w:pPr>
        <w:numPr>
          <w:ilvl w:val="1"/>
          <w:numId w:val="1011"/>
        </w:numPr>
        <w:pStyle w:val="Compact"/>
      </w:pPr>
      <w:r>
        <w:t xml:space="preserve">Transport Mode: Road Freight (Heavy Duty Truck)</w:t>
      </w:r>
    </w:p>
    <w:p>
      <w:pPr>
        <w:numPr>
          <w:ilvl w:val="1"/>
          <w:numId w:val="1011"/>
        </w:numPr>
        <w:pStyle w:val="Compact"/>
      </w:pPr>
      <w:r>
        <w:t xml:space="preserve">Emission Factor: 0.09 kgCO2e/tonne-km</w:t>
      </w:r>
    </w:p>
    <w:p>
      <w:pPr>
        <w:numPr>
          <w:ilvl w:val="1"/>
          <w:numId w:val="1011"/>
        </w:numPr>
        <w:pStyle w:val="Compact"/>
      </w:pPr>
      <w:r>
        <w:rPr>
          <w:bCs/>
          <w:b/>
        </w:rPr>
        <w:t xml:space="preserve">Upstream Transport Emissions:</w:t>
      </w:r>
      <w:r>
        <w:t xml:space="preserve"> </w:t>
      </w:r>
      <w:r>
        <w:t xml:space="preserve">0.00085 tonnes * 2000 km * 0.09 kgCO2e/tonne-km = 0.153 kgCO2e</w:t>
      </w:r>
    </w:p>
    <w:p>
      <w:pPr>
        <w:numPr>
          <w:ilvl w:val="0"/>
          <w:numId w:val="1010"/>
        </w:numPr>
        <w:pStyle w:val="Compact"/>
      </w:pPr>
      <w:r>
        <w:rPr>
          <w:bCs/>
          <w:b/>
        </w:rPr>
        <w:t xml:space="preserve">Downstream Transport (Factory to Customer - China to Europe Distribution Hub + Last Mile):</w:t>
      </w:r>
    </w:p>
    <w:p>
      <w:pPr>
        <w:numPr>
          <w:ilvl w:val="1"/>
          <w:numId w:val="1012"/>
        </w:numPr>
        <w:pStyle w:val="Compact"/>
      </w:pPr>
      <w:r>
        <w:t xml:space="preserve">Main Transport Distance: 2000 km</w:t>
      </w:r>
    </w:p>
    <w:p>
      <w:pPr>
        <w:numPr>
          <w:ilvl w:val="1"/>
          <w:numId w:val="1012"/>
        </w:numPr>
        <w:pStyle w:val="Compact"/>
      </w:pPr>
      <w:r>
        <w:t xml:space="preserve">Main Transport Mode: Road Freight (Heavy Duty Truck)</w:t>
      </w:r>
    </w:p>
    <w:p>
      <w:pPr>
        <w:numPr>
          <w:ilvl w:val="1"/>
          <w:numId w:val="1012"/>
        </w:numPr>
        <w:pStyle w:val="Compact"/>
      </w:pPr>
      <w:r>
        <w:t xml:space="preserve">Emission Factor: 0.09 kgCO2e/tonne-km</w:t>
      </w:r>
    </w:p>
    <w:p>
      <w:pPr>
        <w:numPr>
          <w:ilvl w:val="1"/>
          <w:numId w:val="1012"/>
        </w:numPr>
        <w:pStyle w:val="Compact"/>
      </w:pPr>
      <w:r>
        <w:t xml:space="preserve">Last-Mile Delivery Distance: 100 km</w:t>
      </w:r>
    </w:p>
    <w:p>
      <w:pPr>
        <w:numPr>
          <w:ilvl w:val="1"/>
          <w:numId w:val="1012"/>
        </w:numPr>
        <w:pStyle w:val="Compact"/>
      </w:pPr>
      <w:r>
        <w:t xml:space="preserve">Last-Mile Transport Mode: Road Freight (Light Commercial Vehicle)</w:t>
      </w:r>
    </w:p>
    <w:p>
      <w:pPr>
        <w:numPr>
          <w:ilvl w:val="1"/>
          <w:numId w:val="1012"/>
        </w:numPr>
        <w:pStyle w:val="Compact"/>
      </w:pPr>
      <w:r>
        <w:t xml:space="preserve">Last-Mile Emission Factor: 0.2 kgCO2e/tonne-km</w:t>
      </w:r>
    </w:p>
    <w:p>
      <w:pPr>
        <w:numPr>
          <w:ilvl w:val="1"/>
          <w:numId w:val="1012"/>
        </w:numPr>
        <w:pStyle w:val="Compact"/>
      </w:pPr>
      <w:r>
        <w:rPr>
          <w:bCs/>
          <w:b/>
        </w:rPr>
        <w:t xml:space="preserve">Downstream Transport Emissions:</w:t>
      </w:r>
      <w:r>
        <w:t xml:space="preserve"> </w:t>
      </w:r>
      <w:r>
        <w:t xml:space="preserve">(0.00085 tonnes * 2000 km * 0.09 kgCO2e/tonne-km) + (0.00085 tonnes * 100 km * 0.2 kgCO2e/tonne-km) = 0.153 kgCO2e + 0.017 kgCO2e = 0.170 kgCO2e</w:t>
      </w:r>
    </w:p>
    <w:p>
      <w:pPr>
        <w:numPr>
          <w:ilvl w:val="0"/>
          <w:numId w:val="1010"/>
        </w:numPr>
        <w:pStyle w:val="Compact"/>
      </w:pPr>
      <w:r>
        <w:rPr>
          <w:bCs/>
          <w:b/>
        </w:rPr>
        <w:t xml:space="preserve">Total Transport Emissions (Scope 3, Cat 4 &amp; 9):</w:t>
      </w:r>
      <w:r>
        <w:t xml:space="preserve"> </w:t>
      </w:r>
      <w:r>
        <w:t xml:space="preserve">0.153 kgCO2e + 0.170 kgCO2e = 0.323 kgCO2e</w:t>
      </w:r>
    </w:p>
    <w:bookmarkEnd w:id="38"/>
    <w:bookmarkStart w:id="39" w:name="use-phase-scope-3-category-11"/>
    <w:p>
      <w:pPr>
        <w:pStyle w:val="Heading3"/>
      </w:pPr>
      <w:r>
        <w:t xml:space="preserve">3.4. Use Phase (Scope 3, Category 11)</w:t>
      </w:r>
    </w:p>
    <w:p>
      <w:pPr>
        <w:pStyle w:val="FirstParagraph"/>
      </w:pPr>
      <w:r>
        <w:t xml:space="preserve">Emissions from the energy consumed by the product during its expected lifespan of 7 years. Assuming product is used in Europe (Supply Chain Focus: Europe Focused).</w:t>
      </w:r>
    </w:p>
    <w:p>
      <w:pPr>
        <w:numPr>
          <w:ilvl w:val="0"/>
          <w:numId w:val="1013"/>
        </w:numPr>
        <w:pStyle w:val="Compact"/>
      </w:pPr>
      <w:r>
        <w:rPr>
          <w:bCs/>
          <w:b/>
        </w:rPr>
        <w:t xml:space="preserve">Energy Consumption in Use:</w:t>
      </w:r>
      <w:r>
        <w:t xml:space="preserve"> </w:t>
      </w:r>
      <w:r>
        <w:t xml:space="preserve">50 kWh/year</w:t>
      </w:r>
    </w:p>
    <w:p>
      <w:pPr>
        <w:numPr>
          <w:ilvl w:val="0"/>
          <w:numId w:val="1013"/>
        </w:numPr>
        <w:pStyle w:val="Compact"/>
      </w:pPr>
      <w:r>
        <w:rPr>
          <w:bCs/>
          <w:b/>
        </w:rPr>
        <w:t xml:space="preserve">Product Lifespan:</w:t>
      </w:r>
      <w:r>
        <w:t xml:space="preserve"> </w:t>
      </w:r>
      <w:r>
        <w:t xml:space="preserve">7 years</w:t>
      </w:r>
    </w:p>
    <w:p>
      <w:pPr>
        <w:numPr>
          <w:ilvl w:val="0"/>
          <w:numId w:val="1013"/>
        </w:numPr>
        <w:pStyle w:val="Compact"/>
      </w:pPr>
      <w:r>
        <w:rPr>
          <w:bCs/>
          <w:b/>
        </w:rPr>
        <w:t xml:space="preserve">Total Use Phase Energy:</w:t>
      </w:r>
      <w:r>
        <w:t xml:space="preserve"> </w:t>
      </w:r>
      <w:r>
        <w:t xml:space="preserve">50 kWh/year * 7 years = 350 kWh</w:t>
      </w:r>
    </w:p>
    <w:p>
      <w:pPr>
        <w:numPr>
          <w:ilvl w:val="0"/>
          <w:numId w:val="1013"/>
        </w:numPr>
        <w:pStyle w:val="Compact"/>
      </w:pPr>
      <w:r>
        <w:rPr>
          <w:bCs/>
          <w:b/>
        </w:rPr>
        <w:t xml:space="preserve">European Average Grid Electricity Emission Factor:</w:t>
      </w:r>
      <w:r>
        <w:t xml:space="preserve"> </w:t>
      </w:r>
      <w:r>
        <w:t xml:space="preserve">0.276 kgCO2e/kWh (Illustrative average for Europe, highly variable by country).</w:t>
      </w:r>
    </w:p>
    <w:p>
      <w:pPr>
        <w:numPr>
          <w:ilvl w:val="0"/>
          <w:numId w:val="1013"/>
        </w:numPr>
        <w:pStyle w:val="Compact"/>
      </w:pPr>
      <w:r>
        <w:rPr>
          <w:bCs/>
          <w:b/>
        </w:rPr>
        <w:t xml:space="preserve">Total Use Phase Emissions:</w:t>
      </w:r>
      <w:r>
        <w:t xml:space="preserve"> </w:t>
      </w:r>
      <w:r>
        <w:t xml:space="preserve">350 kWh * 0.276 kgCO2e/kWh = 96.60 kgCO2e</w:t>
      </w:r>
    </w:p>
    <w:bookmarkEnd w:id="39"/>
    <w:bookmarkStart w:id="40" w:name="Xd8b0cc1007d2f3c714880ecf2ca12af4f909441"/>
    <w:p>
      <w:pPr>
        <w:pStyle w:val="Heading3"/>
      </w:pPr>
      <w:r>
        <w:t xml:space="preserve">3.5. End-of-Life (EoL) Treatment (Scope 3, Category 12)</w:t>
      </w:r>
    </w:p>
    <w:p>
      <w:pPr>
        <w:pStyle w:val="FirstParagraph"/>
      </w:pPr>
      <w:r>
        <w:t xml:space="preserve">Emissions and potential credits associated with the disposal and recycling of the product\'s components. Total product mass (excluding circuit board unit) = 0.75 kg (0.00075 tonnes).</w:t>
      </w:r>
    </w:p>
    <w:p>
      <w:pPr>
        <w:numPr>
          <w:ilvl w:val="0"/>
          <w:numId w:val="1014"/>
        </w:numPr>
        <w:pStyle w:val="Compact"/>
      </w:pPr>
      <w:r>
        <w:rPr>
          <w:bCs/>
          <w:b/>
        </w:rPr>
        <w:t xml:space="preserve">Recyclability Percentage:</w:t>
      </w:r>
      <w:r>
        <w:t xml:space="preserve"> </w:t>
      </w:r>
      <w:r>
        <w:t xml:space="preserve">85%</w:t>
      </w:r>
    </w:p>
    <w:p>
      <w:pPr>
        <w:numPr>
          <w:ilvl w:val="0"/>
          <w:numId w:val="1014"/>
        </w:numPr>
        <w:pStyle w:val="Compact"/>
      </w:pPr>
      <w:r>
        <w:rPr>
          <w:bCs/>
          <w:b/>
        </w:rPr>
        <w:t xml:space="preserve">Non-Recyclable Waste:</w:t>
      </w:r>
      <w:r>
        <w:t xml:space="preserve"> </w:t>
      </w:r>
      <w:r>
        <w:t xml:space="preserve">0.75 kg * (1 - 0.85) = 0.1125 kg</w:t>
      </w:r>
    </w:p>
    <w:p>
      <w:pPr>
        <w:numPr>
          <w:ilvl w:val="0"/>
          <w:numId w:val="1014"/>
        </w:numPr>
        <w:pStyle w:val="Compact"/>
      </w:pPr>
      <w:r>
        <w:rPr>
          <w:bCs/>
          <w:b/>
        </w:rPr>
        <w:t xml:space="preserve">Waste Treatment (Landfill) Emission Factor:</w:t>
      </w:r>
      <w:r>
        <w:t xml:space="preserve"> </w:t>
      </w:r>
      <w:r>
        <w:t xml:space="preserve">0.5 kgCO2e/kg (illustrative)</w:t>
      </w:r>
    </w:p>
    <w:p>
      <w:pPr>
        <w:numPr>
          <w:ilvl w:val="0"/>
          <w:numId w:val="1014"/>
        </w:numPr>
        <w:pStyle w:val="Compact"/>
      </w:pPr>
      <w:r>
        <w:rPr>
          <w:bCs/>
          <w:b/>
        </w:rPr>
        <w:t xml:space="preserve">Emissions from Landfill:</w:t>
      </w:r>
      <w:r>
        <w:t xml:space="preserve"> </w:t>
      </w:r>
      <w:r>
        <w:t xml:space="preserve">0.1125 kg * 0.5 kgCO2e/kg = 0.05625 kgCO2e</w:t>
      </w:r>
    </w:p>
    <w:p>
      <w:pPr>
        <w:numPr>
          <w:ilvl w:val="0"/>
          <w:numId w:val="1014"/>
        </w:numPr>
        <w:pStyle w:val="Compact"/>
      </w:pPr>
      <w:r>
        <w:rPr>
          <w:bCs/>
          <w:b/>
        </w:rPr>
        <w:t xml:space="preserve">Recyclable Material:</w:t>
      </w:r>
      <w:r>
        <w:t xml:space="preserve"> </w:t>
      </w:r>
      <w:r>
        <w:t xml:space="preserve">0.75 kg * 0.85 = 0.6375 kg</w:t>
      </w:r>
    </w:p>
    <w:p>
      <w:pPr>
        <w:numPr>
          <w:ilvl w:val="0"/>
          <w:numId w:val="1014"/>
        </w:numPr>
        <w:pStyle w:val="Compact"/>
      </w:pPr>
      <w:r>
        <w:rPr>
          <w:bCs/>
          <w:b/>
        </w:rPr>
        <w:t xml:space="preserve">Circular/Take-back Programs:</w:t>
      </w:r>
      <w:r>
        <w:t xml:space="preserve"> </w:t>
      </w:r>
      <w:r>
        <w:t xml:space="preserve">Yes, with 40% return rate for key components. This enhances the quality and efficiency of recycling, leading to higher avoided emissions.</w:t>
      </w:r>
    </w:p>
    <w:p>
      <w:pPr>
        <w:numPr>
          <w:ilvl w:val="0"/>
          <w:numId w:val="1014"/>
        </w:numPr>
        <w:pStyle w:val="Compact"/>
      </w:pPr>
      <w:r>
        <w:rPr>
          <w:bCs/>
          <w:b/>
        </w:rPr>
        <w:t xml:space="preserve">Recycling Benefit (Average for Mixed Materials, considering high return rate):</w:t>
      </w:r>
      <w:r>
        <w:t xml:space="preserve"> </w:t>
      </w:r>
      <w:r>
        <w:t xml:space="preserve">Applying a weighted average of -9.0 kgCO2e/kg for aluminum and -1.5 kgCO2e/kg for plastic, considering their respective mass contributions in the recyclable portion. For simplicity, we use an average benefit factor. Given the illustrative nature, we will use an average credit of -5.0 kgCO2e/kg for the 85% recycled portion.</w:t>
      </w:r>
    </w:p>
    <w:p>
      <w:pPr>
        <w:numPr>
          <w:ilvl w:val="0"/>
          <w:numId w:val="1014"/>
        </w:numPr>
        <w:pStyle w:val="Compact"/>
      </w:pPr>
      <w:r>
        <w:rPr>
          <w:bCs/>
          <w:b/>
        </w:rPr>
        <w:t xml:space="preserve">Recycling Credit:</w:t>
      </w:r>
      <w:r>
        <w:t xml:space="preserve"> </w:t>
      </w:r>
      <w:r>
        <w:t xml:space="preserve">0.6375 kg * (-5.0 kgCO2e/kg) = -3.1875 kgCO2e</w:t>
      </w:r>
    </w:p>
    <w:p>
      <w:pPr>
        <w:numPr>
          <w:ilvl w:val="0"/>
          <w:numId w:val="1014"/>
        </w:numPr>
        <w:pStyle w:val="Compact"/>
      </w:pPr>
      <w:r>
        <w:rPr>
          <w:bCs/>
          <w:b/>
        </w:rPr>
        <w:t xml:space="preserve">Total EoL Emissions:</w:t>
      </w:r>
      <w:r>
        <w:t xml:space="preserve"> </w:t>
      </w:r>
      <w:r>
        <w:t xml:space="preserve">0.05625 kgCO2e - 3.1875 kgCO2e = -3.13125 kgCO2e (Net credit)</w:t>
      </w:r>
    </w:p>
    <w:bookmarkEnd w:id="40"/>
    <w:bookmarkStart w:id="41" w:name="summary-of-ghg-emissions-by-scope"/>
    <w:p>
      <w:pPr>
        <w:pStyle w:val="Heading3"/>
      </w:pPr>
      <w:r>
        <w:t xml:space="preserve">3.6. Summary of GHG Emissions by Scope</w:t>
      </w:r>
    </w:p>
    <w:p>
      <w:pPr>
        <w:pStyle w:val="FirstParagraph"/>
      </w:pPr>
      <w:r>
        <w:t xml:space="preserve">This section consolidates the calculated emissions per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GHG Category (GHG Protocol Product Standard equivalent)</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from Owned/Controlled Sources (e.g., direct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Purchased Electricity (Production)</w:t>
            </w:r>
          </w:p>
        </w:tc>
        <w:tc>
          <w:tcPr/>
          <w:p>
            <w:pPr>
              <w:pStyle w:val="Compact"/>
              <w:jc w:val="left"/>
            </w:pPr>
            <w:r>
              <w:t xml:space="preserve">6.00</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pPr>
          </w:p>
        </w:tc>
        <w:tc>
          <w:tcPr/>
          <w:p>
            <w:pPr>
              <w:pStyle w:val="Compact"/>
              <w:jc w:val="left"/>
            </w:pPr>
            <w:r>
              <w:t xml:space="preserve">Category 1: Purchased Goods and Services (Materials)</w:t>
            </w:r>
          </w:p>
        </w:tc>
        <w:tc>
          <w:tcPr/>
          <w:p>
            <w:pPr>
              <w:pStyle w:val="Compact"/>
              <w:jc w:val="left"/>
            </w:pPr>
            <w:r>
              <w:t xml:space="preserve">20.00</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0.153</w:t>
            </w:r>
          </w:p>
        </w:tc>
      </w:tr>
      <w:tr>
        <w:tc>
          <w:tcPr/>
          <w:p>
            <w:pPr>
              <w:pStyle w:val="Compact"/>
            </w:pPr>
          </w:p>
        </w:tc>
        <w:tc>
          <w:tcPr/>
          <w:p>
            <w:pPr>
              <w:pStyle w:val="Compact"/>
              <w:jc w:val="left"/>
            </w:pPr>
            <w:r>
              <w:t xml:space="preserve">Category 9: Downstream Transportation and Distribution</w:t>
            </w:r>
          </w:p>
        </w:tc>
        <w:tc>
          <w:tcPr/>
          <w:p>
            <w:pPr>
              <w:pStyle w:val="Compact"/>
              <w:jc w:val="left"/>
            </w:pPr>
            <w:r>
              <w:t xml:space="preserve">0.170</w:t>
            </w:r>
          </w:p>
        </w:tc>
      </w:tr>
      <w:tr>
        <w:tc>
          <w:tcPr/>
          <w:p>
            <w:pPr>
              <w:pStyle w:val="Compact"/>
            </w:pPr>
          </w:p>
        </w:tc>
        <w:tc>
          <w:tcPr/>
          <w:p>
            <w:pPr>
              <w:pStyle w:val="Compact"/>
              <w:jc w:val="left"/>
            </w:pPr>
            <w:r>
              <w:t xml:space="preserve">Category 11: Use of Sold Products</w:t>
            </w:r>
          </w:p>
        </w:tc>
        <w:tc>
          <w:tcPr/>
          <w:p>
            <w:pPr>
              <w:pStyle w:val="Compact"/>
              <w:jc w:val="left"/>
            </w:pPr>
            <w:r>
              <w:t xml:space="preserve">96.60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-3.13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129.79 kgCO2e</w:t>
            </w:r>
          </w:p>
        </w:tc>
      </w:tr>
    </w:tbl>
    <w:bookmarkEnd w:id="41"/>
    <w:bookmarkStart w:id="42" w:name="lsr-update-scope-3-compliance"/>
    <w:p>
      <w:pPr>
        <w:pStyle w:val="Heading3"/>
      </w:pPr>
      <w:r>
        <w:t xml:space="preserve">3.7. 2026 LSR Update &amp; Scope 3 Compliance</w:t>
      </w:r>
    </w:p>
    <w:p>
      <w:pPr>
        <w:pStyle w:val="FirstParagraph"/>
      </w:pPr>
      <w:r>
        <w:t xml:space="preserve">The GHG Protocol\'s Land Sector and Removals (LSR) Standard was released on January 30, 2026, and is set to take effect on January 1, 2027. This standard provides requirements for accounting for emissions and carbon removals from agricultural and land use activities. As the accompanying guidance is expected in Q2 2026, and given that the primary materials for wjqwixeeeo (metals, plastics, electronics) are not directly from land-intensive sectors or explicitly associated with carbon removal technologies, the direct quantifiable impact of the LSR standard on this specific PCF is limited at this time. However, adherence to its principles for identifying any embedded land-use change or biogenic carbon impacts in the supply chain would be paramount for future updates, especially if bio-based materials or processes with land-use implications are introduced.</w:t>
      </w:r>
    </w:p>
    <w:p>
      <w:pPr>
        <w:pStyle w:val="BodyText"/>
      </w:pPr>
      <w:r>
        <w:t xml:space="preserve">This report has ensured comprehensive coverage of Scope 3 emissions categories relevant to the product\'s lifecycle, including purchased goods and services, transportation, use phase, and end-of-life treatment. The aim is to achieve at least 95% coverage for Scope 3 reporting, aligning with the 2026 requirements, by including all material categories explicitly provided and estimated where data placeholders were given.</w:t>
      </w:r>
    </w:p>
    <w:p>
      <w:r>
        <w:pict>
          <v:rect style="width:0;height:1.5pt" o:hralign="center" o:hrstd="t" o:hr="t"/>
        </w:pict>
      </w:r>
    </w:p>
    <w:bookmarkEnd w:id="42"/>
    <w:bookmarkEnd w:id="43"/>
    <w:bookmarkStart w:id="46" w:name="review-reporting"/>
    <w:p>
      <w:pPr>
        <w:pStyle w:val="Heading2"/>
      </w:pPr>
      <w:r>
        <w:t xml:space="preserve">4. Review &amp; Reporting</w:t>
      </w:r>
    </w:p>
    <w:bookmarkStart w:id="44" w:name="hotspot-analysis"/>
    <w:p>
      <w:pPr>
        <w:pStyle w:val="Heading3"/>
      </w:pPr>
      <w:r>
        <w:t xml:space="preserve">4.1. Hotspot Analysis</w:t>
      </w:r>
    </w:p>
    <w:p>
      <w:pPr>
        <w:pStyle w:val="FirstParagraph"/>
      </w:pPr>
      <w:r>
        <w:t xml:space="preserve">Based on this analysis, the primary emission hotspots for wjqwixeeeo are:</w:t>
      </w:r>
    </w:p>
    <w:p>
      <w:pPr>
        <w:numPr>
          <w:ilvl w:val="0"/>
          <w:numId w:val="1015"/>
        </w:numPr>
        <w:pStyle w:val="Compact"/>
      </w:pPr>
      <w:r>
        <w:rPr>
          <w:bCs/>
          <w:b/>
        </w:rPr>
        <w:t xml:space="preserve">Use Phase (96.60 kgCO2e):</w:t>
      </w:r>
      <w:r>
        <w:t xml:space="preserve"> </w:t>
      </w:r>
      <w:r>
        <w:t xml:space="preserve">The energy consumption during the product\'s 7-year lifespan accounts for the largest share of its carbon footprint. This highlights the importance of energy efficiency during product design and influencing user behavior or providing renewable energy solutions.</w:t>
      </w:r>
    </w:p>
    <w:p>
      <w:pPr>
        <w:numPr>
          <w:ilvl w:val="0"/>
          <w:numId w:val="1015"/>
        </w:numPr>
        <w:pStyle w:val="Compact"/>
      </w:pPr>
      <w:r>
        <w:rPr>
          <w:bCs/>
          <w:b/>
        </w:rPr>
        <w:t xml:space="preserve">Raw Material Acquisition (20.00 kgCO2e):</w:t>
      </w:r>
      <w:r>
        <w:t xml:space="preserve"> </w:t>
      </w:r>
      <w:r>
        <w:t xml:space="preserve">The embodied emissions in the purchased materials, particularly the "Circuit Board" and "Aluminum Frame," contribute significantly. Strategies should focus on sourcing lower-carbon materials, increasing recycled content, and engaging with suppliers on their decarbonization efforts.</w:t>
      </w:r>
    </w:p>
    <w:p>
      <w:pPr>
        <w:numPr>
          <w:ilvl w:val="0"/>
          <w:numId w:val="1015"/>
        </w:numPr>
        <w:pStyle w:val="Compact"/>
      </w:pPr>
      <w:r>
        <w:rPr>
          <w:bCs/>
          <w:b/>
        </w:rPr>
        <w:t xml:space="preserve">Manufacturing/Production (Scope 2 - 6.00 kgCO2e):</w:t>
      </w:r>
      <w:r>
        <w:t xml:space="preserve"> </w:t>
      </w:r>
      <w:r>
        <w:t xml:space="preserve">While lower than the use phase, the electricity consumed during production remains a notable contributor. Increasing the percentage of renewable energy used in manufacturing operations (beyond the assumed 60%) would further reduce this impact.</w:t>
      </w:r>
    </w:p>
    <w:p>
      <w:pPr>
        <w:numPr>
          <w:ilvl w:val="0"/>
          <w:numId w:val="1015"/>
        </w:numPr>
        <w:pStyle w:val="Compact"/>
      </w:pPr>
      <w:r>
        <w:rPr>
          <w:bCs/>
          <w:b/>
        </w:rPr>
        <w:t xml:space="preserve">End-of-Life (-3.13 kgCO2e):</w:t>
      </w:r>
      <w:r>
        <w:t xml:space="preserve"> </w:t>
      </w:r>
      <w:r>
        <w:t xml:space="preserve">A net credit is achieved due to the high recyclability and the existence of circular programs, demonstrating the positive impact of circular economy initiatives. Further optimization of collection and recycling infrastructure could enhance this credit.</w:t>
      </w:r>
    </w:p>
    <w:bookmarkEnd w:id="44"/>
    <w:bookmarkStart w:id="45" w:name="reliability-and-limitations"/>
    <w:p>
      <w:pPr>
        <w:pStyle w:val="Heading3"/>
      </w:pPr>
      <w:r>
        <w:t xml:space="preserve">4.2. Reliability and Limitations</w:t>
      </w:r>
    </w:p>
    <w:p>
      <w:pPr>
        <w:pStyle w:val="FirstParagraph"/>
      </w:pPr>
      <w:r>
        <w:t xml:space="preserve">The reliability of this PCF analysis is contingent upon the accuracy of the underlying data. As illustrative data and industry averages were used for several parameters (e.g., specific BOM emission factors, transport distances, energy consumption, and end-of-life scenarios), the results provide a strong indicative footprint but should be refined with primary, product-specific data for higher precision. Emission factors from reputable databases (like Ecoinvent or DEFRA, or country-specific grid mixes) have been referenced where possible, but specific values were illustrative due to placeholder input. Future analyses should prioritize gathering primary data directly from suppliers and operations.</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wjqwixeeeo</dc:title>
  <dc:creator/>
  <dc:description>High-detail Product Carbon Footprint (PCF) analysis for product wjqwixeeeo, following GHG Protocol standards and incorporating specific company, material, energy, and logistics data for pktygeuxxp by Senior Sustainability Consultant vlvxxqmgdm.</dc:description>
  <dc:language>en</dc:language>
  <cp:keywords/>
  <dcterms:created xsi:type="dcterms:W3CDTF">2026-05-30T11:30:42Z</dcterms:created>
  <dcterms:modified xsi:type="dcterms:W3CDTF">2026-05-30T11:30:42Z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