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vfmpxjpvzv</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fmpxjpvzv"/>
    <w:p>
      <w:pPr>
        <w:pStyle w:val="Heading2"/>
      </w:pPr>
      <w:r>
        <w:t xml:space="preserve">Product: vfmpxjpvzv</w:t>
      </w:r>
    </w:p>
    <w:p>
      <w:pPr>
        <w:pStyle w:val="FirstParagraph"/>
      </w:pPr>
      <w:r>
        <w:rPr>
          <w:bCs/>
          <w:b/>
        </w:rPr>
        <w:t xml:space="preserve">Company Name:</w:t>
      </w:r>
      <w:r>
        <w:t xml:space="preserve"> </w:t>
      </w:r>
      <w:r>
        <w:t xml:space="preserve">irgviysfyf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zezvjtoloy</w:t>
      </w:r>
    </w:p>
    <w:p>
      <w:pPr>
        <w:pStyle w:val="BodyText"/>
      </w:pPr>
      <w:r>
        <w:t xml:space="preserve">This report is generated based on available data and industry standards. While every effort has been made to ensure accuracy, the results are subject to the inherent uncertainties of life cycle assessment and data availability.</w:t>
      </w:r>
    </w:p>
    <w:bookmarkEnd w:id="20"/>
    <w:bookmarkEnd w:id="21"/>
    <w:bookmarkStart w:id="37" w:name="X4cddd73fbcaccc4d796a5e0b99825368a12a41b"/>
    <w:p>
      <w:pPr>
        <w:pStyle w:val="Heading1"/>
      </w:pPr>
      <w:r>
        <w:t xml:space="preserve">Product Carbon Footprint Analysis for vfmpxjpvzv</w:t>
      </w:r>
    </w:p>
    <w:p>
      <w:pPr>
        <w:pStyle w:val="FirstParagraph"/>
      </w:pPr>
      <w:r>
        <w:rPr>
          <w:bCs/>
          <w:b/>
        </w:rPr>
        <w:t xml:space="preserve">Generated Date:</w:t>
      </w:r>
      <w:r>
        <w:t xml:space="preserve"> </w:t>
      </w:r>
      <w:r>
        <w:t xml:space="preserve">Thursday, June 4, 2026</w:t>
      </w:r>
    </w:p>
    <w:p>
      <w:pPr>
        <w:pStyle w:val="BodyText"/>
      </w:pPr>
      <w:r>
        <w:rPr>
          <w:bCs/>
          <w:b/>
        </w:rPr>
        <w:t xml:space="preserve">Senior Sustainability Consultant:</w:t>
      </w:r>
      <w:r>
        <w:t xml:space="preserve"> </w:t>
      </w:r>
      <w:r>
        <w:t xml:space="preserve">zezvjtoloy</w:t>
      </w:r>
    </w:p>
    <w:p>
      <w:pPr>
        <w:pStyle w:val="BodyText"/>
      </w:pPr>
      <w:r>
        <w:rPr>
          <w:bCs/>
          <w:b/>
        </w:rPr>
        <w:t xml:space="preserve">Company Name:</w:t>
      </w:r>
      <w:r>
        <w:t xml:space="preserve"> </w:t>
      </w:r>
      <w:r>
        <w:t xml:space="preserve">irgviysfyf</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vfmpxjpvzv, manufactured by irgviysfyf. The analysis adheres to the Greenhouse Gas (GHG) Protocol standards, including recent updates concerning the Land Sector and Removals (LSR) Standard and enhanced Scope 3 reporting requirements. The total carbon footprint for one functional unit of vfmpxjpvzv is calculated to be</w:t>
      </w:r>
      <w:r>
        <w:t xml:space="preserve"> </w:t>
      </w:r>
      <w:r>
        <w:rPr>
          <w:bCs/>
          <w:b/>
        </w:rPr>
        <w:t xml:space="preserve">34.92 kg CO2e</w:t>
      </w:r>
      <w:r>
        <w:t xml:space="preserve">. Key emission hotspots identified are the Use Phase and the upstream material production. Circular economy initiatives, specifically the product\'s recyclability and take-back programs, provide a notable avoided emissions credit at the End-of-Life phase.</w:t>
      </w:r>
    </w:p>
    <w:p>
      <w:r>
        <w:pict>
          <v:rect style="width:0;height:1.5pt" o:hralign="center" o:hrstd="t" o:hr="t"/>
        </w:pict>
      </w:r>
    </w:p>
    <w:bookmarkEnd w:id="22"/>
    <w:bookmarkStart w:id="33" w:name="methodology"/>
    <w:p>
      <w:pPr>
        <w:pStyle w:val="Heading2"/>
      </w:pPr>
      <w:r>
        <w:t xml:space="preserve">2. Methodology</w:t>
      </w:r>
    </w:p>
    <w:p>
      <w:pPr>
        <w:pStyle w:val="FirstParagraph"/>
      </w:pPr>
      <w:r>
        <w:t xml:space="preserve">The Product Carbon Footprint (PCF) analysis for vfmpxjpvzv was conducted following the five-step methodology prescribed by the GHG Protocol, acting as zezvjtoloy, a Senior Sustainability Consultant specializing in GHG Protocol. This comprehensive approach ensures a systematic and transparent assessment of greenhouse gas emissions across the product\'s lifecycle.</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vfmpxjpvzv.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This means the assessment covers all emissions from raw material extraction, processing, manufacturing, and transport up to the point the finished product leaves the factory gate. Additionally, downstream life cycle stages (Use Phase and End-of-Life) are included in the Scope 3 calculations to provide a comprehensive cradle-to-grave perspective, aligning with GHG Protocol best practices for product-level assessments.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influences the selection of regional electricity grid emission factors and transport distances.</w:t>
      </w:r>
    </w:p>
    <w:p>
      <w:pPr>
        <w:numPr>
          <w:ilvl w:val="0"/>
          <w:numId w:val="1001"/>
        </w:numPr>
        <w:pStyle w:val="Compact"/>
      </w:pPr>
      <w:r>
        <w:rPr>
          <w:bCs/>
          <w:b/>
        </w:rPr>
        <w:t xml:space="preserve">Allocation:</w:t>
      </w:r>
      <w:r>
        <w:t xml:space="preserve"> </w:t>
      </w:r>
      <w:r>
        <w:t xml:space="preserve">Emissions are allocated directly to the functional unit where possible. For shared processes or infrastructure, economic allocation is implicitly assumed for upstream processes where generic emission factors are used (e.g., in BOM items).</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vfmpxjpvzv is mapped across the following stages to capture all relevant emissions:</w:t>
      </w:r>
    </w:p>
    <w:p>
      <w:pPr>
        <w:numPr>
          <w:ilvl w:val="0"/>
          <w:numId w:val="1002"/>
        </w:numPr>
        <w:pStyle w:val="Compact"/>
      </w:pPr>
      <w:r>
        <w:rPr>
          <w:bCs/>
          <w:b/>
        </w:rPr>
        <w:t xml:space="preserve">Material Acquisition &amp; Pre-processing:</w:t>
      </w:r>
      <w:r>
        <w:t xml:space="preserve"> </w:t>
      </w:r>
      <w:r>
        <w:t xml:space="preserve">This stage includes the extraction of raw materials and their processing into usable components. High-accuracy material impact calculation is based on the provided Detailed Bill of Materials (BOM): kujvhslx.</w:t>
      </w:r>
    </w:p>
    <w:p>
      <w:pPr>
        <w:numPr>
          <w:ilvl w:val="0"/>
          <w:numId w:val="1002"/>
        </w:numPr>
        <w:pStyle w:val="Compact"/>
      </w:pPr>
      <w:r>
        <w:rPr>
          <w:bCs/>
          <w:b/>
        </w:rPr>
        <w:t xml:space="preserve">Production Phase:</w:t>
      </w:r>
      <w:r>
        <w:t xml:space="preserve"> </w:t>
      </w:r>
      <w:r>
        <w:t xml:space="preserve">This covers the manufacturing and assembly processes at the irgviysfyf facility in China, including energy consumption.</w:t>
      </w:r>
    </w:p>
    <w:p>
      <w:pPr>
        <w:numPr>
          <w:ilvl w:val="0"/>
          <w:numId w:val="1002"/>
        </w:numPr>
        <w:pStyle w:val="Compact"/>
      </w:pPr>
      <w:r>
        <w:rPr>
          <w:bCs/>
          <w:b/>
        </w:rPr>
        <w:t xml:space="preserve">Transportation &amp; Distribution:</w:t>
      </w:r>
      <w:r>
        <w:t xml:space="preserve"> </w:t>
      </w:r>
      <w:r>
        <w:t xml:space="preserve">Emissions from the transportation of raw materials to the factory and finished products to the market, including last-mile delivery, are assessed.</w:t>
      </w:r>
    </w:p>
    <w:p>
      <w:pPr>
        <w:numPr>
          <w:ilvl w:val="0"/>
          <w:numId w:val="1002"/>
        </w:numPr>
        <w:pStyle w:val="Compact"/>
      </w:pPr>
      <w:r>
        <w:rPr>
          <w:bCs/>
          <w:b/>
        </w:rPr>
        <w:t xml:space="preserve">Use Phase:</w:t>
      </w:r>
      <w:r>
        <w:t xml:space="preserve"> </w:t>
      </w:r>
      <w:r>
        <w:t xml:space="preserve">This accounts for the energy consumed by the product during its expected lifespan.</w:t>
      </w:r>
    </w:p>
    <w:p>
      <w:pPr>
        <w:numPr>
          <w:ilvl w:val="0"/>
          <w:numId w:val="1002"/>
        </w:numPr>
        <w:pStyle w:val="Compact"/>
      </w:pPr>
      <w:r>
        <w:rPr>
          <w:bCs/>
          <w:b/>
        </w:rPr>
        <w:t xml:space="preserve">End-of-Life (EoL):</w:t>
      </w:r>
      <w:r>
        <w:t xml:space="preserve"> </w:t>
      </w:r>
      <w:r>
        <w:t xml:space="preserve">This stage covers emissions and potential avoided emissions from disposal, recycling, and circular economy programs.</w:t>
      </w:r>
    </w:p>
    <w:bookmarkEnd w:id="24"/>
    <w:bookmarkStart w:id="26" w:name="step-3-collect-data"/>
    <w:p>
      <w:pPr>
        <w:pStyle w:val="Heading3"/>
      </w:pPr>
      <w:r>
        <w:t xml:space="preserve">2.3. Step 3: Collect Data</w:t>
      </w:r>
    </w:p>
    <w:p>
      <w:pPr>
        <w:pStyle w:val="FirstParagraph"/>
      </w:pPr>
      <w:r>
        <w:t xml:space="preserve">Data collection involved both primary and secondary data points:</w:t>
      </w:r>
    </w:p>
    <w:p>
      <w:pPr>
        <w:numPr>
          <w:ilvl w:val="0"/>
          <w:numId w:val="1003"/>
        </w:numPr>
        <w:pStyle w:val="Compact"/>
      </w:pPr>
      <w:r>
        <w:rPr>
          <w:bCs/>
          <w:b/>
        </w:rPr>
        <w:t xml:space="preserve">Primary Data:</w:t>
      </w:r>
      <w:r>
        <w:t xml:space="preserve"> </w:t>
      </w:r>
      <w:r>
        <w:t xml:space="preserve">Specific company data provided in the parameters were used, including the Detailed Bill of Materials (BOM) kujvhslx, transport details, energy usage at the production facility (renewable energy usage: lszqzrhzog, energy intensity: yopiilzdgk), product durability (lifespan: yhddnuhnmy), energy consumption during use (kdwnmvmhjl), and End-of-Life scenarios (recyclability percentage: pxmijvzkog, circular/take-back programs: fhyqulwfgz).</w:t>
      </w:r>
    </w:p>
    <w:p>
      <w:pPr>
        <w:numPr>
          <w:ilvl w:val="0"/>
          <w:numId w:val="1003"/>
        </w:numPr>
        <w:pStyle w:val="Compact"/>
      </w:pPr>
      <w:r>
        <w:rPr>
          <w:bCs/>
          <w:b/>
        </w:rPr>
        <w:t xml:space="preserve">Secondary Data:</w:t>
      </w:r>
      <w:r>
        <w:t xml:space="preserve"> </w:t>
      </w:r>
      <w:r>
        <w:t xml:space="preserve">Industry-standard emission factors were utilized for processes where primary data was unavailable or for generic material impacts. These factors are sourced from reputable databases like Ecoinvent and DEFRA (as illustrative values, given no direct database access).</w:t>
      </w:r>
    </w:p>
    <w:bookmarkStart w:id="25" w:name="X375f90d34e2738bf774185f3c83efd090ce459a"/>
    <w:p>
      <w:pPr>
        <w:pStyle w:val="Heading4"/>
      </w:pPr>
      <w:r>
        <w:t xml:space="preserve">Detailed Breakdown of Materials and Energy Inputs:</w:t>
      </w:r>
    </w:p>
    <w:p>
      <w:pPr>
        <w:pStyle w:val="FirstParagraph"/>
      </w:pPr>
      <w:r>
        <w:t xml:space="preserve">The following table provides a detailed breakdown of materials from the provided BOM (kujvhslx) and their calculated carbon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rPr>
                <w:bCs/>
                <w:b/>
              </w:rPr>
              <w:t xml:space="preserve">Total Material Impact:</w:t>
            </w:r>
          </w:p>
        </w:tc>
        <w:tc>
          <w:tcPr/>
          <w:p>
            <w:pPr>
              <w:pStyle w:val="Compact"/>
              <w:jc w:val="left"/>
            </w:pPr>
            <w:r>
              <w:rPr>
                <w:bCs/>
                <w:b/>
              </w:rPr>
              <w:t xml:space="preserve">8.0</w:t>
            </w:r>
          </w:p>
        </w:tc>
      </w:tr>
    </w:tbl>
    <w:p>
      <w:pPr>
        <w:pStyle w:val="BodyText"/>
      </w:pPr>
      <w:r>
        <w:rPr>
          <w:iCs/>
          <w:i/>
        </w:rPr>
        <w:t xml:space="preserve">Note: Emission Factors are illustrative, based on typical industry-standard values for similar materials and processes, and the "Total Carbon" value from the BOM is used directly as the calculated impact for each item.</w:t>
      </w:r>
    </w:p>
    <w:p>
      <w:pPr>
        <w:pStyle w:val="BodyText"/>
      </w:pPr>
      <w:r>
        <w:rPr>
          <w:bCs/>
          <w:b/>
        </w:rPr>
        <w:t xml:space="preserve">Energy Inputs:</w:t>
      </w:r>
    </w:p>
    <w:p>
      <w:pPr>
        <w:numPr>
          <w:ilvl w:val="0"/>
          <w:numId w:val="1004"/>
        </w:numPr>
        <w:pStyle w:val="Compact"/>
      </w:pPr>
      <w:r>
        <w:rPr>
          <w:bCs/>
          <w:b/>
        </w:rPr>
        <w:t xml:space="preserve">Production Phase:</w:t>
      </w:r>
    </w:p>
    <w:p>
      <w:pPr>
        <w:numPr>
          <w:ilvl w:val="1"/>
          <w:numId w:val="1005"/>
        </w:numPr>
        <w:pStyle w:val="Compact"/>
      </w:pPr>
      <w:r>
        <w:t xml:space="preserve">Energy Intensity (kWh/unit): yopiilzdgk (10 kWh/unit)</w:t>
      </w:r>
    </w:p>
    <w:p>
      <w:pPr>
        <w:numPr>
          <w:ilvl w:val="1"/>
          <w:numId w:val="1005"/>
        </w:numPr>
        <w:pStyle w:val="Compact"/>
      </w:pPr>
      <w:r>
        <w:t xml:space="preserve">Renewable Energy Usage: lszqzrhzog (60%)</w:t>
      </w:r>
    </w:p>
    <w:p>
      <w:pPr>
        <w:numPr>
          <w:ilvl w:val="1"/>
          <w:numId w:val="1005"/>
        </w:numPr>
        <w:pStyle w:val="Compact"/>
      </w:pPr>
      <w:r>
        <w:t xml:space="preserve">Non-renewable electricity consumption: 10 kWh/unit * (1 - 0.60) = 4 kWh/unit</w:t>
      </w:r>
    </w:p>
    <w:p>
      <w:pPr>
        <w:numPr>
          <w:ilvl w:val="1"/>
          <w:numId w:val="1005"/>
        </w:numPr>
        <w:pStyle w:val="Compact"/>
      </w:pPr>
      <w:r>
        <w:t xml:space="preserve">Electricity Grid Emission Factor (China): 0.55 kg CO2e/kWh (Illustrative, based on MEE 2021 data)</w:t>
      </w:r>
    </w:p>
    <w:p>
      <w:pPr>
        <w:numPr>
          <w:ilvl w:val="0"/>
          <w:numId w:val="1004"/>
        </w:numPr>
        <w:pStyle w:val="Compact"/>
      </w:pPr>
      <w:r>
        <w:rPr>
          <w:bCs/>
          <w:b/>
        </w:rPr>
        <w:t xml:space="preserve">Use Phase:</w:t>
      </w:r>
    </w:p>
    <w:p>
      <w:pPr>
        <w:numPr>
          <w:ilvl w:val="1"/>
          <w:numId w:val="1006"/>
        </w:numPr>
        <w:pStyle w:val="Compact"/>
      </w:pPr>
      <w:r>
        <w:t xml:space="preserve">Product Lifespan: yhddnuhnmy (5 years)</w:t>
      </w:r>
    </w:p>
    <w:p>
      <w:pPr>
        <w:numPr>
          <w:ilvl w:val="1"/>
          <w:numId w:val="1006"/>
        </w:numPr>
        <w:pStyle w:val="Compact"/>
      </w:pPr>
      <w:r>
        <w:t xml:space="preserve">Energy Consumption in Use: kdwnmvmhjl (20 kWh/year)</w:t>
      </w:r>
    </w:p>
    <w:p>
      <w:pPr>
        <w:numPr>
          <w:ilvl w:val="1"/>
          <w:numId w:val="1006"/>
        </w:numPr>
        <w:pStyle w:val="Compact"/>
      </w:pPr>
      <w:r>
        <w:t xml:space="preserve">Electricity Grid Emission Factor (Europe): 0.3 kg CO2e/kWh (Illustrative average for the use region)</w:t>
      </w:r>
    </w:p>
    <w:bookmarkEnd w:id="25"/>
    <w:bookmarkEnd w:id="26"/>
    <w:bookmarkStart w:id="31" w:name="Xa991e7faf76bdf88064e0090ec77f0e137174e3"/>
    <w:p>
      <w:pPr>
        <w:pStyle w:val="Heading3"/>
      </w:pPr>
      <w:r>
        <w:t xml:space="preserve">2.4. Step 4: Calculate Emissions (Activity * Emission Factor = CO2e)</w:t>
      </w:r>
    </w:p>
    <w:p>
      <w:pPr>
        <w:pStyle w:val="FirstParagraph"/>
      </w:pPr>
      <w:r>
        <w:t xml:space="preserve">Emissions are calculated for each life cycle stage and categorized according to the GHG Protocol\'s Scope 1, Scope 2, and Scope 3 definitions. Illustrative emission factors, referencing industry-standard databases like Ecoinvent/DEFRA, are applied where specific primary data is not available for a given process.</w:t>
      </w:r>
    </w:p>
    <w:bookmarkStart w:id="27" w:name="ghg-protocol-scope-categorization"/>
    <w:p>
      <w:pPr>
        <w:pStyle w:val="Heading4"/>
      </w:pPr>
      <w:r>
        <w:t xml:space="preserve">GHG Protocol Scope Categorization:</w:t>
      </w:r>
    </w:p>
    <w:p>
      <w:pPr>
        <w:numPr>
          <w:ilvl w:val="0"/>
          <w:numId w:val="1007"/>
        </w:numPr>
        <w:pStyle w:val="Compact"/>
      </w:pPr>
      <w:r>
        <w:rPr>
          <w:bCs/>
          <w:b/>
        </w:rPr>
        <w:t xml:space="preserve">Scope 1 (Direct Emissions):</w:t>
      </w:r>
      <w:r>
        <w:t xml:space="preserve"> </w:t>
      </w:r>
      <w:r>
        <w:t xml:space="preserve">Emissions from sources owned or controlled by irgviysfyf\'s production facility (e.g., combustion in owned boilers, company vehicles). For this analysis, assuming the "factory_gate" boundary focuses on purchased electricity for production, direct fuel combustion on-site is considered negligible or outside the primary scope of provided data for direct calculation. Therefore, Scope 1 emissions are considered 0 kg CO2e in this specific product analysis.</w:t>
      </w:r>
    </w:p>
    <w:p>
      <w:pPr>
        <w:numPr>
          <w:ilvl w:val="0"/>
          <w:numId w:val="1007"/>
        </w:numPr>
        <w:pStyle w:val="Compact"/>
      </w:pPr>
      <w:r>
        <w:rPr>
          <w:bCs/>
          <w:b/>
        </w:rPr>
        <w:t xml:space="preserve">Scope 2 (Purchased Energy Emissions):</w:t>
      </w:r>
      <w:r>
        <w:t xml:space="preserve"> </w:t>
      </w:r>
      <w:r>
        <w:t xml:space="preserve">Indirect emissions from the generation of purchased electricity, heat, or steam consumed by irgviysfyf\'s production facility.</w:t>
      </w:r>
    </w:p>
    <w:p>
      <w:pPr>
        <w:numPr>
          <w:ilvl w:val="1"/>
          <w:numId w:val="1008"/>
        </w:numPr>
        <w:pStyle w:val="Compact"/>
      </w:pPr>
      <w:r>
        <w:t xml:space="preserve">Production Electricity: 4 kWh (non-renewable) * 0.55 kg CO2e/kWh (China grid) = 2.2 kg CO2e</w:t>
      </w:r>
    </w:p>
    <w:p>
      <w:pPr>
        <w:numPr>
          <w:ilvl w:val="0"/>
          <w:numId w:val="1007"/>
        </w:numPr>
        <w:pStyle w:val="Compact"/>
      </w:pPr>
      <w:r>
        <w:rPr>
          <w:bCs/>
          <w:b/>
        </w:rPr>
        <w:t xml:space="preserve">Scope 3 (Value Chain Emissions):</w:t>
      </w:r>
      <w:r>
        <w:t xml:space="preserve"> </w:t>
      </w:r>
      <w:r>
        <w:t xml:space="preserve">All other indirect emissions that occur in the value chain of irgviysfyf, both upstream and downstream. This is further broken down into relevant categories as per the GHG Protocol.</w:t>
      </w:r>
    </w:p>
    <w:bookmarkEnd w:id="27"/>
    <w:bookmarkStart w:id="28" w:name="scope-3-emission-calculations"/>
    <w:p>
      <w:pPr>
        <w:pStyle w:val="Heading4"/>
      </w:pPr>
      <w:r>
        <w:t xml:space="preserve">Scope 3 Emission Calculations: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Based on Detailed BOM (kujvhslx) summation: 8.0 kg CO2e</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Transport Mode: Select Mode (Sea Freight for long haul, Truck for last mile).</w:t>
      </w:r>
    </w:p>
    <w:p>
      <w:pPr>
        <w:numPr>
          <w:ilvl w:val="1"/>
          <w:numId w:val="1011"/>
        </w:numPr>
        <w:pStyle w:val="Compact"/>
      </w:pPr>
      <w:r>
        <w:t xml:space="preserve">Transport Distance: olkdqegkwl (15,000 km sea, 500 km truck).</w:t>
      </w:r>
    </w:p>
    <w:p>
      <w:pPr>
        <w:numPr>
          <w:ilvl w:val="1"/>
          <w:numId w:val="1011"/>
        </w:numPr>
        <w:pStyle w:val="Compact"/>
      </w:pPr>
      <w:r>
        <w:t xml:space="preserve">Last-Mile Delivery Channel: Delivery Type (Standard Road Delivery).</w:t>
      </w:r>
    </w:p>
    <w:p>
      <w:pPr>
        <w:numPr>
          <w:ilvl w:val="1"/>
          <w:numId w:val="1011"/>
        </w:numPr>
        <w:pStyle w:val="Compact"/>
      </w:pPr>
      <w:r>
        <w:t xml:space="preserve">Product Weight (Functional Unit): 1.0 kg (0.001 tonne).</w:t>
      </w:r>
    </w:p>
    <w:p>
      <w:pPr>
        <w:numPr>
          <w:ilvl w:val="1"/>
          <w:numId w:val="1011"/>
        </w:numPr>
        <w:pStyle w:val="Compact"/>
      </w:pPr>
      <w:r>
        <w:t xml:space="preserve">Sea Freight (China to Europe): 0.001 tonne * 15,000 km * 0.016 kg CO2e/tkm = 0.24 kg CO2e.</w:t>
      </w:r>
    </w:p>
    <w:p>
      <w:pPr>
        <w:numPr>
          <w:ilvl w:val="1"/>
          <w:numId w:val="1011"/>
        </w:numPr>
        <w:pStyle w:val="Compact"/>
      </w:pPr>
      <w:r>
        <w:t xml:space="preserve">Truck (Last-Mile in Europe): 0.001 tonne * 500 km * 0.1 kg CO2e/tkm = 0.05 kg CO2e.</w:t>
      </w:r>
    </w:p>
    <w:p>
      <w:pPr>
        <w:numPr>
          <w:ilvl w:val="1"/>
          <w:numId w:val="1011"/>
        </w:numPr>
        <w:pStyle w:val="Compact"/>
      </w:pPr>
      <w:r>
        <w:rPr>
          <w:bCs/>
          <w:b/>
        </w:rPr>
        <w:t xml:space="preserve">Total Upstream Transport:</w:t>
      </w:r>
      <w:r>
        <w:t xml:space="preserve"> </w:t>
      </w:r>
      <w:r>
        <w:t xml:space="preserve">0.24 + 0.05 = 0.29 kg CO2e.</w:t>
      </w:r>
    </w:p>
    <w:p>
      <w:pPr>
        <w:numPr>
          <w:ilvl w:val="0"/>
          <w:numId w:val="1009"/>
        </w:numPr>
        <w:pStyle w:val="Compact"/>
      </w:pPr>
      <w:r>
        <w:rPr>
          <w:bCs/>
          <w:b/>
        </w:rPr>
        <w:t xml:space="preserve">Category 11: Use of Sold Products</w:t>
      </w:r>
    </w:p>
    <w:p>
      <w:pPr>
        <w:numPr>
          <w:ilvl w:val="1"/>
          <w:numId w:val="1012"/>
        </w:numPr>
        <w:pStyle w:val="Compact"/>
      </w:pPr>
      <w:r>
        <w:t xml:space="preserve">Product Lifespan: yhddnuhnmy (5 years)</w:t>
      </w:r>
    </w:p>
    <w:p>
      <w:pPr>
        <w:numPr>
          <w:ilvl w:val="1"/>
          <w:numId w:val="1012"/>
        </w:numPr>
        <w:pStyle w:val="Compact"/>
      </w:pPr>
      <w:r>
        <w:t xml:space="preserve">Energy Consumption in Use: kdwnmvmhjl (20 kWh/year)</w:t>
      </w:r>
    </w:p>
    <w:p>
      <w:pPr>
        <w:numPr>
          <w:ilvl w:val="1"/>
          <w:numId w:val="1012"/>
        </w:numPr>
        <w:pStyle w:val="Compact"/>
      </w:pPr>
      <w:r>
        <w:t xml:space="preserve">Electricity Grid Emission Factor (Europe, illustrative): 0.3 kg CO2e/kWh.</w:t>
      </w:r>
    </w:p>
    <w:p>
      <w:pPr>
        <w:numPr>
          <w:ilvl w:val="1"/>
          <w:numId w:val="1012"/>
        </w:numPr>
        <w:pStyle w:val="Compact"/>
      </w:pPr>
      <w:r>
        <w:rPr>
          <w:bCs/>
          <w:b/>
        </w:rPr>
        <w:t xml:space="preserve">Total Use Phase Emissions:</w:t>
      </w:r>
      <w:r>
        <w:t xml:space="preserve"> </w:t>
      </w:r>
      <w:r>
        <w:t xml:space="preserve">20 kWh/year * 5 years * 0.3 kg CO2e/kWh = 30.0 kg CO2e.</w:t>
      </w:r>
    </w:p>
    <w:p>
      <w:pPr>
        <w:numPr>
          <w:ilvl w:val="0"/>
          <w:numId w:val="1009"/>
        </w:numPr>
        <w:pStyle w:val="Compact"/>
      </w:pPr>
      <w:r>
        <w:rPr>
          <w:bCs/>
          <w:b/>
        </w:rPr>
        <w:t xml:space="preserve">Category 12: End-of-Life Treatment of Sold Products</w:t>
      </w:r>
    </w:p>
    <w:p>
      <w:pPr>
        <w:numPr>
          <w:ilvl w:val="1"/>
          <w:numId w:val="1013"/>
        </w:numPr>
        <w:pStyle w:val="Compact"/>
      </w:pPr>
      <w:r>
        <w:t xml:space="preserve">Recyclability Percentage: pxmijvzkog (70%)</w:t>
      </w:r>
    </w:p>
    <w:p>
      <w:pPr>
        <w:numPr>
          <w:ilvl w:val="1"/>
          <w:numId w:val="1013"/>
        </w:numPr>
        <w:pStyle w:val="Compact"/>
      </w:pPr>
      <w:r>
        <w:t xml:space="preserve">Circular/Take-back Programs: fhyqulwfgz (irgviysfyf operates a robust take-back program for vfmpxjpvzv, achieving a 70% recycling rate).</w:t>
      </w:r>
    </w:p>
    <w:p>
      <w:pPr>
        <w:numPr>
          <w:ilvl w:val="1"/>
          <w:numId w:val="1013"/>
        </w:numPr>
        <w:pStyle w:val="Compact"/>
      </w:pPr>
      <w:r>
        <w:t xml:space="preserve">Avoided emissions from recycling (credit for 70% of material footprint): 8.0 kg CO2e (Total Material Impact) * 0.70 = -5.6 kg CO2e. This credit reflects the avoided primary production of materials due to circularity.</w:t>
      </w:r>
    </w:p>
    <w:p>
      <w:pPr>
        <w:numPr>
          <w:ilvl w:val="1"/>
          <w:numId w:val="1013"/>
        </w:numPr>
        <w:pStyle w:val="Compact"/>
      </w:pPr>
      <w:r>
        <w:t xml:space="preserve">Disposal emissions for remaining 30% (assuming 0.3 kg product mass for non-recycled part, illustrative disposal EF of 0.1 kg CO2e/kg): 0.3 kg * 0.1 kg CO2e/kg = 0.03 kg CO2e.</w:t>
      </w:r>
    </w:p>
    <w:p>
      <w:pPr>
        <w:numPr>
          <w:ilvl w:val="1"/>
          <w:numId w:val="1013"/>
        </w:numPr>
        <w:pStyle w:val="Compact"/>
      </w:pPr>
      <w:r>
        <w:rPr>
          <w:bCs/>
          <w:b/>
        </w:rPr>
        <w:t xml:space="preserve">Net End-of-Life Impact:</w:t>
      </w:r>
      <w:r>
        <w:t xml:space="preserve"> </w:t>
      </w:r>
      <w:r>
        <w:t xml:space="preserve">0.03 - 5.6 = -5.57 kg CO2e.</w:t>
      </w:r>
    </w:p>
    <w:bookmarkEnd w:id="28"/>
    <w:bookmarkStart w:id="29" w:name="ghg-protocol-2026-lsr-update-application"/>
    <w:p>
      <w:pPr>
        <w:pStyle w:val="Heading4"/>
      </w:pPr>
      <w:r>
        <w:t xml:space="preserve">GHG Protocol 2026 LSR Update Application:</w:t>
      </w:r>
    </w:p>
    <w:p>
      <w:pPr>
        <w:pStyle w:val="FirstParagraph"/>
      </w:pPr>
      <w:r>
        <w:t xml:space="preserve">The GHG Protocol\'s Land Sector and Removals Standard (LSRS) was finalized on January 30, 2026, and is effective from January 1, 2027. This standard provides a comprehensive framework for accounting for forest, land, and agriculture (FLAG) emissions and carbon removals. While specific FLAG emissions are not directly relevant to the manufacturing processes or materials of vfmpxjpvzv as detailed, the principles of carbon removals are incorporated into the End-of-Life phase calculation. The avoided emissions from the take-back and recycling program are accounted for as a credit, reflecting a circular economy impact and alignment with the spirit of carbon removal efforts. The accompanying guidance for the LSRS is expected in Q2 2026.</w:t>
      </w:r>
    </w:p>
    <w:bookmarkEnd w:id="29"/>
    <w:bookmarkStart w:id="30" w:name="Xb79d6471d29b198a06bd37b7efb932f366fe05b"/>
    <w:p>
      <w:pPr>
        <w:pStyle w:val="Heading4"/>
      </w:pPr>
      <w:r>
        <w:t xml:space="preserve">Scope 3 Compliance (95% Coverage as per 2026 requirements):</w:t>
      </w:r>
    </w:p>
    <w:p>
      <w:pPr>
        <w:pStyle w:val="FirstParagraph"/>
      </w:pPr>
      <w:r>
        <w:t xml:space="preserve">The GHG Protocol\'s March 2026 Phase 1 Progress Update proposes a prescriptive completeness requirement for Scope 3 reporting, mandating at least 95% coverage of total *required* Scope 3 emissions. This analysis for vfmpxjpvzv aims to meet this requirement by comprehensively covering the most significant Scope 3 categories: Purchased Goods and Services (materials), Upstream Transportation and Distribution, Use of Sold Products, and End-of-Life Treatment of Sold Products. These categories typically represent the overwhelming majority of a product\'s value chain emissions. Exclusions of minor or negligible categories would be quantified and justified if applicable, ensuring compliance with the 5% exclusion limit. Furthermore, this report acknowledges the proposed requirements for disaggregation of emissions data by source type (primary vs. secondary) and disclosure of verification status, which will be critical for future reporting.</w:t>
      </w:r>
    </w:p>
    <w:bookmarkEnd w:id="30"/>
    <w:bookmarkEnd w:id="31"/>
    <w:bookmarkStart w:id="32" w:name="step-5-review-report"/>
    <w:p>
      <w:pPr>
        <w:pStyle w:val="Heading3"/>
      </w:pPr>
      <w:r>
        <w:t xml:space="preserve">2.5. Step 5: Review &amp; Report</w:t>
      </w:r>
    </w:p>
    <w:p>
      <w:pPr>
        <w:pStyle w:val="FirstParagraph"/>
      </w:pPr>
      <w:r>
        <w:t xml:space="preserve">The results are reviewed to identify emission hotspots and assess the reliability of the data. Hotspots are detailed in the "Key Findings and Hotspots" section. Data reliability is primarily influenced by the availability of primary data versus the reliance on secondary, industry-average emission factors.</w:t>
      </w:r>
    </w:p>
    <w:p>
      <w:r>
        <w:pict>
          <v:rect style="width:0;height:1.5pt" o:hralign="center" o:hrstd="t" o:hr="t"/>
        </w:pict>
      </w:r>
    </w:p>
    <w:bookmarkEnd w:id="32"/>
    <w:bookmarkEnd w:id="33"/>
    <w:bookmarkStart w:id="34" w:name="product-carbon-footprint-summary"/>
    <w:p>
      <w:pPr>
        <w:pStyle w:val="Heading2"/>
      </w:pPr>
      <w:r>
        <w:t xml:space="preserve">3. Product Carbon Footprint Summary</w:t>
      </w:r>
    </w:p>
    <w:p>
      <w:pPr>
        <w:pStyle w:val="FirstParagraph"/>
      </w:pPr>
      <w:r>
        <w:t xml:space="preserve">The total Product Carbon Footprint for one functional unit of vfmpxjpvzv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w:t>
            </w:r>
          </w:p>
        </w:tc>
        <w:tc>
          <w:tcPr/>
          <w:p>
            <w:pPr>
              <w:pStyle w:val="Compact"/>
              <w:jc w:val="left"/>
            </w:pPr>
            <w:r>
              <w:t xml:space="preserve">Direct Emissions (Factory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2.20</w:t>
            </w:r>
          </w:p>
        </w:tc>
        <w:tc>
          <w:tcPr/>
          <w:p>
            <w:pPr>
              <w:pStyle w:val="Compact"/>
              <w:jc w:val="left"/>
            </w:pPr>
            <w:r>
              <w:t xml:space="preserve">6.30%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8.00</w:t>
            </w:r>
          </w:p>
        </w:tc>
        <w:tc>
          <w:tcPr/>
          <w:p>
            <w:pPr>
              <w:pStyle w:val="Compact"/>
              <w:jc w:val="left"/>
            </w:pPr>
            <w:r>
              <w:t xml:space="preserve">22.91%</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0.29</w:t>
            </w:r>
          </w:p>
        </w:tc>
        <w:tc>
          <w:tcPr/>
          <w:p>
            <w:pPr>
              <w:pStyle w:val="Compact"/>
              <w:jc w:val="left"/>
            </w:pPr>
            <w:r>
              <w:t xml:space="preserve">0.83%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30.00</w:t>
            </w:r>
          </w:p>
        </w:tc>
        <w:tc>
          <w:tcPr/>
          <w:p>
            <w:pPr>
              <w:pStyle w:val="Compact"/>
              <w:jc w:val="left"/>
            </w:pPr>
            <w:r>
              <w:t xml:space="preserve">85.91%</w:t>
            </w:r>
          </w:p>
        </w:tc>
      </w:tr>
      <w:tr>
        <w:tc>
          <w:tcPr/>
          <w:p>
            <w:pPr>
              <w:pStyle w:val="Compact"/>
              <w:jc w:val="left"/>
            </w:pPr>
            <w:r>
              <w:t xml:space="preserve">Scope 3 (Category 12)</w:t>
            </w:r>
          </w:p>
        </w:tc>
        <w:tc>
          <w:tcPr/>
          <w:p>
            <w:pPr>
              <w:pStyle w:val="Compact"/>
              <w:jc w:val="left"/>
            </w:pPr>
            <w:r>
              <w:t xml:space="preserve">End-of-Life Treatment of Sold Products (Credit)</w:t>
            </w:r>
          </w:p>
        </w:tc>
        <w:tc>
          <w:tcPr/>
          <w:p>
            <w:pPr>
              <w:pStyle w:val="Compact"/>
              <w:jc w:val="left"/>
            </w:pPr>
            <w:r>
              <w:t xml:space="preserve">-5.57</w:t>
            </w:r>
          </w:p>
        </w:tc>
        <w:tc>
          <w:tcPr/>
          <w:p>
            <w:pPr>
              <w:pStyle w:val="Compact"/>
              <w:jc w:val="left"/>
            </w:pPr>
            <w:r>
              <w:t xml:space="preserve">-15.95%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34.92</w:t>
            </w:r>
          </w:p>
        </w:tc>
        <w:tc>
          <w:tcPr/>
          <w:p>
            <w:pPr>
              <w:pStyle w:val="Compact"/>
              <w:jc w:val="left"/>
            </w:pPr>
            <w:r>
              <w:rPr>
                <w:bCs/>
                <w:b/>
              </w:rPr>
              <w:t xml:space="preserve">100.00%</w:t>
            </w:r>
          </w:p>
        </w:tc>
      </w:tr>
    </w:tbl>
    <w:p>
      <w:r>
        <w:pict>
          <v:rect style="width:0;height:1.5pt" o:hralign="center" o:hrstd="t" o:hr="t"/>
        </w:pict>
      </w:r>
    </w:p>
    <w:bookmarkEnd w:id="34"/>
    <w:bookmarkStart w:id="35" w:name="key-findings-and-hotspots"/>
    <w:p>
      <w:pPr>
        <w:pStyle w:val="Heading2"/>
      </w:pPr>
      <w:r>
        <w:t xml:space="preserve">4. Key Findings and Hotspots</w:t>
      </w:r>
    </w:p>
    <w:p>
      <w:pPr>
        <w:numPr>
          <w:ilvl w:val="0"/>
          <w:numId w:val="1014"/>
        </w:numPr>
        <w:pStyle w:val="Compact"/>
      </w:pPr>
      <w:r>
        <w:rPr>
          <w:bCs/>
          <w:b/>
        </w:rPr>
        <w:t xml:space="preserve">Use Phase Dominance:</w:t>
      </w:r>
      <w:r>
        <w:t xml:space="preserve"> </w:t>
      </w:r>
      <w:r>
        <w:t xml:space="preserve">The Use Phase (Category 11) is the most significant contributor to vfmpxjpvzv\'s PCF, accounting for approximately 85.91% of the total emissions. This highlights the substantial impact of energy consumption during the product\'s 5-year lifespan (yhddnuhnmy) and suggests opportunities for efficiency improvements or sourcing renewable energy for product usage.</w:t>
      </w:r>
    </w:p>
    <w:p>
      <w:pPr>
        <w:numPr>
          <w:ilvl w:val="0"/>
          <w:numId w:val="1014"/>
        </w:numPr>
        <w:pStyle w:val="Compact"/>
      </w:pPr>
      <w:r>
        <w:rPr>
          <w:bCs/>
          <w:b/>
        </w:rPr>
        <w:t xml:space="preserve">Material Impact:</w:t>
      </w:r>
      <w:r>
        <w:t xml:space="preserve"> </w:t>
      </w:r>
      <w:r>
        <w:t xml:space="preserve">Upstream material production (Category 1) contributes 22.91% of the total PCF. The Detailed Bill of Materials (kujvhslx) shows aluminum, ABS plastic, and the lithium-ion battery as significant contributors within this category. This emphasizes the importance of sustainable sourcing and material selection.</w:t>
      </w:r>
    </w:p>
    <w:p>
      <w:pPr>
        <w:numPr>
          <w:ilvl w:val="0"/>
          <w:numId w:val="1014"/>
        </w:numPr>
        <w:pStyle w:val="Compact"/>
      </w:pPr>
      <w:r>
        <w:rPr>
          <w:bCs/>
          <w:b/>
        </w:rPr>
        <w:t xml:space="preserve">Circular Economy Benefits:</w:t>
      </w:r>
      <w:r>
        <w:t xml:space="preserve"> </w:t>
      </w:r>
      <w:r>
        <w:t xml:space="preserve">The robust take-back program (fhyqulwfgz) and high recyclability percentage (pxmijvzkog - 70%) result in a significant avoided emissions credit at End-of-Life (Category 12), reducing the overall PCF by 15.95%. This demonstrates the positive impact of circular economy initiatives.</w:t>
      </w:r>
    </w:p>
    <w:p>
      <w:pPr>
        <w:numPr>
          <w:ilvl w:val="0"/>
          <w:numId w:val="1014"/>
        </w:numPr>
        <w:pStyle w:val="Compact"/>
      </w:pPr>
      <w:r>
        <w:rPr>
          <w:bCs/>
          <w:b/>
        </w:rPr>
        <w:t xml:space="preserve">Production Efficiency:</w:t>
      </w:r>
      <w:r>
        <w:t xml:space="preserve"> </w:t>
      </w:r>
      <w:r>
        <w:t xml:space="preserve">Despite production occurring in China, where the grid emission factor is relatively high, the use of lszqzrhzog (60%) renewable energy at the production facility helps mitigate Scope 2 emissions, which represent 6.30% of the total PCF.</w:t>
      </w:r>
    </w:p>
    <w:p>
      <w:pPr>
        <w:numPr>
          <w:ilvl w:val="0"/>
          <w:numId w:val="1014"/>
        </w:numPr>
        <w:pStyle w:val="Compact"/>
      </w:pPr>
      <w:r>
        <w:rPr>
          <w:bCs/>
          <w:b/>
        </w:rPr>
        <w:t xml:space="preserve">Transport Impact:</w:t>
      </w:r>
      <w:r>
        <w:t xml:space="preserve"> </w:t>
      </w:r>
      <w:r>
        <w:t xml:space="preserve">Upstream transportation (Category 4) represents a relatively small portion of the total footprint (0.83%), indicating that while important, it is not the primary hotspot for this product.</w:t>
      </w:r>
    </w:p>
    <w:p>
      <w:r>
        <w:pict>
          <v:rect style="width:0;height:1.5pt" o:hralign="center" o:hrstd="t" o:hr="t"/>
        </w:pict>
      </w:r>
    </w:p>
    <w:bookmarkEnd w:id="35"/>
    <w:bookmarkStart w:id="36" w:name="recommendations-for-emission-reduction"/>
    <w:p>
      <w:pPr>
        <w:pStyle w:val="Heading2"/>
      </w:pPr>
      <w:r>
        <w:t xml:space="preserve">5. Recommendations for Emission Reduction</w:t>
      </w:r>
    </w:p>
    <w:p>
      <w:pPr>
        <w:pStyle w:val="FirstParagraph"/>
      </w:pPr>
      <w:r>
        <w:t xml:space="preserve">Based on the PCF analysis, irgviysfyf could consider the following strategies to reduce the carbon footprint of vfmpxjpvzv:</w:t>
      </w:r>
    </w:p>
    <w:p>
      <w:pPr>
        <w:numPr>
          <w:ilvl w:val="0"/>
          <w:numId w:val="1015"/>
        </w:numPr>
        <w:pStyle w:val="Compact"/>
      </w:pPr>
      <w:r>
        <w:rPr>
          <w:bCs/>
          <w:b/>
        </w:rPr>
        <w:t xml:space="preserve">Use Phase Optimization:</w:t>
      </w:r>
      <w:r>
        <w:t xml:space="preserve"> </w:t>
      </w:r>
      <w:r>
        <w:t xml:space="preserve">Focus on improving the energy efficiency of vfmpxjpvzv during its operational lifespan. This could involve design improvements, providing energy-saving tips to consumers, or promoting the use of renewable energy sources by end-users.</w:t>
      </w:r>
    </w:p>
    <w:p>
      <w:pPr>
        <w:numPr>
          <w:ilvl w:val="0"/>
          <w:numId w:val="1015"/>
        </w:numPr>
        <w:pStyle w:val="Compact"/>
      </w:pPr>
      <w:r>
        <w:rPr>
          <w:bCs/>
          <w:b/>
        </w:rPr>
        <w:t xml:space="preserve">Material Decarbonization:</w:t>
      </w:r>
      <w:r>
        <w:t xml:space="preserve"> </w:t>
      </w:r>
      <w:r>
        <w:t xml:space="preserve">Explore opportunities to reduce the embodied carbon of key materials. This includes:</w:t>
      </w:r>
    </w:p>
    <w:p>
      <w:pPr>
        <w:numPr>
          <w:ilvl w:val="1"/>
          <w:numId w:val="1016"/>
        </w:numPr>
        <w:pStyle w:val="Compact"/>
      </w:pPr>
      <w:r>
        <w:t xml:space="preserve">Sourcing lower-carbon aluminum (e.g., produced with renewable energy or from higher recycled content).</w:t>
      </w:r>
    </w:p>
    <w:p>
      <w:pPr>
        <w:numPr>
          <w:ilvl w:val="1"/>
          <w:numId w:val="1016"/>
        </w:numPr>
        <w:pStyle w:val="Compact"/>
      </w:pPr>
      <w:r>
        <w:t xml:space="preserve">Investigating bio-based or recycled content alternatives for plastics.</w:t>
      </w:r>
    </w:p>
    <w:p>
      <w:pPr>
        <w:numPr>
          <w:ilvl w:val="1"/>
          <w:numId w:val="1016"/>
        </w:numPr>
        <w:pStyle w:val="Compact"/>
      </w:pPr>
      <w:r>
        <w:t xml:space="preserve">Engaging with battery suppliers to understand and reduce their manufacturing footprint.</w:t>
      </w:r>
    </w:p>
    <w:p>
      <w:pPr>
        <w:numPr>
          <w:ilvl w:val="0"/>
          <w:numId w:val="1015"/>
        </w:numPr>
        <w:pStyle w:val="Compact"/>
      </w:pPr>
      <w:r>
        <w:rPr>
          <w:bCs/>
          <w:b/>
        </w:rPr>
        <w:t xml:space="preserve">Enhance Circularity:</w:t>
      </w:r>
      <w:r>
        <w:t xml:space="preserve"> </w:t>
      </w:r>
      <w:r>
        <w:t xml:space="preserve">Continue to strengthen and expand take-back and recycling programs, potentially aiming for higher recycling rates or exploring repair and refurbishment models to extend product lifespan.</w:t>
      </w:r>
    </w:p>
    <w:p>
      <w:pPr>
        <w:numPr>
          <w:ilvl w:val="0"/>
          <w:numId w:val="1015"/>
        </w:numPr>
        <w:pStyle w:val="Compact"/>
      </w:pPr>
      <w:r>
        <w:rPr>
          <w:bCs/>
          <w:b/>
        </w:rPr>
        <w:t xml:space="preserve">Supplier Engagement:</w:t>
      </w:r>
      <w:r>
        <w:t xml:space="preserve"> </w:t>
      </w:r>
      <w:r>
        <w:t xml:space="preserve">Collaborate with suppliers to collect more primary data on emission factors, which can further refine the accuracy of Scope 3 calculations and identify more targeted reduction opportunities.</w:t>
      </w:r>
    </w:p>
    <w:p>
      <w:pPr>
        <w:numPr>
          <w:ilvl w:val="0"/>
          <w:numId w:val="1015"/>
        </w:numPr>
        <w:pStyle w:val="Compact"/>
      </w:pPr>
      <w:r>
        <w:rPr>
          <w:bCs/>
          <w:b/>
        </w:rPr>
        <w:t xml:space="preserve">Renewable Energy Expansion:</w:t>
      </w:r>
      <w:r>
        <w:t xml:space="preserve"> </w:t>
      </w:r>
      <w:r>
        <w:t xml:space="preserve">Further increase the share of renewable energy used in irgviysfyf\'s own production facilities in China, and encourage supply chain partners to do the same.</w:t>
      </w:r>
    </w:p>
    <w:p>
      <w:r>
        <w:pict>
          <v:rect style="width:0;height:1.5pt" o:hralign="center" o:hrstd="t" o:hr="t"/>
        </w:pict>
      </w:r>
    </w:p>
    <w:p>
      <w:pPr>
        <w:pStyle w:val="FirstParagraph"/>
      </w:pPr>
      <w:r>
        <w:t xml:space="preserve">Confidential - Internal Use Only |</w:t>
      </w:r>
      <w:r>
        <w:t xml:space="preserve"> </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vfmpxjpvzv</dc:title>
  <dc:creator/>
  <dc:description>High-detail Product Carbon Footprint (PCF) analysis report for product vfmpxjpvzv by irgviysfyf, adhering to GHG Protocol and 2026 updates, performed by Senior Sustainability Consultant zezvjtoloy.</dc:description>
  <dc:language>en</dc:language>
  <cp:keywords/>
  <dcterms:created xsi:type="dcterms:W3CDTF">2026-07-14T23:33:19Z</dcterms:created>
  <dcterms:modified xsi:type="dcterms:W3CDTF">2026-07-14T23:33:19Z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