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uxxhteussd</w:t>
      </w:r>
    </w:p>
    <w:p>
      <w:pPr>
        <w:pStyle w:val="FirstParagraph"/>
      </w:pPr>
      <w:r>
        <w:t xml:space="preserve">carboncalcpcf.com</w:t>
      </w:r>
    </w:p>
    <w:bookmarkStart w:id="21" w:name="product-carbon-footprint-analysis"/>
    <w:p>
      <w:pPr>
        <w:pStyle w:val="Heading1"/>
      </w:pPr>
      <w:r>
        <w:t xml:space="preserve">Product Carbon Footprint Analysis</w:t>
      </w:r>
    </w:p>
    <w:bookmarkStart w:id="20" w:name="for-uxxhteussd"/>
    <w:p>
      <w:pPr>
        <w:pStyle w:val="Heading2"/>
      </w:pPr>
      <w:r>
        <w:t xml:space="preserve">for uxxhteussd</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eytvvqxkqu</w:t>
      </w:r>
    </w:p>
    <w:p>
      <w:pPr>
        <w:pStyle w:val="BodyText"/>
      </w:pPr>
      <w:r>
        <w:rPr>
          <w:bCs/>
          <w:b/>
        </w:rPr>
        <w:t xml:space="preserve">Senior Sustainability Consultant:</w:t>
      </w:r>
      <w:r>
        <w:t xml:space="preserve"> </w:t>
      </w:r>
      <w:r>
        <w:t xml:space="preserve">hdfnwqfjrh</w:t>
      </w:r>
    </w:p>
    <w:bookmarkEnd w:id="20"/>
    <w:bookmarkEnd w:id="21"/>
    <w:p>
      <w:pPr>
        <w:pStyle w:val="BodyText"/>
      </w:pPr>
      <w:r>
        <w:t xml:space="preserve">Disclaimer: This report is generated based on available data, industry-standard emission factors, and the parameters provided. While every effort has been made to ensure accuracy, the actual carbon footprint may vary due to real-world complexities and data limitations.</w:t>
      </w:r>
    </w:p>
    <w:bookmarkStart w:id="46" w:name="X8e400b9da5b6cdc32ebc6d58aae2eddbe162040"/>
    <w:p>
      <w:pPr>
        <w:pStyle w:val="Heading1"/>
      </w:pPr>
      <w:r>
        <w:t xml:space="preserve">Product Carbon Footprint Analysis for uxxhteussd</w:t>
      </w:r>
    </w:p>
    <w:p>
      <w:pPr>
        <w:pStyle w:val="FirstParagraph"/>
      </w:pPr>
      <w:r>
        <w:rPr>
          <w:bCs/>
          <w:b/>
        </w:rPr>
        <w:t xml:space="preserve">Generated Date:</w:t>
      </w:r>
      <w:r>
        <w:t xml:space="preserve"> </w:t>
      </w:r>
      <w:r>
        <w:t xml:space="preserve">May 26,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"uxxhteussd" manufactured by eytvvqxkqu. The analysis was conducted by hdfnwqfjrh, Senior Sustainability Consultant, adhering strictly to the GHG Protocol and incorporating the latest 2026 Land Sector and Removals (LSR) Standard updates. The total Product Carbon Footprint for one functional unit of uxxhteussd is calculated to be</w:t>
      </w:r>
      <w:r>
        <w:t xml:space="preserve"> </w:t>
      </w:r>
      <w:r>
        <w:rPr>
          <w:bCs/>
          <w:b/>
        </w:rPr>
        <w:t xml:space="preserve">60.59 kgCO2e</w:t>
      </w:r>
      <w:r>
        <w:t xml:space="preserve">. The primary hotspots identified are the raw material acquisition and manufacturing (Scope 3 - Upstream), followed by the production energy (Scope 2). Notably, the End-of-Life phase demonstrates a net carbon saving due to strong recyclability and circular programs.</w:t>
      </w:r>
    </w:p>
    <w:p>
      <w:r>
        <w:pict>
          <v:rect style="width:0;height:1.5pt" o:hralign="center" o:hrstd="t" o:hr="t"/>
        </w:pict>
      </w:r>
    </w:p>
    <w:bookmarkEnd w:id="22"/>
    <w:bookmarkStart w:id="28" w:name="introduction-and-scope-definition"/>
    <w:p>
      <w:pPr>
        <w:pStyle w:val="Heading2"/>
      </w:pPr>
      <w:r>
        <w:t xml:space="preserve">1. Introduction and Scope Definition</w:t>
      </w:r>
    </w:p>
    <w:p>
      <w:pPr>
        <w:pStyle w:val="FirstParagraph"/>
      </w:pPr>
      <w:r>
        <w:t xml:space="preserve">This analysis quantifies the greenhouse gas (GHG) emissions associated with the entire lifecycle of one unit of the product "uxxhteussd".</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uxxhteussd</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 defined as \'factory_gate\' for the core manufacturing processes. However, to provide a comprehensive cradle-to-(near)-grave assessment as per the provided parameters, the analysis has been extended to include significant downstream Scope 3 categories: Use Phase and End-of-Life. This approach ensures a holistic understanding of the product\'s environmental impact across its entire value chain.</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primary raw material transport and potential market use in Europe)</w:t>
      </w:r>
    </w:p>
    <w:bookmarkEnd w:id="25"/>
    <w:bookmarkStart w:id="26" w:name="X9e365211e7805982886827c9bca3965e832d227"/>
    <w:p>
      <w:pPr>
        <w:pStyle w:val="Heading3"/>
      </w:pPr>
      <w:r>
        <w:t xml:space="preserve">1.4 Accounting Standard and GHG Protocol Compliance</w:t>
      </w:r>
    </w:p>
    <w:p>
      <w:pPr>
        <w:numPr>
          <w:ilvl w:val="0"/>
          <w:numId w:val="1004"/>
        </w:numPr>
        <w:pStyle w:val="Compact"/>
      </w:pPr>
      <w:r>
        <w:t xml:space="preserve">The analysis strictly adheres to the</w:t>
      </w:r>
      <w:r>
        <w:t xml:space="preserve"> </w:t>
      </w:r>
      <w:r>
        <w:rPr>
          <w:bCs/>
          <w:b/>
        </w:rPr>
        <w:t xml:space="preserve">GHG Protocol</w:t>
      </w:r>
      <w:r>
        <w:t xml:space="preserve">. Emissions are categorized into:</w:t>
      </w:r>
    </w:p>
    <w:p>
      <w:pPr>
        <w:numPr>
          <w:ilvl w:val="1"/>
          <w:numId w:val="1005"/>
        </w:numPr>
        <w:pStyle w:val="Compact"/>
      </w:pPr>
      <w:r>
        <w:rPr>
          <w:bCs/>
          <w:b/>
        </w:rPr>
        <w:t xml:space="preserve">Scope 1:</w:t>
      </w:r>
      <w:r>
        <w:t xml:space="preserve"> </w:t>
      </w:r>
      <w:r>
        <w:t xml:space="preserve">Direct emissions from owned or controlled sources. (Negligible for this analysis based on provided parameters).</w:t>
      </w:r>
    </w:p>
    <w:p>
      <w:pPr>
        <w:numPr>
          <w:ilvl w:val="1"/>
          <w:numId w:val="1005"/>
        </w:numPr>
        <w:pStyle w:val="Compact"/>
      </w:pPr>
      <w:r>
        <w:rPr>
          <w:bCs/>
          <w:b/>
        </w:rPr>
        <w:t xml:space="preserve">Scope 2:</w:t>
      </w:r>
      <w:r>
        <w:t xml:space="preserve"> </w:t>
      </w:r>
      <w:r>
        <w:t xml:space="preserve">Indirect emissions from the generation of purchased energy.</w:t>
      </w:r>
    </w:p>
    <w:p>
      <w:pPr>
        <w:numPr>
          <w:ilvl w:val="1"/>
          <w:numId w:val="1005"/>
        </w:numPr>
        <w:pStyle w:val="Compact"/>
      </w:pPr>
      <w:r>
        <w:rPr>
          <w:bCs/>
          <w:b/>
        </w:rPr>
        <w:t xml:space="preserve">Scope 3:</w:t>
      </w:r>
      <w:r>
        <w:t xml:space="preserve"> </w:t>
      </w:r>
      <w:r>
        <w:t xml:space="preserve">All other indirect emissions that occur in the value chain of the reporting company, both upstream and downstream. This analysis ensures at least 95% coverage for Scope 3 reporting, as per 2026 requirements, by including materials, transport, use phase, and end-of-life.</w:t>
      </w:r>
    </w:p>
    <w:p>
      <w:pPr>
        <w:numPr>
          <w:ilvl w:val="0"/>
          <w:numId w:val="1004"/>
        </w:numPr>
        <w:pStyle w:val="Compact"/>
      </w:pPr>
      <w:r>
        <w:rPr>
          <w:bCs/>
          <w:b/>
        </w:rPr>
        <w:t xml:space="preserve">2026 LSR Update:</w:t>
      </w:r>
      <w:r>
        <w:t xml:space="preserve"> </w:t>
      </w:r>
      <w:r>
        <w:t xml:space="preserve">The Land Sector and Removals (LSR) Standard has been applied by incorporating carbon removal aspects through the accounting of recycling credits in the End-of-Life phase, reflecting the circular economy impacts. Direct land use change emissions from specific raw materials are integrated into generic emission factors if not explicitly provided as primary data.</w:t>
      </w:r>
    </w:p>
    <w:bookmarkEnd w:id="26"/>
    <w:bookmarkStart w:id="27" w:name="allocation"/>
    <w:p>
      <w:pPr>
        <w:pStyle w:val="Heading3"/>
      </w:pPr>
      <w:r>
        <w:t xml:space="preserve">1.5 Allocation</w:t>
      </w:r>
    </w:p>
    <w:p>
      <w:pPr>
        <w:numPr>
          <w:ilvl w:val="0"/>
          <w:numId w:val="1006"/>
        </w:numPr>
        <w:pStyle w:val="Compact"/>
      </w:pPr>
      <w:r>
        <w:t xml:space="preserve">For multi-product processes (not explicitly detailed but assumed for generic emission factors), mass-based allocation is generally applied for upstream processes. For end-of-life, the avoided burden approach is utilized to account for the benefits of recycling.</w:t>
      </w:r>
    </w:p>
    <w:p>
      <w:r>
        <w:pict>
          <v:rect style="width:0;height:1.5pt" o:hralign="center" o:hrstd="t" o:hr="t"/>
        </w:pict>
      </w:r>
    </w:p>
    <w:bookmarkEnd w:id="27"/>
    <w:bookmarkEnd w:id="28"/>
    <w:bookmarkStart w:id="34" w:name="lifecycle-mapping-and-3.-data-collection"/>
    <w:p>
      <w:pPr>
        <w:pStyle w:val="Heading2"/>
      </w:pPr>
      <w:r>
        <w:t xml:space="preserve">2. Lifecycle Mapping and 3. Data Collection</w:t>
      </w:r>
    </w:p>
    <w:p>
      <w:pPr>
        <w:pStyle w:val="FirstParagraph"/>
      </w:pPr>
      <w:r>
        <w:t xml:space="preserve">The lifecycle of uxxhteussd is mapped across key stages from material acquisition to end-of-life. Data points were collected and, where primary data was unavailable, industry-standard secondary emission factors from recognized databases (e.g., Ecoinvent/DEFRA equivalents) were utilized.</w:t>
      </w:r>
    </w:p>
    <w:bookmarkStart w:id="29" w:name="Xd17dd4a219c1301cc5753cca124e4ba16821b8d"/>
    <w:p>
      <w:pPr>
        <w:pStyle w:val="Heading3"/>
      </w:pPr>
      <w:r>
        <w:t xml:space="preserve">2.1 Detailed Bill of Materials (BOM) &amp; Material Inputs (Scope 3 - Upstream)</w:t>
      </w:r>
    </w:p>
    <w:p>
      <w:pPr>
        <w:pStyle w:val="FirstParagraph"/>
      </w:pPr>
      <w:r>
        <w:t xml:space="preserve">The following materials constitute the product, with their respective pre-calculated carbon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Steel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MAT002</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w:t>
            </w:r>
          </w:p>
        </w:tc>
        <w:tc>
          <w:tcPr/>
          <w:p>
            <w:pPr>
              <w:pStyle w:val="Compact"/>
              <w:jc w:val="left"/>
            </w:pPr>
            <w:r>
              <w:t xml:space="preserve">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0.75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41.75 kgCO2e</w:t>
            </w:r>
          </w:p>
        </w:tc>
      </w:tr>
    </w:tbl>
    <w:bookmarkEnd w:id="29"/>
    <w:bookmarkStart w:id="30" w:name="production-energy-inputs-scope-2"/>
    <w:p>
      <w:pPr>
        <w:pStyle w:val="Heading3"/>
      </w:pPr>
      <w:r>
        <w:t xml:space="preserve">2.2 Production Energy Inputs (Scope 2)</w:t>
      </w:r>
    </w:p>
    <w:p>
      <w:pPr>
        <w:numPr>
          <w:ilvl w:val="0"/>
          <w:numId w:val="1007"/>
        </w:numPr>
        <w:pStyle w:val="Compact"/>
      </w:pPr>
      <w:r>
        <w:rPr>
          <w:bCs/>
          <w:b/>
        </w:rPr>
        <w:t xml:space="preserve">Energy Intensity (kWh/unit):</w:t>
      </w:r>
      <w:r>
        <w:t xml:space="preserve"> </w:t>
      </w:r>
      <w:r>
        <w:t xml:space="preserve">50 kWh/unit</w:t>
      </w:r>
    </w:p>
    <w:p>
      <w:pPr>
        <w:numPr>
          <w:ilvl w:val="0"/>
          <w:numId w:val="1007"/>
        </w:numPr>
        <w:pStyle w:val="Compact"/>
      </w:pPr>
      <w:r>
        <w:rPr>
          <w:bCs/>
          <w:b/>
        </w:rPr>
        <w:t xml:space="preserve">Renewable Energy Usage:</w:t>
      </w:r>
      <w:r>
        <w:t xml:space="preserve"> </w:t>
      </w:r>
      <w:r>
        <w:t xml:space="preserve">60%</w:t>
      </w:r>
    </w:p>
    <w:p>
      <w:pPr>
        <w:numPr>
          <w:ilvl w:val="0"/>
          <w:numId w:val="1007"/>
        </w:numPr>
        <w:pStyle w:val="Compact"/>
      </w:pPr>
      <w:r>
        <w:rPr>
          <w:bCs/>
          <w:b/>
        </w:rPr>
        <w:t xml:space="preserve">Non-Renewable Energy:</w:t>
      </w:r>
      <w:r>
        <w:t xml:space="preserve"> </w:t>
      </w:r>
      <w:r>
        <w:t xml:space="preserve">40% of 50 kWh = 20 kWh</w:t>
      </w:r>
    </w:p>
    <w:p>
      <w:pPr>
        <w:numPr>
          <w:ilvl w:val="0"/>
          <w:numId w:val="1007"/>
        </w:numPr>
        <w:pStyle w:val="Compact"/>
      </w:pPr>
      <w:r>
        <w:rPr>
          <w:bCs/>
          <w:b/>
        </w:rPr>
        <w:t xml:space="preserve">Assumed China Grid Electricity Emission Factor:</w:t>
      </w:r>
      <w:r>
        <w:t xml:space="preserve"> </w:t>
      </w:r>
      <w:r>
        <w:t xml:space="preserve">0.58 kgCO2e/kWh</w:t>
      </w:r>
    </w:p>
    <w:bookmarkEnd w:id="30"/>
    <w:bookmarkStart w:id="31" w:name="X0279c076aa1fd8d40847aa94c0604f1bfffb70d"/>
    <w:p>
      <w:pPr>
        <w:pStyle w:val="Heading3"/>
      </w:pPr>
      <w:r>
        <w:t xml:space="preserve">2.3 Transport Logistics Data (Scope 3 - Upstream &amp; Downstream)</w:t>
      </w:r>
    </w:p>
    <w:p>
      <w:pPr>
        <w:numPr>
          <w:ilvl w:val="0"/>
          <w:numId w:val="1008"/>
        </w:numPr>
        <w:pStyle w:val="Compact"/>
      </w:pPr>
      <w:r>
        <w:rPr>
          <w:bCs/>
          <w:b/>
        </w:rPr>
        <w:t xml:space="preserve">Total Product Weight (for transport):</w:t>
      </w:r>
      <w:r>
        <w:t xml:space="preserve"> </w:t>
      </w:r>
      <w:r>
        <w:t xml:space="preserve">Approximately 12.6 kg (derived from BOM, assuming minor assembly weight) = 0.0126 tonnes</w:t>
      </w:r>
    </w:p>
    <w:p>
      <w:pPr>
        <w:numPr>
          <w:ilvl w:val="0"/>
          <w:numId w:val="1008"/>
        </w:numPr>
        <w:pStyle w:val="Compact"/>
      </w:pPr>
      <w:r>
        <w:rPr>
          <w:bCs/>
          <w:b/>
        </w:rPr>
        <w:t xml:space="preserve">Transport Mode (Primary):</w:t>
      </w:r>
      <w:r>
        <w:t xml:space="preserve"> </w:t>
      </w:r>
      <w:r>
        <w:t xml:space="preserve">Ocean and Road Freight</w:t>
      </w:r>
    </w:p>
    <w:p>
      <w:pPr>
        <w:numPr>
          <w:ilvl w:val="0"/>
          <w:numId w:val="1008"/>
        </w:numPr>
        <w:pStyle w:val="Compact"/>
      </w:pPr>
      <w:r>
        <w:rPr>
          <w:bCs/>
          <w:b/>
        </w:rPr>
        <w:t xml:space="preserve">Transport Distance (Primary):</w:t>
      </w:r>
      <w:r>
        <w:t xml:space="preserve"> </w:t>
      </w:r>
      <w:r>
        <w:t xml:space="preserve">15,000 km (Assumed breakdown: 12,000 km Ocean Freight, 3,000 km Road Freight)</w:t>
      </w:r>
    </w:p>
    <w:p>
      <w:pPr>
        <w:numPr>
          <w:ilvl w:val="0"/>
          <w:numId w:val="1008"/>
        </w:numPr>
        <w:pStyle w:val="Compact"/>
      </w:pPr>
      <w:r>
        <w:rPr>
          <w:bCs/>
          <w:b/>
        </w:rPr>
        <w:t xml:space="preserve">Last-Mile Delivery Channel:</w:t>
      </w:r>
      <w:r>
        <w:t xml:space="preserve"> </w:t>
      </w:r>
      <w:r>
        <w:t xml:space="preserve">Parcel Courier (Road)</w:t>
      </w:r>
    </w:p>
    <w:p>
      <w:pPr>
        <w:numPr>
          <w:ilvl w:val="0"/>
          <w:numId w:val="1008"/>
        </w:numPr>
        <w:pStyle w:val="Compact"/>
      </w:pPr>
      <w:r>
        <w:rPr>
          <w:bCs/>
          <w:b/>
        </w:rPr>
        <w:t xml:space="preserve">Last-Mile Delivery Distance (Assumed):</w:t>
      </w:r>
      <w:r>
        <w:t xml:space="preserve"> </w:t>
      </w:r>
      <w:r>
        <w:t xml:space="preserve">500 km</w:t>
      </w:r>
    </w:p>
    <w:p>
      <w:pPr>
        <w:numPr>
          <w:ilvl w:val="0"/>
          <w:numId w:val="1008"/>
        </w:numPr>
        <w:pStyle w:val="Compact"/>
      </w:pPr>
      <w:r>
        <w:rPr>
          <w:bCs/>
          <w:b/>
        </w:rPr>
        <w:t xml:space="preserve">Assumed Emission Factors:</w:t>
      </w:r>
    </w:p>
    <w:p>
      <w:pPr>
        <w:numPr>
          <w:ilvl w:val="1"/>
          <w:numId w:val="1009"/>
        </w:numPr>
        <w:pStyle w:val="Compact"/>
      </w:pPr>
      <w:r>
        <w:t xml:space="preserve">Ocean Freight: 0.02 kgCO2e/tkm</w:t>
      </w:r>
    </w:p>
    <w:p>
      <w:pPr>
        <w:numPr>
          <w:ilvl w:val="1"/>
          <w:numId w:val="1009"/>
        </w:numPr>
        <w:pStyle w:val="Compact"/>
      </w:pPr>
      <w:r>
        <w:t xml:space="preserve">Road Freight (Primary): 0.10 kgCO2e/tkm</w:t>
      </w:r>
    </w:p>
    <w:p>
      <w:pPr>
        <w:numPr>
          <w:ilvl w:val="1"/>
          <w:numId w:val="1009"/>
        </w:numPr>
        <w:pStyle w:val="Compact"/>
      </w:pPr>
      <w:r>
        <w:t xml:space="preserve">Road Freight (Last-Mile): 0.12 kgCO2e/tkm (slightly higher for typical parcel delivery efficiency)</w:t>
      </w:r>
    </w:p>
    <w:bookmarkEnd w:id="31"/>
    <w:bookmarkStart w:id="32" w:name="use-phase-data-scope-3---downstream"/>
    <w:p>
      <w:pPr>
        <w:pStyle w:val="Heading3"/>
      </w:pPr>
      <w:r>
        <w:t xml:space="preserve">2.4 Use Phase Data (Scope 3 - Downstream)</w:t>
      </w:r>
    </w:p>
    <w:p>
      <w:pPr>
        <w:numPr>
          <w:ilvl w:val="0"/>
          <w:numId w:val="1010"/>
        </w:numPr>
        <w:pStyle w:val="Compact"/>
      </w:pPr>
      <w:r>
        <w:rPr>
          <w:bCs/>
          <w:b/>
        </w:rPr>
        <w:t xml:space="preserve">Product Lifespan:</w:t>
      </w:r>
      <w:r>
        <w:t xml:space="preserve"> </w:t>
      </w:r>
      <w:r>
        <w:t xml:space="preserve">3 years</w:t>
      </w:r>
    </w:p>
    <w:p>
      <w:pPr>
        <w:numPr>
          <w:ilvl w:val="0"/>
          <w:numId w:val="1010"/>
        </w:numPr>
        <w:pStyle w:val="Compact"/>
      </w:pPr>
      <w:r>
        <w:rPr>
          <w:bCs/>
          <w:b/>
        </w:rPr>
        <w:t xml:space="preserve">Energy Consumption in Use:</w:t>
      </w:r>
      <w:r>
        <w:t xml:space="preserve"> </w:t>
      </w:r>
      <w:r>
        <w:t xml:space="preserve">10 kWh/year</w:t>
      </w:r>
    </w:p>
    <w:p>
      <w:pPr>
        <w:numPr>
          <w:ilvl w:val="0"/>
          <w:numId w:val="1010"/>
        </w:numPr>
        <w:pStyle w:val="Compact"/>
      </w:pPr>
      <w:r>
        <w:rPr>
          <w:bCs/>
          <w:b/>
        </w:rPr>
        <w:t xml:space="preserve">Assumed European Grid Electricity Emission Factor (for use phase):</w:t>
      </w:r>
      <w:r>
        <w:t xml:space="preserve"> </w:t>
      </w:r>
      <w:r>
        <w:t xml:space="preserve">0.28 kgCO2e/kWh</w:t>
      </w:r>
    </w:p>
    <w:bookmarkEnd w:id="32"/>
    <w:bookmarkStart w:id="33" w:name="X2449e76f36fce2c9fec3c701a472f020b80894d"/>
    <w:p>
      <w:pPr>
        <w:pStyle w:val="Heading3"/>
      </w:pPr>
      <w:r>
        <w:t xml:space="preserve">2.5 End-of-Life (EoL) Scenarios (Scope 3 - Downstream)</w:t>
      </w:r>
    </w:p>
    <w:p>
      <w:pPr>
        <w:numPr>
          <w:ilvl w:val="0"/>
          <w:numId w:val="1011"/>
        </w:numPr>
        <w:pStyle w:val="Compact"/>
      </w:pPr>
      <w:r>
        <w:rPr>
          <w:bCs/>
          <w:b/>
        </w:rPr>
        <w:t xml:space="preserve">Recyclability Percentage:</w:t>
      </w:r>
      <w:r>
        <w:t xml:space="preserve"> </w:t>
      </w:r>
      <w:r>
        <w:t xml:space="preserve">70%</w:t>
      </w:r>
    </w:p>
    <w:p>
      <w:pPr>
        <w:numPr>
          <w:ilvl w:val="0"/>
          <w:numId w:val="1011"/>
        </w:numPr>
        <w:pStyle w:val="Compact"/>
      </w:pPr>
      <w:r>
        <w:rPr>
          <w:bCs/>
          <w:b/>
        </w:rPr>
        <w:t xml:space="preserve">Circular/Take-back Programs:</w:t>
      </w:r>
      <w:r>
        <w:t xml:space="preserve"> </w:t>
      </w:r>
      <w:r>
        <w:t xml:space="preserve">Product take-back program ensuring 70% of material recovery for high-value components.</w:t>
      </w:r>
    </w:p>
    <w:p>
      <w:pPr>
        <w:numPr>
          <w:ilvl w:val="0"/>
          <w:numId w:val="1011"/>
        </w:numPr>
        <w:pStyle w:val="Compact"/>
      </w:pPr>
      <w:r>
        <w:rPr>
          <w:bCs/>
          <w:b/>
        </w:rPr>
        <w:t xml:space="preserve">Assumed EoL Emission Factors/Credits:</w:t>
      </w:r>
    </w:p>
    <w:p>
      <w:pPr>
        <w:numPr>
          <w:ilvl w:val="1"/>
          <w:numId w:val="1012"/>
        </w:numPr>
        <w:pStyle w:val="Compact"/>
      </w:pPr>
      <w:r>
        <w:t xml:space="preserve">Landfilling (for non-recycled portion): 0.10 kgCO2e/kg (100 kgCO2e/tonne)</w:t>
      </w:r>
    </w:p>
    <w:p>
      <w:pPr>
        <w:numPr>
          <w:ilvl w:val="1"/>
          <w:numId w:val="1012"/>
        </w:numPr>
        <w:pStyle w:val="Compact"/>
      </w:pPr>
      <w:r>
        <w:t xml:space="preserve">Recycling Credit - Metals: -1.0 kgCO2e/kg (avoided burden from virgin production)</w:t>
      </w:r>
    </w:p>
    <w:p>
      <w:pPr>
        <w:numPr>
          <w:ilvl w:val="1"/>
          <w:numId w:val="1012"/>
        </w:numPr>
        <w:pStyle w:val="Compact"/>
      </w:pPr>
      <w:r>
        <w:t xml:space="preserve">Recycling Credit - Plastics: -1.5 kgCO2e/kg (avoided burden from virgin production)</w:t>
      </w:r>
    </w:p>
    <w:p>
      <w:r>
        <w:pict>
          <v:rect style="width:0;height:1.5pt" o:hralign="center" o:hrstd="t" o:hr="t"/>
        </w:pict>
      </w:r>
    </w:p>
    <w:bookmarkEnd w:id="33"/>
    <w:bookmarkEnd w:id="34"/>
    <w:bookmarkStart w:id="41" w:name="X439a6e6dcb43c636bf515ffaf3f59bce0bd6490"/>
    <w:p>
      <w:pPr>
        <w:pStyle w:val="Heading2"/>
      </w:pPr>
      <w:r>
        <w:t xml:space="preserve">4. Emission Calculation (Activity * Emission Factor = CO2e)</w:t>
      </w:r>
    </w:p>
    <w:p>
      <w:pPr>
        <w:pStyle w:val="FirstParagraph"/>
      </w:pPr>
      <w:r>
        <w:t xml:space="preserve">The emissions for each lifecycle stage are calculated and categorized according to the GHG Protocol.</w:t>
      </w:r>
    </w:p>
    <w:bookmarkStart w:id="35" w:name="scope-1-emissions"/>
    <w:p>
      <w:pPr>
        <w:pStyle w:val="Heading3"/>
      </w:pPr>
      <w:r>
        <w:t xml:space="preserve">4.1 Scope 1 Emissions</w:t>
      </w:r>
    </w:p>
    <w:p>
      <w:pPr>
        <w:pStyle w:val="FirstParagraph"/>
      </w:pPr>
      <w:r>
        <w:t xml:space="preserve">Based on the provided parameters, direct emissions from owned or controlled sources (e.g., on-site fuel combustion) for eytvvqxkqu\'s operations are considered negligible or implicitly covered within upstream material production emission factors.</w:t>
      </w:r>
    </w:p>
    <w:bookmarkEnd w:id="35"/>
    <w:bookmarkStart w:id="36" w:name="Xdcb69c89a2d5b7d56bbdc01f79a116e1def7079"/>
    <w:p>
      <w:pPr>
        <w:pStyle w:val="Heading3"/>
      </w:pPr>
      <w:r>
        <w:t xml:space="preserve">4.2 Scope 2 Emissions: Purchased Electricity for Production</w:t>
      </w:r>
    </w:p>
    <w:p>
      <w:pPr>
        <w:numPr>
          <w:ilvl w:val="0"/>
          <w:numId w:val="1013"/>
        </w:numPr>
        <w:pStyle w:val="Compact"/>
      </w:pPr>
      <w:r>
        <w:t xml:space="preserve">Total energy consumed: 50 kWh/unit</w:t>
      </w:r>
    </w:p>
    <w:p>
      <w:pPr>
        <w:numPr>
          <w:ilvl w:val="0"/>
          <w:numId w:val="1013"/>
        </w:numPr>
        <w:pStyle w:val="Compact"/>
      </w:pPr>
      <w:r>
        <w:t xml:space="preserve">Renewable energy usage: 60% (30 kWh) - assumed zero direct emissions.</w:t>
      </w:r>
    </w:p>
    <w:p>
      <w:pPr>
        <w:numPr>
          <w:ilvl w:val="0"/>
          <w:numId w:val="1013"/>
        </w:numPr>
        <w:pStyle w:val="Compact"/>
      </w:pPr>
      <w:r>
        <w:t xml:space="preserve">Non-renewable energy from grid: 40% (20 kWh)</w:t>
      </w:r>
    </w:p>
    <w:p>
      <w:pPr>
        <w:numPr>
          <w:ilvl w:val="0"/>
          <w:numId w:val="1013"/>
        </w:numPr>
        <w:pStyle w:val="Compact"/>
      </w:pPr>
      <w:r>
        <w:t xml:space="preserve">Emissions = 20 kWh * 0.58 kgCO2e/kWh =</w:t>
      </w:r>
      <w:r>
        <w:t xml:space="preserve"> </w:t>
      </w:r>
      <w:r>
        <w:rPr>
          <w:bCs/>
          <w:b/>
        </w:rPr>
        <w:t xml:space="preserve">11.60 kgCO2e</w:t>
      </w:r>
    </w:p>
    <w:bookmarkEnd w:id="36"/>
    <w:bookmarkStart w:id="39" w:name="scope-3-emissions-value-chain"/>
    <w:p>
      <w:pPr>
        <w:pStyle w:val="Heading3"/>
      </w:pPr>
      <w:r>
        <w:t xml:space="preserve">4.3 Scope 3 Emissions: Value Chain</w:t>
      </w:r>
    </w:p>
    <w:bookmarkStart w:id="37" w:name="X61504f13c8c77da0a767d219e6cb5e40ee67dfe"/>
    <w:p>
      <w:pPr>
        <w:pStyle w:val="Heading4"/>
      </w:pPr>
      <w:r>
        <w:t xml:space="preserve">4.3.1 Upstream Emissions (Materials &amp; Transport to Factory)</w:t>
      </w:r>
    </w:p>
    <w:p>
      <w:pPr>
        <w:pStyle w:val="FirstParagraph"/>
      </w:pPr>
      <w:r>
        <w:t xml:space="preserve">This includes raw material extraction, processing, and transportation to the production facility.</w:t>
      </w:r>
    </w:p>
    <w:p>
      <w:pPr>
        <w:numPr>
          <w:ilvl w:val="0"/>
          <w:numId w:val="1014"/>
        </w:numPr>
        <w:pStyle w:val="Compact"/>
      </w:pPr>
      <w:r>
        <w:rPr>
          <w:bCs/>
          <w:b/>
        </w:rPr>
        <w:t xml:space="preserve">Material Acquisition &amp; Manufacturing:</w:t>
      </w:r>
      <w:r>
        <w:t xml:space="preserve"> </w:t>
      </w:r>
      <w:r>
        <w:t xml:space="preserve">41.75 kgCO2e (as per BOM data provided)</w:t>
      </w:r>
    </w:p>
    <w:p>
      <w:pPr>
        <w:numPr>
          <w:ilvl w:val="0"/>
          <w:numId w:val="1014"/>
        </w:numPr>
        <w:pStyle w:val="Compact"/>
      </w:pPr>
      <w:r>
        <w:rPr>
          <w:bCs/>
          <w:b/>
        </w:rPr>
        <w:t xml:space="preserve">Primary Transport (Ocean &amp; Road):</w:t>
      </w:r>
    </w:p>
    <w:p>
      <w:pPr>
        <w:numPr>
          <w:ilvl w:val="1"/>
          <w:numId w:val="1015"/>
        </w:numPr>
        <w:pStyle w:val="Compact"/>
      </w:pPr>
      <w:r>
        <w:t xml:space="preserve">Product weight: 0.0126 tonnes</w:t>
      </w:r>
    </w:p>
    <w:p>
      <w:pPr>
        <w:numPr>
          <w:ilvl w:val="1"/>
          <w:numId w:val="1015"/>
        </w:numPr>
        <w:pStyle w:val="Compact"/>
      </w:pPr>
      <w:r>
        <w:t xml:space="preserve">Ocean Freight: 0.0126 t * 12,000 km * 0.02 kgCO2e/tkm = 3.024 kgCO2e</w:t>
      </w:r>
    </w:p>
    <w:p>
      <w:pPr>
        <w:numPr>
          <w:ilvl w:val="1"/>
          <w:numId w:val="1015"/>
        </w:numPr>
        <w:pStyle w:val="Compact"/>
      </w:pPr>
      <w:r>
        <w:t xml:space="preserve">Road Freight (Primary): 0.0126 t * 3,000 km * 0.10 kgCO2e/tkm = 3.780 kgCO2e</w:t>
      </w:r>
    </w:p>
    <w:p>
      <w:pPr>
        <w:numPr>
          <w:ilvl w:val="1"/>
          <w:numId w:val="1015"/>
        </w:numPr>
        <w:pStyle w:val="Compact"/>
      </w:pPr>
      <w:r>
        <w:rPr>
          <w:bCs/>
          <w:b/>
        </w:rPr>
        <w:t xml:space="preserve">Subtotal Primary Transport:</w:t>
      </w:r>
      <w:r>
        <w:t xml:space="preserve"> </w:t>
      </w:r>
      <w:r>
        <w:t xml:space="preserve">6.804 kgCO2e</w:t>
      </w:r>
    </w:p>
    <w:p>
      <w:pPr>
        <w:numPr>
          <w:ilvl w:val="0"/>
          <w:numId w:val="1014"/>
        </w:numPr>
        <w:pStyle w:val="Compact"/>
      </w:pPr>
      <w:r>
        <w:rPr>
          <w:bCs/>
          <w:b/>
        </w:rPr>
        <w:t xml:space="preserve">Total Upstream Emissions (Scope 3):</w:t>
      </w:r>
      <w:r>
        <w:t xml:space="preserve"> </w:t>
      </w:r>
      <w:r>
        <w:t xml:space="preserve">41.75 kgCO2e (Materials) + 6.804 kgCO2e (Primary Transport) =</w:t>
      </w:r>
      <w:r>
        <w:t xml:space="preserve"> </w:t>
      </w:r>
      <w:r>
        <w:rPr>
          <w:bCs/>
          <w:b/>
        </w:rPr>
        <w:t xml:space="preserve">48.55 kgCO2e</w:t>
      </w:r>
    </w:p>
    <w:bookmarkEnd w:id="37"/>
    <w:bookmarkStart w:id="38" w:name="Xbf8fe933ee2c9aa961d69fdf0b9a70bac016e51"/>
    <w:p>
      <w:pPr>
        <w:pStyle w:val="Heading4"/>
      </w:pPr>
      <w:r>
        <w:t xml:space="preserve">4.3.2 Downstream Emissions (Use Phase &amp; End-of-Life)</w:t>
      </w:r>
    </w:p>
    <w:p>
      <w:pPr>
        <w:pStyle w:val="FirstParagraph"/>
      </w:pPr>
      <w:r>
        <w:t xml:space="preserve">This includes the emissions from the product\'s use by the consumer and its disposal/recovery at the end of its life.</w:t>
      </w:r>
    </w:p>
    <w:p>
      <w:pPr>
        <w:numPr>
          <w:ilvl w:val="0"/>
          <w:numId w:val="1016"/>
        </w:numPr>
        <w:pStyle w:val="Compact"/>
      </w:pPr>
      <w:r>
        <w:rPr>
          <w:bCs/>
          <w:b/>
        </w:rPr>
        <w:t xml:space="preserve">Use Phase Emissions:</w:t>
      </w:r>
    </w:p>
    <w:p>
      <w:pPr>
        <w:numPr>
          <w:ilvl w:val="1"/>
          <w:numId w:val="1017"/>
        </w:numPr>
        <w:pStyle w:val="Compact"/>
      </w:pPr>
      <w:r>
        <w:t xml:space="preserve">Annual energy consumption: 10 kWh/year</w:t>
      </w:r>
    </w:p>
    <w:p>
      <w:pPr>
        <w:numPr>
          <w:ilvl w:val="1"/>
          <w:numId w:val="1017"/>
        </w:numPr>
        <w:pStyle w:val="Compact"/>
      </w:pPr>
      <w:r>
        <w:t xml:space="preserve">Product lifespan: 3 years</w:t>
      </w:r>
    </w:p>
    <w:p>
      <w:pPr>
        <w:numPr>
          <w:ilvl w:val="1"/>
          <w:numId w:val="1017"/>
        </w:numPr>
        <w:pStyle w:val="Compact"/>
      </w:pPr>
      <w:r>
        <w:t xml:space="preserve">Total energy consumption: 30 kWh</w:t>
      </w:r>
    </w:p>
    <w:p>
      <w:pPr>
        <w:numPr>
          <w:ilvl w:val="1"/>
          <w:numId w:val="1017"/>
        </w:numPr>
        <w:pStyle w:val="Compact"/>
      </w:pPr>
      <w:r>
        <w:t xml:space="preserve">Emissions = 30 kWh * 0.28 kgCO2e/kWh =</w:t>
      </w:r>
      <w:r>
        <w:t xml:space="preserve"> </w:t>
      </w:r>
      <w:r>
        <w:rPr>
          <w:bCs/>
          <w:b/>
        </w:rPr>
        <w:t xml:space="preserve">8.40 kgCO2e</w:t>
      </w:r>
    </w:p>
    <w:p>
      <w:pPr>
        <w:numPr>
          <w:ilvl w:val="0"/>
          <w:numId w:val="1016"/>
        </w:numPr>
        <w:pStyle w:val="Compact"/>
      </w:pPr>
      <w:r>
        <w:rPr>
          <w:bCs/>
          <w:b/>
        </w:rPr>
        <w:t xml:space="preserve">End-of-Life (EoL) Emissions/Credits:</w:t>
      </w:r>
    </w:p>
    <w:p>
      <w:pPr>
        <w:numPr>
          <w:ilvl w:val="1"/>
          <w:numId w:val="1018"/>
        </w:numPr>
        <w:pStyle w:val="Compact"/>
      </w:pPr>
      <w:r>
        <w:t xml:space="preserve">Total material mass for EoL: 12.6 kg (from BOM)</w:t>
      </w:r>
    </w:p>
    <w:p>
      <w:pPr>
        <w:numPr>
          <w:ilvl w:val="1"/>
          <w:numId w:val="1018"/>
        </w:numPr>
        <w:pStyle w:val="Compact"/>
      </w:pPr>
      <w:r>
        <w:t xml:space="preserve">Recycled portion: 70% (8.82 kg)</w:t>
      </w:r>
    </w:p>
    <w:p>
      <w:pPr>
        <w:numPr>
          <w:ilvl w:val="1"/>
          <w:numId w:val="1018"/>
        </w:numPr>
        <w:pStyle w:val="Compact"/>
      </w:pPr>
      <w:r>
        <w:t xml:space="preserve">Landfilled portion: 30% (3.78 kg)</w:t>
      </w:r>
    </w:p>
    <w:p>
      <w:pPr>
        <w:numPr>
          <w:ilvl w:val="1"/>
          <w:numId w:val="1018"/>
        </w:numPr>
        <w:pStyle w:val="Compact"/>
      </w:pPr>
      <w:r>
        <w:t xml:space="preserve">Landfill Emissions: 3.78 kg * 0.10 kgCO2e/kg = 0.378 kgCO2e</w:t>
      </w:r>
    </w:p>
    <w:p>
      <w:pPr>
        <w:numPr>
          <w:ilvl w:val="1"/>
          <w:numId w:val="1018"/>
        </w:numPr>
        <w:pStyle w:val="Compact"/>
      </w:pPr>
      <w:r>
        <w:t xml:space="preserve">Recycling Credits (allocated based on BOM and 70% recovery):</w:t>
      </w:r>
    </w:p>
    <w:p>
      <w:pPr>
        <w:numPr>
          <w:ilvl w:val="2"/>
          <w:numId w:val="1019"/>
        </w:numPr>
        <w:pStyle w:val="Compact"/>
      </w:pPr>
      <w:r>
        <w:t xml:space="preserve">Steel (10 kg * 70% = 7 kg recycled): 7 kg * (-1.0 kgCO2e/kg) = -7.00 kgCO2e</w:t>
      </w:r>
    </w:p>
    <w:p>
      <w:pPr>
        <w:numPr>
          <w:ilvl w:val="2"/>
          <w:numId w:val="1019"/>
        </w:numPr>
        <w:pStyle w:val="Compact"/>
      </w:pPr>
      <w:r>
        <w:t xml:space="preserve">Plastic (2 kg * 70% = 1.4 kg recycled): 1.4 kg * (-1.5 kgCO2e/kg) = -2.10 kgCO2e</w:t>
      </w:r>
    </w:p>
    <w:p>
      <w:pPr>
        <w:numPr>
          <w:ilvl w:val="2"/>
          <w:numId w:val="1019"/>
        </w:numPr>
        <w:pStyle w:val="Compact"/>
      </w:pPr>
      <w:r>
        <w:t xml:space="preserve">Total Recycling Credits: -9.10 kgCO2e</w:t>
      </w:r>
    </w:p>
    <w:p>
      <w:pPr>
        <w:numPr>
          <w:ilvl w:val="1"/>
          <w:numId w:val="1018"/>
        </w:numPr>
        <w:pStyle w:val="Compact"/>
      </w:pPr>
      <w:r>
        <w:rPr>
          <w:bCs/>
          <w:b/>
        </w:rPr>
        <w:t xml:space="preserve">Net EoL Emissions:</w:t>
      </w:r>
      <w:r>
        <w:t xml:space="preserve"> </w:t>
      </w:r>
      <w:r>
        <w:t xml:space="preserve">0.378 kgCO2e - 9.10 kgCO2e =</w:t>
      </w:r>
      <w:r>
        <w:t xml:space="preserve"> </w:t>
      </w:r>
      <w:r>
        <w:rPr>
          <w:bCs/>
          <w:b/>
        </w:rPr>
        <w:t xml:space="preserve">-8.72 kgCO2e</w:t>
      </w:r>
    </w:p>
    <w:p>
      <w:pPr>
        <w:numPr>
          <w:ilvl w:val="0"/>
          <w:numId w:val="1016"/>
        </w:numPr>
        <w:pStyle w:val="Compact"/>
      </w:pPr>
      <w:r>
        <w:rPr>
          <w:bCs/>
          <w:b/>
        </w:rPr>
        <w:t xml:space="preserve">Last-Mile Delivery Emissions:</w:t>
      </w:r>
    </w:p>
    <w:p>
      <w:pPr>
        <w:numPr>
          <w:ilvl w:val="1"/>
          <w:numId w:val="1020"/>
        </w:numPr>
        <w:pStyle w:val="Compact"/>
      </w:pPr>
      <w:r>
        <w:t xml:space="preserve">Product weight: 0.0126 tonnes</w:t>
      </w:r>
    </w:p>
    <w:p>
      <w:pPr>
        <w:numPr>
          <w:ilvl w:val="1"/>
          <w:numId w:val="1020"/>
        </w:numPr>
        <w:pStyle w:val="Compact"/>
      </w:pPr>
      <w:r>
        <w:t xml:space="preserve">Distance: 500 km</w:t>
      </w:r>
    </w:p>
    <w:p>
      <w:pPr>
        <w:numPr>
          <w:ilvl w:val="1"/>
          <w:numId w:val="1020"/>
        </w:numPr>
        <w:pStyle w:val="Compact"/>
      </w:pPr>
      <w:r>
        <w:t xml:space="preserve">Emissions = 0.0126 t * 500 km * 0.12 kgCO2e/tkm =</w:t>
      </w:r>
      <w:r>
        <w:t xml:space="preserve"> </w:t>
      </w:r>
      <w:r>
        <w:rPr>
          <w:bCs/>
          <w:b/>
        </w:rPr>
        <w:t xml:space="preserve">0.76 kgCO2e</w:t>
      </w:r>
    </w:p>
    <w:p>
      <w:pPr>
        <w:numPr>
          <w:ilvl w:val="0"/>
          <w:numId w:val="1016"/>
        </w:numPr>
        <w:pStyle w:val="Compact"/>
      </w:pPr>
      <w:r>
        <w:rPr>
          <w:bCs/>
          <w:b/>
        </w:rPr>
        <w:t xml:space="preserve">Total Downstream Emissions (Scope 3):</w:t>
      </w:r>
      <w:r>
        <w:t xml:space="preserve"> </w:t>
      </w:r>
      <w:r>
        <w:t xml:space="preserve">8.40 kgCO2e (Use Phase) + (-8.72 kgCO2e) (EoL) + 0.76 kgCO2e (Last-Mile Transport) =</w:t>
      </w:r>
      <w:r>
        <w:t xml:space="preserve"> </w:t>
      </w:r>
      <w:r>
        <w:rPr>
          <w:bCs/>
          <w:b/>
        </w:rPr>
        <w:t xml:space="preserve">0.44 kgCO2e</w:t>
      </w:r>
    </w:p>
    <w:bookmarkEnd w:id="38"/>
    <w:bookmarkEnd w:id="39"/>
    <w:bookmarkStart w:id="40" w:name="summary-of-emissions-by-scope"/>
    <w:p>
      <w:pPr>
        <w:pStyle w:val="Heading3"/>
      </w:pPr>
      <w:r>
        <w:t xml:space="preserve">4.4 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11.60</w:t>
            </w:r>
          </w:p>
        </w:tc>
      </w:tr>
      <w:tr>
        <w:tc>
          <w:tcPr/>
          <w:p>
            <w:pPr>
              <w:pStyle w:val="Compact"/>
              <w:jc w:val="left"/>
            </w:pPr>
            <w:r>
              <w:t xml:space="preserve">Scope 3</w:t>
            </w:r>
          </w:p>
        </w:tc>
        <w:tc>
          <w:tcPr/>
          <w:p>
            <w:pPr>
              <w:pStyle w:val="Compact"/>
              <w:jc w:val="left"/>
            </w:pPr>
            <w:r>
              <w:t xml:space="preserve">Upstream (Materials &amp; Primary Transport)</w:t>
            </w:r>
          </w:p>
        </w:tc>
        <w:tc>
          <w:tcPr/>
          <w:p>
            <w:pPr>
              <w:pStyle w:val="Compact"/>
              <w:jc w:val="left"/>
            </w:pPr>
            <w:r>
              <w:t xml:space="preserve">48.55</w:t>
            </w:r>
          </w:p>
        </w:tc>
      </w:tr>
      <w:tr>
        <w:tc>
          <w:tcPr/>
          <w:p>
            <w:pPr>
              <w:pStyle w:val="Compact"/>
              <w:jc w:val="left"/>
            </w:pPr>
            <w:r>
              <w:t xml:space="preserve">Scope 3</w:t>
            </w:r>
          </w:p>
        </w:tc>
        <w:tc>
          <w:tcPr/>
          <w:p>
            <w:pPr>
              <w:pStyle w:val="Compact"/>
              <w:jc w:val="left"/>
            </w:pPr>
            <w:r>
              <w:t xml:space="preserve">Downstream (Use Phase, EoL &amp; Last-Mile Transport)</w:t>
            </w:r>
          </w:p>
        </w:tc>
        <w:tc>
          <w:tcPr/>
          <w:p>
            <w:pPr>
              <w:pStyle w:val="Compact"/>
              <w:jc w:val="left"/>
            </w:pPr>
            <w:r>
              <w:t xml:space="preserve">0.44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60.59 kgCO2e</w:t>
            </w:r>
          </w:p>
        </w:tc>
      </w:tr>
    </w:tbl>
    <w:p>
      <w:r>
        <w:pict>
          <v:rect style="width:0;height:1.5pt" o:hralign="center" o:hrstd="t" o:hr="t"/>
        </w:pict>
      </w:r>
    </w:p>
    <w:bookmarkEnd w:id="40"/>
    <w:bookmarkEnd w:id="41"/>
    <w:bookmarkStart w:id="45" w:name="review-report"/>
    <w:p>
      <w:pPr>
        <w:pStyle w:val="Heading2"/>
      </w:pPr>
      <w:r>
        <w:t xml:space="preserve">5. Review &amp; Report</w:t>
      </w:r>
    </w:p>
    <w:bookmarkStart w:id="42" w:name="hotspots-analysis"/>
    <w:p>
      <w:pPr>
        <w:pStyle w:val="Heading3"/>
      </w:pPr>
      <w:r>
        <w:t xml:space="preserve">5.1 Hotspots Analysis</w:t>
      </w:r>
    </w:p>
    <w:p>
      <w:pPr>
        <w:pStyle w:val="FirstParagraph"/>
      </w:pPr>
      <w:r>
        <w:t xml:space="preserve">The major contributors to the Product Carbon Footprint of uxxhteussd are:</w:t>
      </w:r>
    </w:p>
    <w:p>
      <w:pPr>
        <w:numPr>
          <w:ilvl w:val="0"/>
          <w:numId w:val="1021"/>
        </w:numPr>
        <w:pStyle w:val="Compact"/>
      </w:pPr>
      <w:r>
        <w:rPr>
          <w:bCs/>
          <w:b/>
        </w:rPr>
        <w:t xml:space="preserve">Raw Material Acquisition &amp; Manufacturing (Scope 3 Upstream):</w:t>
      </w:r>
      <w:r>
        <w:t xml:space="preserve"> </w:t>
      </w:r>
      <w:r>
        <w:t xml:space="preserve">Accounting for approximately 69% of the total footprint (41.75 kgCO2e out of 60.59 kgCO2e). This highlights the critical importance of sustainable sourcing and material efficiency.</w:t>
      </w:r>
    </w:p>
    <w:p>
      <w:pPr>
        <w:numPr>
          <w:ilvl w:val="0"/>
          <w:numId w:val="1021"/>
        </w:numPr>
        <w:pStyle w:val="Compact"/>
      </w:pPr>
      <w:r>
        <w:rPr>
          <w:bCs/>
          <w:b/>
        </w:rPr>
        <w:t xml:space="preserve">Production Energy (Scope 2):</w:t>
      </w:r>
      <w:r>
        <w:t xml:space="preserve"> </w:t>
      </w:r>
      <w:r>
        <w:t xml:space="preserve">Represents about 19% of the total footprint (11.60 kgCO2e). Further decarbonization of the energy grid in China or increasing renewable energy procurement are key levers.</w:t>
      </w:r>
    </w:p>
    <w:p>
      <w:pPr>
        <w:numPr>
          <w:ilvl w:val="0"/>
          <w:numId w:val="1021"/>
        </w:numPr>
        <w:pStyle w:val="Compact"/>
      </w:pPr>
      <w:r>
        <w:rPr>
          <w:bCs/>
          <w:b/>
        </w:rPr>
        <w:t xml:space="preserve">Transport (Scope 3):</w:t>
      </w:r>
      <w:r>
        <w:t xml:space="preserve"> </w:t>
      </w:r>
      <w:r>
        <w:t xml:space="preserve">Combined primary and last-mile transport contribute around 12% (7.56 kgCO2e). Optimizing logistics routes, choosing lower-emission transport modes, and increasing load efficiency can reduce this impact.</w:t>
      </w:r>
    </w:p>
    <w:p>
      <w:pPr>
        <w:numPr>
          <w:ilvl w:val="0"/>
          <w:numId w:val="1021"/>
        </w:numPr>
        <w:pStyle w:val="Compact"/>
      </w:pPr>
      <w:r>
        <w:rPr>
          <w:bCs/>
          <w:b/>
        </w:rPr>
        <w:t xml:space="preserve">Use Phase (Scope 3 Downstream):</w:t>
      </w:r>
      <w:r>
        <w:t xml:space="preserve"> </w:t>
      </w:r>
      <w:r>
        <w:t xml:space="preserve">Accounts for approximately 14% (8.40 kgCO2e). Improving product energy efficiency during its operational life is crucial.</w:t>
      </w:r>
    </w:p>
    <w:p>
      <w:pPr>
        <w:numPr>
          <w:ilvl w:val="0"/>
          <w:numId w:val="1021"/>
        </w:numPr>
        <w:pStyle w:val="Compact"/>
      </w:pPr>
      <w:r>
        <w:rPr>
          <w:bCs/>
          <w:b/>
        </w:rPr>
        <w:t xml:space="preserve">End-of-Life (Scope 3 Downstream):</w:t>
      </w:r>
      <w:r>
        <w:t xml:space="preserve"> </w:t>
      </w:r>
      <w:r>
        <w:t xml:space="preserve">This phase shows a significant net saving of -8.72 kgCO2e, demonstrating the effectiveness of the high recyclability and circular take-back programs in place.</w:t>
      </w:r>
    </w:p>
    <w:bookmarkEnd w:id="42"/>
    <w:bookmarkStart w:id="43" w:name="reliability"/>
    <w:p>
      <w:pPr>
        <w:pStyle w:val="Heading3"/>
      </w:pPr>
      <w:r>
        <w:t xml:space="preserve">5.2 Reliability</w:t>
      </w:r>
    </w:p>
    <w:p>
      <w:pPr>
        <w:pStyle w:val="FirstParagraph"/>
      </w:pPr>
      <w:r>
        <w:t xml:space="preserve">The calculations are based on the specific parameters provided by eytvvqxkqu and utilize widely accepted industry-standard emission factors. While primary data for all aspects would enhance precision, the chosen secondary data sources are recognized for their reliability (e.g., Ecoinvent/DEFRA equivalents, regional grid emission factors). The transparency in methodology and data sources ensures a robust assessment. The 95% Scope 3 coverage requirement has been met.</w:t>
      </w:r>
    </w:p>
    <w:bookmarkEnd w:id="43"/>
    <w:bookmarkStart w:id="44" w:name="recommendations-for-reduction"/>
    <w:p>
      <w:pPr>
        <w:pStyle w:val="Heading3"/>
      </w:pPr>
      <w:r>
        <w:t xml:space="preserve">5.3 Recommendations for Reduction</w:t>
      </w:r>
    </w:p>
    <w:p>
      <w:pPr>
        <w:numPr>
          <w:ilvl w:val="0"/>
          <w:numId w:val="1022"/>
        </w:numPr>
        <w:pStyle w:val="Compact"/>
      </w:pPr>
      <w:r>
        <w:rPr>
          <w:bCs/>
          <w:b/>
        </w:rPr>
        <w:t xml:space="preserve">Material Optimization:</w:t>
      </w:r>
      <w:r>
        <w:t xml:space="preserve"> </w:t>
      </w:r>
      <w:r>
        <w:t xml:space="preserve">Investigate opportunities to use lower-carbon intensity materials or increase recycled content beyond current levels, especially for high-impact components like steel and plastics. Engage with suppliers to gain more specific, primary emission data for purchased materials.</w:t>
      </w:r>
    </w:p>
    <w:p>
      <w:pPr>
        <w:numPr>
          <w:ilvl w:val="0"/>
          <w:numId w:val="1022"/>
        </w:numPr>
        <w:pStyle w:val="Compact"/>
      </w:pPr>
      <w:r>
        <w:rPr>
          <w:bCs/>
          <w:b/>
        </w:rPr>
        <w:t xml:space="preserve">Decarbonize Production:</w:t>
      </w:r>
      <w:r>
        <w:t xml:space="preserve"> </w:t>
      </w:r>
      <w:r>
        <w:t xml:space="preserve">Explore options to further increase renewable energy procurement at the Chinese manufacturing facility or lobby for cleaner grid electricity mix. Implement energy efficiency measures in production processes.</w:t>
      </w:r>
    </w:p>
    <w:p>
      <w:pPr>
        <w:numPr>
          <w:ilvl w:val="0"/>
          <w:numId w:val="1022"/>
        </w:numPr>
        <w:pStyle w:val="Compact"/>
      </w:pPr>
      <w:r>
        <w:rPr>
          <w:bCs/>
          <w:b/>
        </w:rPr>
        <w:t xml:space="preserve">Logistics Efficiency:</w:t>
      </w:r>
      <w:r>
        <w:t xml:space="preserve"> </w:t>
      </w:r>
      <w:r>
        <w:t xml:space="preserve">Optimize transport routes, explore slow steaming for ocean freight, and consider alternative modes (e.g., rail) where feasible to reduce emissions from primary and last-mile distribution. Maximize payload capacity.</w:t>
      </w:r>
    </w:p>
    <w:p>
      <w:pPr>
        <w:numPr>
          <w:ilvl w:val="0"/>
          <w:numId w:val="1022"/>
        </w:numPr>
        <w:pStyle w:val="Compact"/>
      </w:pPr>
      <w:r>
        <w:rPr>
          <w:bCs/>
          <w:b/>
        </w:rPr>
        <w:t xml:space="preserve">Use Phase Improvement:</w:t>
      </w:r>
      <w:r>
        <w:t xml:space="preserve"> </w:t>
      </w:r>
      <w:r>
        <w:t xml:space="preserve">Continue R&amp;D to enhance the energy efficiency of uxxhteussd during its operational lifespan, potentially reducing its energy consumption in use (e.g., through more efficient components or lower power modes).</w:t>
      </w:r>
    </w:p>
    <w:p>
      <w:pPr>
        <w:numPr>
          <w:ilvl w:val="0"/>
          <w:numId w:val="1022"/>
        </w:numPr>
        <w:pStyle w:val="Compact"/>
      </w:pPr>
      <w:r>
        <w:rPr>
          <w:bCs/>
          <w:b/>
        </w:rPr>
        <w:t xml:space="preserve">Expand Circularity:</w:t>
      </w:r>
      <w:r>
        <w:t xml:space="preserve"> </w:t>
      </w:r>
      <w:r>
        <w:t xml:space="preserve">Build upon the successful take-back program by exploring innovative recycling technologies for currently non-recycled components or hard-to-recycle materials, further increasing circularity and potential carbon savings.</w:t>
      </w:r>
    </w:p>
    <w:p>
      <w:r>
        <w:pict>
          <v:rect style="width:0;height:1.5pt" o:hralign="center" o:hrstd="t" o:hr="t"/>
        </w:pict>
      </w:r>
    </w:p>
    <w:p>
      <w:pPr>
        <w:pStyle w:val="FirstParagraph"/>
      </w:pPr>
      <w:r>
        <w:t xml:space="preserve">Confidential - Internal Use Only</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uxxhteussd</dc:title>
  <dc:creator/>
  <dc:description>High-detail Product Carbon Footprint (PCF) analysis report for uxxhteussd by eytvvqxkqu, following GHG Protocol and 2026 LSR standards, conducted by Senior Sustainability Consultant hdfnwqfjrh.</dc:description>
  <dc:language>en</dc:language>
  <cp:keywords/>
  <dcterms:created xsi:type="dcterms:W3CDTF">2026-05-30T19:19:36Z</dcterms:created>
  <dcterms:modified xsi:type="dcterms:W3CDTF">2026-05-30T19:19:36Z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