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unrokgdosr</w:t>
      </w:r>
      <w:r>
        <w:t xml:space="preserve"> </w:t>
      </w:r>
      <w:r>
        <w:t xml:space="preserve">-</w:t>
      </w:r>
      <w:r>
        <w:t xml:space="preserve"> </w:t>
      </w:r>
      <w:r>
        <w:t xml:space="preserve">kpysvwqwlv</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unrokgdosr</w:t>
      </w:r>
    </w:p>
    <w:p>
      <w:pPr>
        <w:pStyle w:val="BodyText"/>
      </w:pPr>
      <w:r>
        <w:t xml:space="preserve">Company: kpysvwqwlv</w:t>
      </w:r>
    </w:p>
    <w:p>
      <w:pPr>
        <w:pStyle w:val="BodyText"/>
      </w:pPr>
      <w:r>
        <w:t xml:space="preserve">Protocol Data (Accounting Standard): GHG Protocol</w:t>
      </w:r>
    </w:p>
    <w:p>
      <w:pPr>
        <w:pStyle w:val="BodyText"/>
      </w:pPr>
      <w:r>
        <w:t xml:space="preserve">Senior Sustainability Consultant: zkvurompkh</w:t>
      </w:r>
    </w:p>
    <w:p>
      <w:pPr>
        <w:pStyle w:val="BodyText"/>
      </w:pPr>
      <w:r>
        <w:t xml:space="preserve">Disclaimer: This report is generated based on available data and industry standards, incorporating illustrative values where specific parameters were provided as placeholders. Actual results may vary with precise primary data.</w:t>
      </w:r>
    </w:p>
    <w:bookmarkEnd w:id="20"/>
    <w:bookmarkStart w:id="21" w:name="X1f3c4ef8422e77f63ae6d9ef771ecb41e88777f"/>
    <w:p>
      <w:pPr>
        <w:pStyle w:val="Heading1"/>
      </w:pPr>
      <w:r>
        <w:t xml:space="preserve">Product Carbon Footprint Analysis for unrokgdosr</w:t>
      </w:r>
    </w:p>
    <w:p>
      <w:pPr>
        <w:pStyle w:val="FirstParagraph"/>
      </w:pPr>
      <w:r>
        <w:t xml:space="preserve">Generated Date: Thursday, June 4, 2026 at 2:57 PM UTC</w:t>
      </w:r>
    </w:p>
    <w:p>
      <w:pPr>
        <w:pStyle w:val="BodyText"/>
      </w:pPr>
      <w:r>
        <w:t xml:space="preserve">Company: kpysvwqwlv | Senior Sustainability Consultant: zkvurompkh</w:t>
      </w:r>
    </w:p>
    <w:bookmarkEnd w:id="21"/>
    <w:p>
      <w:pPr>
        <w:pStyle w:val="BodyText"/>
      </w:pPr>
      <w:r>
        <w:t xml:space="preserve">As zkvurompkh, a Senior Sustainability Consultant specializing in GHG Protocol, this report details the Product Carbon Footprint (PCF) analysis for \'unrokgdosr\', manufactured by kpysvwqwlv. The analysis adheres to the GHG Protocol standards, including the 2026 Land Sector and Removals (LSR) update, and aims for at least 95% Scope 3 coverage. All calculations are presented in kg CO</w:t>
      </w:r>
      <w:r>
        <w:rPr>
          <w:vertAlign w:val="subscript"/>
        </w:rPr>
        <w:t xml:space="preserve">2</w:t>
      </w:r>
      <w:r>
        <w:t xml:space="preserve">e.</w:t>
      </w:r>
    </w:p>
    <w:p>
      <w:pPr>
        <w:pStyle w:val="BodyText"/>
      </w:pPr>
      <w:r>
        <w:rPr>
          <w:iCs/>
          <w:i/>
        </w:rPr>
        <w:t xml:space="preserve">Note: Where specific data parameters were provided as placeholders (e.g., \'omrwolwv\', \'Select Mode\', \'xqrdlxivqo\', \'jruhlspjkx\', etc.), illustrative but representative values have been used to demonstrate the methodology and calculations. These assumptions are explicitly stated in each section.</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provides a comprehensive assessment of the greenhouse gas (GHG) emissions associated with \'unrokgdosr\' across its entire lifecycle, from raw material acquisition to end-of-life treatment. The total estimated PCF for one functional unit of \'unrokgdosr\' is</w:t>
      </w:r>
      <w:r>
        <w:t xml:space="preserve"> </w:t>
      </w:r>
      <w:r>
        <w:rPr>
          <w:bCs/>
          <w:b/>
        </w:rPr>
        <w:t xml:space="preserve">[Calculated Total PCF] kg CO</w:t>
      </w:r>
      <w:r>
        <w:rPr>
          <w:vertAlign w:val="subscript"/>
          <w:bCs/>
          <w:b/>
        </w:rPr>
        <w:t xml:space="preserve">2</w:t>
      </w:r>
      <w:r>
        <w:rPr>
          <w:bCs/>
          <w:b/>
        </w:rPr>
        <w:t xml:space="preserve">e</w:t>
      </w:r>
      <w:r>
        <w:t xml:space="preserve">. Key emission hotspots have been identified in the materials acquisition and production phases, with significant contributions also from product use and transportation. The report outlines the methodology, detailed calculations, and recommendations for emission reduction, emphasizing the importance of robust data for ongoing sustainability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calculating the Product Carbon Footprint (PCF) involves clearly defining the parameters of the assessment. This ensures consistency and comparability of results.</w:t>
      </w:r>
    </w:p>
    <w:p>
      <w:pPr>
        <w:numPr>
          <w:ilvl w:val="0"/>
          <w:numId w:val="1001"/>
        </w:numPr>
        <w:pStyle w:val="Compact"/>
      </w:pPr>
      <w:r>
        <w:rPr>
          <w:bCs/>
          <w:b/>
        </w:rPr>
        <w:t xml:space="preserve">Functional Unit:</w:t>
      </w:r>
      <w:r>
        <w:t xml:space="preserve"> </w:t>
      </w:r>
      <w:r>
        <w:t xml:space="preserve">1.0 unit of \'unrokgdosr\'.</w:t>
      </w:r>
    </w:p>
    <w:p>
      <w:pPr>
        <w:numPr>
          <w:ilvl w:val="0"/>
          <w:numId w:val="1001"/>
        </w:numPr>
        <w:pStyle w:val="Compact"/>
      </w:pPr>
      <w:r>
        <w:rPr>
          <w:bCs/>
          <w:b/>
        </w:rPr>
        <w:t xml:space="preserve">System Boundary:</w:t>
      </w:r>
      <w:r>
        <w:t xml:space="preserve"> </w:t>
      </w:r>
      <w:r>
        <w:t xml:space="preserve">factory_gate. This "cradle-to-gate" boundary covers emissions from raw material extraction up to the point the product leaves the factory. While the primary system boundary is factory_gate, the analysis is expanded to a "cradle-to-grave" approach to include use-phase and end-of-life impacts, providing a more comprehensive view as requested.</w:t>
      </w:r>
    </w:p>
    <w:p>
      <w:pPr>
        <w:numPr>
          <w:ilvl w:val="0"/>
          <w:numId w:val="1001"/>
        </w:numPr>
        <w:pStyle w:val="Compact"/>
      </w:pPr>
      <w:r>
        <w:rPr>
          <w:bCs/>
          <w:b/>
        </w:rPr>
        <w:t xml:space="preserve">Geographic Scope:</w:t>
      </w:r>
      <w:r>
        <w:t xml:space="preserve"> </w:t>
      </w:r>
      <w:r>
        <w:t xml:space="preserve">Final Production Country: China, Supply Chain Focus: Europe Focused. This implies a need for region-specific emission factors for production and upstream activities where possible.</w:t>
      </w:r>
    </w:p>
    <w:p>
      <w:pPr>
        <w:numPr>
          <w:ilvl w:val="0"/>
          <w:numId w:val="1001"/>
        </w:numPr>
        <w:pStyle w:val="Compact"/>
      </w:pPr>
      <w:r>
        <w:rPr>
          <w:bCs/>
          <w:b/>
        </w:rPr>
        <w:t xml:space="preserve">Allocation:</w:t>
      </w:r>
      <w:r>
        <w:t xml:space="preserve"> </w:t>
      </w:r>
      <w:r>
        <w:t xml:space="preserve">For a single product analysis, direct allocation of emissions to the functional unit is applied across all lifecycle stages.</w:t>
      </w:r>
    </w:p>
    <w:p>
      <w:pPr>
        <w:numPr>
          <w:ilvl w:val="0"/>
          <w:numId w:val="1001"/>
        </w:numPr>
        <w:pStyle w:val="Compact"/>
      </w:pPr>
      <w:r>
        <w:rPr>
          <w:bCs/>
          <w:b/>
        </w:rPr>
        <w:t xml:space="preserve">Accounting Standard:</w:t>
      </w:r>
      <w:r>
        <w:t xml:space="preserve"> </w:t>
      </w:r>
      <w:r>
        <w:t xml:space="preserve">GHG Protocol. This report adheres to the Greenhouse Gas Protocol Product Standard, which provides requirements and guidance for quantifying and reporting GHG emissions for products.</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and the data collected for each, including materials, energy inputs, and logistics. For placeholder parameters, illustrative data has been generated to demonstrate the calculation methodology.</w:t>
      </w:r>
    </w:p>
    <w:bookmarkStart w:id="24" w:name="X18038ae8237b750cd393d6fb49a6c5b94f344cf"/>
    <w:p>
      <w:pPr>
        <w:pStyle w:val="Heading3"/>
      </w:pPr>
      <w:r>
        <w:t xml:space="preserve">Material Acquisition and Pre-processing (Scope 3 – Upstream)</w:t>
      </w:r>
    </w:p>
    <w:p>
      <w:pPr>
        <w:pStyle w:val="FirstParagraph"/>
      </w:pPr>
      <w:r>
        <w:t xml:space="preserve">The detailed Bill of Materials (BOM) for \'unrokgdosr\' is crucial for high-accuracy material impact calculation. The following illustrative BOM data is used for calculation:</w:t>
      </w:r>
    </w:p>
    <w:p>
      <w:pPr>
        <w:pStyle w:val="BodyText"/>
      </w:pPr>
      <w:r>
        <w:rPr>
          <w:iCs/>
          <w:i/>
        </w:rPr>
        <w:t xml:space="preserve">Assumed BOM data based on placeholder \'omrwolwv\':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w:t>
            </w:r>
            <w:r>
              <w:rPr>
                <w:vertAlign w:val="subscript"/>
              </w:rPr>
              <w:t xml:space="preserve">2</w:t>
            </w:r>
            <w:r>
              <w:t xml:space="preserve">e/unit)</w:t>
            </w:r>
          </w:p>
        </w:tc>
        <w:tc>
          <w:tcPr/>
          <w:p>
            <w:pPr>
              <w:pStyle w:val="Compact"/>
              <w:jc w:val="left"/>
            </w:pPr>
            <w:r>
              <w:t xml:space="preserve">Total Illustrative Carbon (kg 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 &amp; 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Polypropylene Base</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2.8</w:t>
            </w:r>
          </w:p>
        </w:tc>
        <w:tc>
          <w:tcPr/>
          <w:p>
            <w:pPr>
              <w:pStyle w:val="Compact"/>
              <w:jc w:val="left"/>
            </w:pPr>
            <w:r>
              <w:t xml:space="preserve">3.36</w:t>
            </w:r>
          </w:p>
        </w:tc>
      </w:tr>
      <w:tr>
        <w:tc>
          <w:tcPr/>
          <w:p>
            <w:pPr>
              <w:pStyle w:val="Compact"/>
              <w:jc w:val="left"/>
            </w:pPr>
            <w:r>
              <w:t xml:space="preserve">3</w:t>
            </w:r>
          </w:p>
        </w:tc>
        <w:tc>
          <w:tcPr/>
          <w:p>
            <w:pPr>
              <w:pStyle w:val="Compact"/>
              <w:jc w:val="left"/>
            </w:pPr>
            <w:r>
              <w:t xml:space="preserve">Electronic Module</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45.0</w:t>
            </w:r>
          </w:p>
        </w:tc>
        <w:tc>
          <w:tcPr/>
          <w:p>
            <w:pPr>
              <w:pStyle w:val="Compact"/>
              <w:jc w:val="left"/>
            </w:pPr>
            <w:r>
              <w:t xml:space="preserve">13.50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4.2</w:t>
            </w:r>
          </w:p>
        </w:tc>
        <w:tc>
          <w:tcPr/>
          <w:p>
            <w:pPr>
              <w:pStyle w:val="Compact"/>
              <w:jc w:val="left"/>
            </w:pPr>
            <w:r>
              <w:t xml:space="preserve">2.10</w:t>
            </w:r>
          </w:p>
        </w:tc>
      </w:tr>
    </w:tbl>
    <w:bookmarkEnd w:id="24"/>
    <w:bookmarkStart w:id="25" w:name="X33ad926d1bd61720d58a16624d16f5b3f6c1554"/>
    <w:p>
      <w:pPr>
        <w:pStyle w:val="Heading3"/>
      </w:pPr>
      <w:r>
        <w:t xml:space="preserve">Production Phase (Scope 1, Scope 2, Scope 3 – Upstream for non-energy inputs)</w:t>
      </w:r>
    </w:p>
    <w:p>
      <w:pPr>
        <w:pStyle w:val="FirstParagraph"/>
      </w:pPr>
      <w:r>
        <w:t xml:space="preserve">This phase covers the manufacturing of \'unrokgdosr\' in China. Energy consumption is a primary input.</w:t>
      </w:r>
    </w:p>
    <w:p>
      <w:pPr>
        <w:numPr>
          <w:ilvl w:val="0"/>
          <w:numId w:val="1002"/>
        </w:numPr>
        <w:pStyle w:val="Compact"/>
      </w:pPr>
      <w:r>
        <w:rPr>
          <w:bCs/>
          <w:b/>
        </w:rPr>
        <w:t xml:space="preserve">Energy Intensity (kWh/unit):</w:t>
      </w:r>
      <w:r>
        <w:t xml:space="preserve"> </w:t>
      </w:r>
      <w:r>
        <w:t xml:space="preserve">15 kWh/unit (illustrative value for \'ilvpywoowh\')</w:t>
      </w:r>
    </w:p>
    <w:p>
      <w:pPr>
        <w:numPr>
          <w:ilvl w:val="0"/>
          <w:numId w:val="1002"/>
        </w:numPr>
        <w:pStyle w:val="Compact"/>
      </w:pPr>
      <w:r>
        <w:rPr>
          <w:bCs/>
          <w:b/>
        </w:rPr>
        <w:t xml:space="preserve">Renewable Energy Usage:</w:t>
      </w:r>
      <w:r>
        <w:t xml:space="preserve"> </w:t>
      </w:r>
      <w:r>
        <w:t xml:space="preserve">50% (illustrative value for \'jruhlspjkx\'). This percentage of energy is assumed to have zero direct emissions.</w:t>
      </w:r>
    </w:p>
    <w:p>
      <w:pPr>
        <w:numPr>
          <w:ilvl w:val="0"/>
          <w:numId w:val="1002"/>
        </w:numPr>
        <w:pStyle w:val="Compact"/>
      </w:pPr>
      <w:r>
        <w:rPr>
          <w:bCs/>
          <w:b/>
        </w:rPr>
        <w:t xml:space="preserve">China Electricity Grid Emission Factor (Illustrative):</w:t>
      </w:r>
      <w:r>
        <w:t xml:space="preserve"> </w:t>
      </w:r>
      <w:r>
        <w:t xml:space="preserve">0.65 kg CO</w:t>
      </w:r>
      <w:r>
        <w:rPr>
          <w:vertAlign w:val="subscript"/>
        </w:rPr>
        <w:t xml:space="preserve">2</w:t>
      </w:r>
      <w:r>
        <w:t xml:space="preserve">e/kWh. (This factor represents the average for grid electricity in China, specifically for 2025-2026, where applicable, according to various sources suggesting values around 0.6144 kg CO2e/kWh to 0.6835 kg CO2e/kWh).</w:t>
      </w:r>
    </w:p>
    <w:p>
      <w:pPr>
        <w:numPr>
          <w:ilvl w:val="0"/>
          <w:numId w:val="1002"/>
        </w:numPr>
        <w:pStyle w:val="Compact"/>
      </w:pPr>
      <w:r>
        <w:rPr>
          <w:bCs/>
          <w:b/>
        </w:rPr>
        <w:t xml:space="preserve">Direct emissions (Scope 1):</w:t>
      </w:r>
      <w:r>
        <w:t xml:space="preserve"> </w:t>
      </w:r>
      <w:r>
        <w:t xml:space="preserve">Assuming minimal on-site fuel combustion for direct manufacturing processes. (For this analysis, primarily focusing on energy and material inputs).</w:t>
      </w:r>
    </w:p>
    <w:bookmarkEnd w:id="25"/>
    <w:bookmarkStart w:id="26" w:name="X1f45ef8d757a25535c871078d9a725b0ae836ad"/>
    <w:p>
      <w:pPr>
        <w:pStyle w:val="Heading3"/>
      </w:pPr>
      <w:r>
        <w:t xml:space="preserve">Transport and Distribution (Scope 3 – Upstream and Downstream)</w:t>
      </w:r>
    </w:p>
    <w:p>
      <w:pPr>
        <w:pStyle w:val="FirstParagraph"/>
      </w:pPr>
      <w:r>
        <w:t xml:space="preserve">Logistics data is incorporated into the supply chain analysis.</w:t>
      </w:r>
    </w:p>
    <w:p>
      <w:pPr>
        <w:numPr>
          <w:ilvl w:val="0"/>
          <w:numId w:val="1003"/>
        </w:numPr>
        <w:pStyle w:val="Compact"/>
      </w:pPr>
      <w:r>
        <w:rPr>
          <w:bCs/>
          <w:b/>
        </w:rPr>
        <w:t xml:space="preserve">Upstream Transport (Materials):</w:t>
      </w:r>
    </w:p>
    <w:p>
      <w:pPr>
        <w:numPr>
          <w:ilvl w:val="1"/>
          <w:numId w:val="1004"/>
        </w:numPr>
        <w:pStyle w:val="Compact"/>
      </w:pPr>
      <w:r>
        <w:rPr>
          <w:bCs/>
          <w:b/>
        </w:rPr>
        <w:t xml:space="preserve">Transport Mode (Illustrative for \'Select Mode\'):</w:t>
      </w:r>
      <w:r>
        <w:t xml:space="preserve"> </w:t>
      </w:r>
      <w:r>
        <w:t xml:space="preserve">Heavy Goods Vehicle (HGV) / Truck.</w:t>
      </w:r>
    </w:p>
    <w:p>
      <w:pPr>
        <w:numPr>
          <w:ilvl w:val="1"/>
          <w:numId w:val="1004"/>
        </w:numPr>
        <w:pStyle w:val="Compact"/>
      </w:pPr>
      <w:r>
        <w:rPr>
          <w:bCs/>
          <w:b/>
        </w:rPr>
        <w:t xml:space="preserve">Transport Distance (Illustrative for \'xqrdlxivqo\'):</w:t>
      </w:r>
      <w:r>
        <w:t xml:space="preserve"> </w:t>
      </w:r>
      <w:r>
        <w:t xml:space="preserve">2000 km (average for materials sourced from Europe to China).</w:t>
      </w:r>
    </w:p>
    <w:p>
      <w:pPr>
        <w:numPr>
          <w:ilvl w:val="1"/>
          <w:numId w:val="1004"/>
        </w:numPr>
        <w:pStyle w:val="Compact"/>
      </w:pPr>
      <w:r>
        <w:rPr>
          <w:bCs/>
          <w:b/>
        </w:rPr>
        <w:t xml:space="preserve">Illustrative Emission Factor (HGV/Truck, average load, diesel):</w:t>
      </w:r>
      <w:r>
        <w:t xml:space="preserve"> </w:t>
      </w:r>
      <w:r>
        <w:t xml:space="preserve">0.1 kg CO</w:t>
      </w:r>
      <w:r>
        <w:rPr>
          <w:vertAlign w:val="subscript"/>
        </w:rPr>
        <w:t xml:space="preserve">2</w:t>
      </w:r>
      <w:r>
        <w:t xml:space="preserve">e/tonne-km.</w:t>
      </w:r>
    </w:p>
    <w:p>
      <w:pPr>
        <w:numPr>
          <w:ilvl w:val="1"/>
          <w:numId w:val="1004"/>
        </w:numPr>
        <w:pStyle w:val="Compact"/>
      </w:pPr>
      <w:r>
        <w:rPr>
          <w:bCs/>
          <w:b/>
        </w:rPr>
        <w:t xml:space="preserve">Total raw material weight for transport:</w:t>
      </w:r>
      <w:r>
        <w:t xml:space="preserve"> </w:t>
      </w:r>
      <w:r>
        <w:t xml:space="preserve">2.5kg (Aluminium) + 1.2kg (Polypropylene) + 0.3 units (Electronic Module, assume 0.5kg/unit) + 0.5kg (Copper) = 4.7 + 0.15 = 4.85 kg. Let\'s use 5 kg for simplicity.</w:t>
      </w:r>
    </w:p>
    <w:p>
      <w:pPr>
        <w:numPr>
          <w:ilvl w:val="0"/>
          <w:numId w:val="1003"/>
        </w:numPr>
        <w:pStyle w:val="Compact"/>
      </w:pPr>
      <w:r>
        <w:rPr>
          <w:bCs/>
          <w:b/>
        </w:rPr>
        <w:t xml:space="preserve">Last-Mile Delivery (Finished Product):</w:t>
      </w:r>
    </w:p>
    <w:p>
      <w:pPr>
        <w:numPr>
          <w:ilvl w:val="1"/>
          <w:numId w:val="1005"/>
        </w:numPr>
        <w:pStyle w:val="Compact"/>
      </w:pPr>
      <w:r>
        <w:rPr>
          <w:bCs/>
          <w:b/>
        </w:rPr>
        <w:t xml:space="preserve">Last-Mile Delivery Channel (Illustrative for \'Delivery Type\'):</w:t>
      </w:r>
      <w:r>
        <w:t xml:space="preserve"> </w:t>
      </w:r>
      <w:r>
        <w:t xml:space="preserve">Light Commercial Vehicle (LCV) / Van.</w:t>
      </w:r>
    </w:p>
    <w:p>
      <w:pPr>
        <w:numPr>
          <w:ilvl w:val="1"/>
          <w:numId w:val="1005"/>
        </w:numPr>
        <w:pStyle w:val="Compact"/>
      </w:pPr>
      <w:r>
        <w:rPr>
          <w:bCs/>
          <w:b/>
        </w:rPr>
        <w:t xml:space="preserve">Illustrative Transport Distance:</w:t>
      </w:r>
      <w:r>
        <w:t xml:space="preserve"> </w:t>
      </w:r>
      <w:r>
        <w:t xml:space="preserve">100 km (average for delivery to end-user).</w:t>
      </w:r>
    </w:p>
    <w:p>
      <w:pPr>
        <w:numPr>
          <w:ilvl w:val="1"/>
          <w:numId w:val="1005"/>
        </w:numPr>
        <w:pStyle w:val="Compact"/>
      </w:pPr>
      <w:r>
        <w:rPr>
          <w:bCs/>
          <w:b/>
        </w:rPr>
        <w:t xml:space="preserve">Illustrative Emission Factor (LCV/Van):</w:t>
      </w:r>
      <w:r>
        <w:t xml:space="preserve"> </w:t>
      </w:r>
      <w:r>
        <w:t xml:space="preserve">0.25 kg CO</w:t>
      </w:r>
      <w:r>
        <w:rPr>
          <w:vertAlign w:val="subscript"/>
        </w:rPr>
        <w:t xml:space="preserve">2</w:t>
      </w:r>
      <w:r>
        <w:t xml:space="preserve">e/km.</w:t>
      </w:r>
    </w:p>
    <w:bookmarkEnd w:id="26"/>
    <w:bookmarkStart w:id="27" w:name="use-phase-scope-3-downstream"/>
    <w:p>
      <w:pPr>
        <w:pStyle w:val="Heading3"/>
      </w:pPr>
      <w:r>
        <w:t xml:space="preserve">Use Phase (Scope 3 – Downstream)</w:t>
      </w:r>
    </w:p>
    <w:p>
      <w:pPr>
        <w:pStyle w:val="FirstParagraph"/>
      </w:pPr>
      <w:r>
        <w:t xml:space="preserve">This phase accounts for emissions during the product\'s lifespan.</w:t>
      </w:r>
    </w:p>
    <w:p>
      <w:pPr>
        <w:numPr>
          <w:ilvl w:val="0"/>
          <w:numId w:val="1006"/>
        </w:numPr>
        <w:pStyle w:val="Compact"/>
      </w:pPr>
      <w:r>
        <w:rPr>
          <w:bCs/>
          <w:b/>
        </w:rPr>
        <w:t xml:space="preserve">Product Lifespan (Illustrative for \'rthnmguevw\'):</w:t>
      </w:r>
      <w:r>
        <w:t xml:space="preserve"> </w:t>
      </w:r>
      <w:r>
        <w:t xml:space="preserve">5 years.</w:t>
      </w:r>
    </w:p>
    <w:p>
      <w:pPr>
        <w:numPr>
          <w:ilvl w:val="0"/>
          <w:numId w:val="1006"/>
        </w:numPr>
        <w:pStyle w:val="Compact"/>
      </w:pPr>
      <w:r>
        <w:rPr>
          <w:bCs/>
          <w:b/>
        </w:rPr>
        <w:t xml:space="preserve">Energy Consumption in Use (Illustrative for \'hmwmijnurz\'):</w:t>
      </w:r>
      <w:r>
        <w:t xml:space="preserve"> </w:t>
      </w:r>
      <w:r>
        <w:t xml:space="preserve">10 kWh/year.</w:t>
      </w:r>
    </w:p>
    <w:p>
      <w:pPr>
        <w:numPr>
          <w:ilvl w:val="0"/>
          <w:numId w:val="1006"/>
        </w:numPr>
        <w:pStyle w:val="Compact"/>
      </w:pPr>
      <w:r>
        <w:rPr>
          <w:bCs/>
          <w:b/>
        </w:rPr>
        <w:t xml:space="preserve">End-user Electricity Grid Emission Factor (Illustrative):</w:t>
      </w:r>
      <w:r>
        <w:t xml:space="preserve"> </w:t>
      </w:r>
      <w:r>
        <w:t xml:space="preserve">0.3 kg CO</w:t>
      </w:r>
      <w:r>
        <w:rPr>
          <w:vertAlign w:val="subscript"/>
        </w:rPr>
        <w:t xml:space="preserve">2</w:t>
      </w:r>
      <w:r>
        <w:t xml:space="preserve">e/kWh (assuming an average European grid mix, which tends to be cleaner than China\'s, for product use phase, as the supply chain focus is Europe, and end-user could be in Europe).</w:t>
      </w:r>
    </w:p>
    <w:bookmarkEnd w:id="27"/>
    <w:bookmarkStart w:id="28" w:name="end-of-life-eol-scope-3-downstream"/>
    <w:p>
      <w:pPr>
        <w:pStyle w:val="Heading3"/>
      </w:pPr>
      <w:r>
        <w:t xml:space="preserve">End-of-Life (EoL) (Scope 3 – Downstream)</w:t>
      </w:r>
    </w:p>
    <w:p>
      <w:pPr>
        <w:pStyle w:val="FirstParagraph"/>
      </w:pPr>
      <w:r>
        <w:t xml:space="preserve">Scenarios for the product\'s disposal or recovery.</w:t>
      </w:r>
    </w:p>
    <w:p>
      <w:pPr>
        <w:numPr>
          <w:ilvl w:val="0"/>
          <w:numId w:val="1007"/>
        </w:numPr>
        <w:pStyle w:val="Compact"/>
      </w:pPr>
      <w:r>
        <w:rPr>
          <w:bCs/>
          <w:b/>
        </w:rPr>
        <w:t xml:space="preserve">Recyclability Percentage (Illustrative for \'goopwfouvo\'):</w:t>
      </w:r>
      <w:r>
        <w:t xml:space="preserve"> </w:t>
      </w:r>
      <w:r>
        <w:t xml:space="preserve">70%.</w:t>
      </w:r>
    </w:p>
    <w:p>
      <w:pPr>
        <w:numPr>
          <w:ilvl w:val="0"/>
          <w:numId w:val="1007"/>
        </w:numPr>
        <w:pStyle w:val="Compact"/>
      </w:pPr>
      <w:r>
        <w:rPr>
          <w:bCs/>
          <w:b/>
        </w:rPr>
        <w:t xml:space="preserve">Circular/Take-back Programs (Illustrative for \'eztnswhues\'):</w:t>
      </w:r>
      <w:r>
        <w:t xml:space="preserve"> </w:t>
      </w:r>
      <w:r>
        <w:t xml:space="preserve">Yes, regional collection and refurbishment program.</w:t>
      </w:r>
    </w:p>
    <w:p>
      <w:pPr>
        <w:numPr>
          <w:ilvl w:val="0"/>
          <w:numId w:val="1007"/>
        </w:numPr>
        <w:pStyle w:val="Compact"/>
      </w:pPr>
      <w:r>
        <w:rPr>
          <w:bCs/>
          <w:b/>
        </w:rPr>
        <w:t xml:space="preserve">Total Product Weight:</w:t>
      </w:r>
      <w:r>
        <w:t xml:space="preserve"> </w:t>
      </w:r>
      <w:r>
        <w:t xml:space="preserve">5 kg (assumed, for EoL calculations).</w:t>
      </w:r>
    </w:p>
    <w:p>
      <w:pPr>
        <w:numPr>
          <w:ilvl w:val="0"/>
          <w:numId w:val="1007"/>
        </w:numPr>
        <w:pStyle w:val="Compact"/>
      </w:pPr>
      <w:r>
        <w:rPr>
          <w:bCs/>
          <w:b/>
        </w:rPr>
        <w:t xml:space="preserve">Illustrative Emission Factor for Landfill:</w:t>
      </w:r>
      <w:r>
        <w:t xml:space="preserve"> </w:t>
      </w:r>
      <w:r>
        <w:t xml:space="preserve">1.5 kg CO</w:t>
      </w:r>
      <w:r>
        <w:rPr>
          <w:vertAlign w:val="subscript"/>
        </w:rPr>
        <w:t xml:space="preserve">2</w:t>
      </w:r>
      <w:r>
        <w:t xml:space="preserve">e/kg (for non-recyclable materials).</w:t>
      </w:r>
    </w:p>
    <w:p>
      <w:pPr>
        <w:numPr>
          <w:ilvl w:val="0"/>
          <w:numId w:val="1007"/>
        </w:numPr>
        <w:pStyle w:val="Compact"/>
      </w:pPr>
      <w:r>
        <w:rPr>
          <w:bCs/>
          <w:b/>
        </w:rPr>
        <w:t xml:space="preserve">Illustrative Recycling Credit:</w:t>
      </w:r>
      <w:r>
        <w:t xml:space="preserve"> </w:t>
      </w:r>
      <w:r>
        <w:t xml:space="preserve">-2.0 kg CO</w:t>
      </w:r>
      <w:r>
        <w:rPr>
          <w:vertAlign w:val="subscript"/>
        </w:rPr>
        <w:t xml:space="preserve">2</w:t>
      </w:r>
      <w:r>
        <w:t xml:space="preserve">e/kg (for materials effectively recycled, reflecting avoided virgin material production).</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Emissions are calculated for each lifecycle stage (Activity * Emission Factor = CO</w:t>
      </w:r>
      <w:r>
        <w:rPr>
          <w:vertAlign w:val="subscript"/>
        </w:rPr>
        <w:t xml:space="preserve">2</w:t>
      </w:r>
      <w:r>
        <w:t xml:space="preserve">e) and categorized according to the GHG Protocol Scopes. The 2026 Land Sector and Removals (LSR) Standard is acknowledged, focusing on land use and carbon removals, though specific quantitative application is beyond the scope of provided parameters.</w:t>
      </w:r>
    </w:p>
    <w:bookmarkStart w:id="30" w:name="scope-1-emissions-direct-emissions"/>
    <w:p>
      <w:pPr>
        <w:pStyle w:val="Heading3"/>
      </w:pPr>
      <w:r>
        <w:t xml:space="preserve">Scope 1 Emissions (Direct Emissions)</w:t>
      </w:r>
    </w:p>
    <w:p>
      <w:pPr>
        <w:pStyle w:val="FirstParagraph"/>
      </w:pPr>
      <w:r>
        <w:t xml:space="preserve">For a product carbon footprint, direct emissions are usually minimal unless the company directly owns and operates fuel-combusting equipment for manufacturing this specific product. As per the provided parameters, direct fuel combustion for manufacturing \'unrokgdosr\' is assumed to be negligible or covered by upstream energy production.</w:t>
      </w:r>
    </w:p>
    <w:p>
      <w:pPr>
        <w:pStyle w:val="BodyText"/>
      </w:pPr>
      <w:r>
        <w:rPr>
          <w:bCs/>
          <w:b/>
        </w:rPr>
        <w:t xml:space="preserve">Total Scope 1 Emissions: 0.0 kg CO</w:t>
      </w:r>
      <w:r>
        <w:rPr>
          <w:vertAlign w:val="subscript"/>
          <w:bCs/>
          <w:b/>
        </w:rPr>
        <w:t xml:space="preserve">2</w:t>
      </w:r>
      <w:r>
        <w:rPr>
          <w:bCs/>
          <w:b/>
        </w:rPr>
        <w:t xml:space="preserve">e (Assumed negligible for product-specific direct operations)</w:t>
      </w:r>
    </w:p>
    <w:bookmarkEnd w:id="30"/>
    <w:bookmarkStart w:id="31" w:name="X1bd5ed5ba51603fe7fc5fd46de6dc3081dfffbb"/>
    <w:p>
      <w:pPr>
        <w:pStyle w:val="Heading3"/>
      </w:pPr>
      <w:r>
        <w:t xml:space="preserve">Scope 2 Emissions (Indirect Emissions from Purchased Energy)</w:t>
      </w:r>
    </w:p>
    <w:p>
      <w:pPr>
        <w:pStyle w:val="FirstParagraph"/>
      </w:pPr>
      <w:r>
        <w:t xml:space="preserve">These emissions result from the generation of purchased electricity for the production phase.</w:t>
      </w:r>
    </w:p>
    <w:p>
      <w:pPr>
        <w:numPr>
          <w:ilvl w:val="0"/>
          <w:numId w:val="1008"/>
        </w:numPr>
        <w:pStyle w:val="Compact"/>
      </w:pPr>
      <w:r>
        <w:t xml:space="preserve">Energy Consumption: 15 kWh/unit</w:t>
      </w:r>
    </w:p>
    <w:p>
      <w:pPr>
        <w:numPr>
          <w:ilvl w:val="0"/>
          <w:numId w:val="1008"/>
        </w:numPr>
        <w:pStyle w:val="Compact"/>
      </w:pPr>
      <w:r>
        <w:t xml:space="preserve">Non-renewable energy portion: 15 kWh/unit * (1 - 50%) = 7.5 kWh/unit</w:t>
      </w:r>
    </w:p>
    <w:p>
      <w:pPr>
        <w:numPr>
          <w:ilvl w:val="0"/>
          <w:numId w:val="1008"/>
        </w:numPr>
        <w:pStyle w:val="Compact"/>
      </w:pPr>
      <w:r>
        <w:t xml:space="preserve">Emission Factor (China Grid): 0.65 kg CO</w:t>
      </w:r>
      <w:r>
        <w:rPr>
          <w:vertAlign w:val="subscript"/>
        </w:rPr>
        <w:t xml:space="preserve">2</w:t>
      </w:r>
      <w:r>
        <w:t xml:space="preserve">e/kWh</w:t>
      </w:r>
    </w:p>
    <w:p>
      <w:pPr>
        <w:numPr>
          <w:ilvl w:val="0"/>
          <w:numId w:val="1008"/>
        </w:numPr>
        <w:pStyle w:val="Compact"/>
      </w:pPr>
      <w:r>
        <w:rPr>
          <w:bCs/>
          <w:b/>
        </w:rPr>
        <w:t xml:space="preserve">Calculation:</w:t>
      </w:r>
      <w:r>
        <w:t xml:space="preserve"> </w:t>
      </w:r>
      <w:r>
        <w:t xml:space="preserve">7.5 kWh/unit * 0.65 kg CO</w:t>
      </w:r>
      <w:r>
        <w:rPr>
          <w:vertAlign w:val="subscript"/>
        </w:rPr>
        <w:t xml:space="preserve">2</w:t>
      </w:r>
      <w:r>
        <w:t xml:space="preserve">e/kWh = 4.875 kg CO</w:t>
      </w:r>
      <w:r>
        <w:rPr>
          <w:vertAlign w:val="subscript"/>
        </w:rPr>
        <w:t xml:space="preserve">2</w:t>
      </w:r>
      <w:r>
        <w:t xml:space="preserve">e</w:t>
      </w:r>
    </w:p>
    <w:p>
      <w:pPr>
        <w:pStyle w:val="FirstParagraph"/>
      </w:pPr>
      <w:r>
        <w:rPr>
          <w:bCs/>
          <w:b/>
        </w:rPr>
        <w:t xml:space="preserve">Total Scope 2 Emissions: 4.88 kg CO</w:t>
      </w:r>
      <w:r>
        <w:rPr>
          <w:vertAlign w:val="subscript"/>
          <w:bCs/>
          <w:b/>
        </w:rPr>
        <w:t xml:space="preserve">2</w:t>
      </w:r>
      <w:r>
        <w:rPr>
          <w:bCs/>
          <w:b/>
        </w:rPr>
        <w:t xml:space="preserve">e</w:t>
      </w:r>
    </w:p>
    <w:bookmarkEnd w:id="31"/>
    <w:bookmarkStart w:id="34" w:name="Xc0e8d524e8c55442a875a6363c71b09ba079b79"/>
    <w:p>
      <w:pPr>
        <w:pStyle w:val="Heading3"/>
      </w:pPr>
      <w:r>
        <w:t xml:space="preserve">Scope 3 Emissions (Other Indirect Emissions)</w:t>
      </w:r>
    </w:p>
    <w:p>
      <w:pPr>
        <w:pStyle w:val="FirstParagraph"/>
      </w:pPr>
      <w:r>
        <w:t xml:space="preserve">Scope 3 encompasses upstream and downstream emissions from the value chain. This analysis ensures at least 95% coverage for Scope 3 reporting as per 2026 requirements, incorporating all provided lifecycle stages.</w:t>
      </w:r>
    </w:p>
    <w:bookmarkStart w:id="32" w:name="scope-3-upstream-emissions"/>
    <w:p>
      <w:pPr>
        <w:pStyle w:val="Heading4"/>
      </w:pPr>
      <w:r>
        <w:t xml:space="preserve">Scope 3 – Upstream Emissions</w:t>
      </w:r>
    </w:p>
    <w:p>
      <w:pPr>
        <w:pStyle w:val="FirstParagraph"/>
      </w:pPr>
      <w:r>
        <w:rPr>
          <w:bCs/>
          <w:b/>
        </w:rPr>
        <w:t xml:space="preserve">A. Materials Acquisition and Pre-processing:</w:t>
      </w:r>
    </w:p>
    <w:p>
      <w:pPr>
        <w:pStyle w:val="BodyText"/>
      </w:pPr>
      <w:r>
        <w:t xml:space="preserve">Sum of Total Illustrative Carbon from BOM:</w:t>
      </w:r>
    </w:p>
    <w:p>
      <w:pPr>
        <w:numPr>
          <w:ilvl w:val="0"/>
          <w:numId w:val="1009"/>
        </w:numPr>
        <w:pStyle w:val="Compact"/>
      </w:pPr>
      <w:r>
        <w:t xml:space="preserve">Aluminium Casing: 20.0 kg CO</w:t>
      </w:r>
      <w:r>
        <w:rPr>
          <w:vertAlign w:val="subscript"/>
        </w:rPr>
        <w:t xml:space="preserve">2</w:t>
      </w:r>
      <w:r>
        <w:t xml:space="preserve">e</w:t>
      </w:r>
    </w:p>
    <w:p>
      <w:pPr>
        <w:numPr>
          <w:ilvl w:val="0"/>
          <w:numId w:val="1009"/>
        </w:numPr>
        <w:pStyle w:val="Compact"/>
      </w:pPr>
      <w:r>
        <w:t xml:space="preserve">Polypropylene Base: 3.36 kg CO</w:t>
      </w:r>
      <w:r>
        <w:rPr>
          <w:vertAlign w:val="subscript"/>
        </w:rPr>
        <w:t xml:space="preserve">2</w:t>
      </w:r>
      <w:r>
        <w:t xml:space="preserve">e</w:t>
      </w:r>
    </w:p>
    <w:p>
      <w:pPr>
        <w:numPr>
          <w:ilvl w:val="0"/>
          <w:numId w:val="1009"/>
        </w:numPr>
        <w:pStyle w:val="Compact"/>
      </w:pPr>
      <w:r>
        <w:t xml:space="preserve">Electronic Module: 13.50 kg CO</w:t>
      </w:r>
      <w:r>
        <w:rPr>
          <w:vertAlign w:val="subscript"/>
        </w:rPr>
        <w:t xml:space="preserve">2</w:t>
      </w:r>
      <w:r>
        <w:t xml:space="preserve">e</w:t>
      </w:r>
    </w:p>
    <w:p>
      <w:pPr>
        <w:numPr>
          <w:ilvl w:val="0"/>
          <w:numId w:val="1009"/>
        </w:numPr>
        <w:pStyle w:val="Compact"/>
      </w:pPr>
      <w:r>
        <w:t xml:space="preserve">Copper Wiring: 2.10 kg CO</w:t>
      </w:r>
      <w:r>
        <w:rPr>
          <w:vertAlign w:val="subscript"/>
        </w:rPr>
        <w:t xml:space="preserve">2</w:t>
      </w:r>
      <w:r>
        <w:t xml:space="preserve">e</w:t>
      </w:r>
    </w:p>
    <w:p>
      <w:pPr>
        <w:pStyle w:val="FirstParagraph"/>
      </w:pPr>
      <w:r>
        <w:rPr>
          <w:bCs/>
          <w:b/>
        </w:rPr>
        <w:t xml:space="preserve">Total Material Emissions: 38.96 kg CO</w:t>
      </w:r>
      <w:r>
        <w:rPr>
          <w:vertAlign w:val="subscript"/>
          <w:bCs/>
          <w:b/>
        </w:rPr>
        <w:t xml:space="preserve">2</w:t>
      </w:r>
      <w:r>
        <w:rPr>
          <w:bCs/>
          <w:b/>
        </w:rPr>
        <w:t xml:space="preserve">e</w:t>
      </w:r>
    </w:p>
    <w:p>
      <w:pPr>
        <w:pStyle w:val="BodyText"/>
      </w:pPr>
      <w:r>
        <w:rPr>
          <w:bCs/>
          <w:b/>
        </w:rPr>
        <w:t xml:space="preserve">B. Upstream Transportation (Materials to Factory):</w:t>
      </w:r>
    </w:p>
    <w:p>
      <w:pPr>
        <w:numPr>
          <w:ilvl w:val="0"/>
          <w:numId w:val="1010"/>
        </w:numPr>
        <w:pStyle w:val="Compact"/>
      </w:pPr>
      <w:r>
        <w:t xml:space="preserve">Total Raw Material Weight: 5 kg = 0.005 tonnes (Illustrative)</w:t>
      </w:r>
    </w:p>
    <w:p>
      <w:pPr>
        <w:numPr>
          <w:ilvl w:val="0"/>
          <w:numId w:val="1010"/>
        </w:numPr>
        <w:pStyle w:val="Compact"/>
      </w:pPr>
      <w:r>
        <w:t xml:space="preserve">Transport Distance: 2000 km (Illustrative)</w:t>
      </w:r>
    </w:p>
    <w:p>
      <w:pPr>
        <w:numPr>
          <w:ilvl w:val="0"/>
          <w:numId w:val="1010"/>
        </w:numPr>
        <w:pStyle w:val="Compact"/>
      </w:pPr>
      <w:r>
        <w:t xml:space="preserve">Emission Factor (HGV/Truck): 0.1 kg CO</w:t>
      </w:r>
      <w:r>
        <w:rPr>
          <w:vertAlign w:val="subscript"/>
        </w:rPr>
        <w:t xml:space="preserve">2</w:t>
      </w:r>
      <w:r>
        <w:t xml:space="preserve">e/tonne-km (Illustrative)</w:t>
      </w:r>
    </w:p>
    <w:p>
      <w:pPr>
        <w:numPr>
          <w:ilvl w:val="0"/>
          <w:numId w:val="1010"/>
        </w:numPr>
        <w:pStyle w:val="Compact"/>
      </w:pPr>
      <w:r>
        <w:rPr>
          <w:bCs/>
          <w:b/>
        </w:rPr>
        <w:t xml:space="preserve">Calculation:</w:t>
      </w:r>
      <w:r>
        <w:t xml:space="preserve"> </w:t>
      </w:r>
      <w:r>
        <w:t xml:space="preserve">0.005 tonnes * 2000 km * 0.1 kg CO</w:t>
      </w:r>
      <w:r>
        <w:rPr>
          <w:vertAlign w:val="subscript"/>
        </w:rPr>
        <w:t xml:space="preserve">2</w:t>
      </w:r>
      <w:r>
        <w:t xml:space="preserve">e/tonne-km = 1.0 kg CO</w:t>
      </w:r>
      <w:r>
        <w:rPr>
          <w:vertAlign w:val="subscript"/>
        </w:rPr>
        <w:t xml:space="preserve">2</w:t>
      </w:r>
      <w:r>
        <w:t xml:space="preserve">e</w:t>
      </w:r>
    </w:p>
    <w:p>
      <w:pPr>
        <w:pStyle w:val="FirstParagraph"/>
      </w:pPr>
      <w:r>
        <w:rPr>
          <w:bCs/>
          <w:b/>
        </w:rPr>
        <w:t xml:space="preserve">Total Upstream Transport Emissions: 1.0 kg CO</w:t>
      </w:r>
      <w:r>
        <w:rPr>
          <w:vertAlign w:val="subscript"/>
          <w:bCs/>
          <w:b/>
        </w:rPr>
        <w:t xml:space="preserve">2</w:t>
      </w:r>
      <w:r>
        <w:rPr>
          <w:bCs/>
          <w:b/>
        </w:rPr>
        <w:t xml:space="preserve">e</w:t>
      </w:r>
    </w:p>
    <w:bookmarkEnd w:id="32"/>
    <w:bookmarkStart w:id="33" w:name="scope-3-downstream-emissions"/>
    <w:p>
      <w:pPr>
        <w:pStyle w:val="Heading4"/>
      </w:pPr>
      <w:r>
        <w:t xml:space="preserve">Scope 3 – Downstream Emissions</w:t>
      </w:r>
    </w:p>
    <w:p>
      <w:pPr>
        <w:pStyle w:val="FirstParagraph"/>
      </w:pPr>
      <w:r>
        <w:rPr>
          <w:bCs/>
          <w:b/>
        </w:rPr>
        <w:t xml:space="preserve">C. Downstream Transportation (Last-Mile Delivery):</w:t>
      </w:r>
    </w:p>
    <w:p>
      <w:pPr>
        <w:numPr>
          <w:ilvl w:val="0"/>
          <w:numId w:val="1011"/>
        </w:numPr>
        <w:pStyle w:val="Compact"/>
      </w:pPr>
      <w:r>
        <w:t xml:space="preserve">Product Units: 1 unit</w:t>
      </w:r>
    </w:p>
    <w:p>
      <w:pPr>
        <w:numPr>
          <w:ilvl w:val="0"/>
          <w:numId w:val="1011"/>
        </w:numPr>
        <w:pStyle w:val="Compact"/>
      </w:pPr>
      <w:r>
        <w:t xml:space="preserve">Transport Distance: 100 km (Illustrative)</w:t>
      </w:r>
    </w:p>
    <w:p>
      <w:pPr>
        <w:numPr>
          <w:ilvl w:val="0"/>
          <w:numId w:val="1011"/>
        </w:numPr>
        <w:pStyle w:val="Compact"/>
      </w:pPr>
      <w:r>
        <w:t xml:space="preserve">Emission Factor (LCV/Van): 0.25 kg CO</w:t>
      </w:r>
      <w:r>
        <w:rPr>
          <w:vertAlign w:val="subscript"/>
        </w:rPr>
        <w:t xml:space="preserve">2</w:t>
      </w:r>
      <w:r>
        <w:t xml:space="preserve">e/km (Illustrative)</w:t>
      </w:r>
    </w:p>
    <w:p>
      <w:pPr>
        <w:numPr>
          <w:ilvl w:val="0"/>
          <w:numId w:val="1011"/>
        </w:numPr>
        <w:pStyle w:val="Compact"/>
      </w:pPr>
      <w:r>
        <w:rPr>
          <w:bCs/>
          <w:b/>
        </w:rPr>
        <w:t xml:space="preserve">Calculation:</w:t>
      </w:r>
      <w:r>
        <w:t xml:space="preserve"> </w:t>
      </w:r>
      <w:r>
        <w:t xml:space="preserve">1 unit * 100 km * 0.25 kg CO</w:t>
      </w:r>
      <w:r>
        <w:rPr>
          <w:vertAlign w:val="subscript"/>
        </w:rPr>
        <w:t xml:space="preserve">2</w:t>
      </w:r>
      <w:r>
        <w:t xml:space="preserve">e/km = 25.0 kg CO</w:t>
      </w:r>
      <w:r>
        <w:rPr>
          <w:vertAlign w:val="subscript"/>
        </w:rPr>
        <w:t xml:space="preserve">2</w:t>
      </w:r>
      <w:r>
        <w:t xml:space="preserve">e</w:t>
      </w:r>
    </w:p>
    <w:p>
      <w:pPr>
        <w:pStyle w:val="FirstParagraph"/>
      </w:pPr>
      <w:r>
        <w:rPr>
          <w:bCs/>
          <w:b/>
        </w:rPr>
        <w:t xml:space="preserve">Total Downstream Transport Emissions: 25.0 kg CO</w:t>
      </w:r>
      <w:r>
        <w:rPr>
          <w:vertAlign w:val="subscript"/>
          <w:bCs/>
          <w:b/>
        </w:rPr>
        <w:t xml:space="preserve">2</w:t>
      </w:r>
      <w:r>
        <w:rPr>
          <w:bCs/>
          <w:b/>
        </w:rPr>
        <w:t xml:space="preserve">e</w:t>
      </w:r>
    </w:p>
    <w:p>
      <w:pPr>
        <w:pStyle w:val="BodyText"/>
      </w:pPr>
      <w:r>
        <w:rPr>
          <w:bCs/>
          <w:b/>
        </w:rPr>
        <w:t xml:space="preserve">D. Use Phase:</w:t>
      </w:r>
    </w:p>
    <w:p>
      <w:pPr>
        <w:numPr>
          <w:ilvl w:val="0"/>
          <w:numId w:val="1012"/>
        </w:numPr>
        <w:pStyle w:val="Compact"/>
      </w:pPr>
      <w:r>
        <w:t xml:space="preserve">Product Lifespan: 5 years (Illustrative)</w:t>
      </w:r>
    </w:p>
    <w:p>
      <w:pPr>
        <w:numPr>
          <w:ilvl w:val="0"/>
          <w:numId w:val="1012"/>
        </w:numPr>
        <w:pStyle w:val="Compact"/>
      </w:pPr>
      <w:r>
        <w:t xml:space="preserve">Energy Consumption: 10 kWh/year (Illustrative)</w:t>
      </w:r>
    </w:p>
    <w:p>
      <w:pPr>
        <w:numPr>
          <w:ilvl w:val="0"/>
          <w:numId w:val="1012"/>
        </w:numPr>
        <w:pStyle w:val="Compact"/>
      </w:pPr>
      <w:r>
        <w:t xml:space="preserve">End-user grid mix (non-renewable): 10 kWh/year * 5 years = 50 kWh</w:t>
      </w:r>
    </w:p>
    <w:p>
      <w:pPr>
        <w:numPr>
          <w:ilvl w:val="0"/>
          <w:numId w:val="1012"/>
        </w:numPr>
        <w:pStyle w:val="Compact"/>
      </w:pPr>
      <w:r>
        <w:t xml:space="preserve">Emission Factor (European Grid Mix): 0.3 kg CO</w:t>
      </w:r>
      <w:r>
        <w:rPr>
          <w:vertAlign w:val="subscript"/>
        </w:rPr>
        <w:t xml:space="preserve">2</w:t>
      </w:r>
      <w:r>
        <w:t xml:space="preserve">e/kWh (Illustrative)</w:t>
      </w:r>
    </w:p>
    <w:p>
      <w:pPr>
        <w:numPr>
          <w:ilvl w:val="0"/>
          <w:numId w:val="1012"/>
        </w:numPr>
        <w:pStyle w:val="Compact"/>
      </w:pPr>
      <w:r>
        <w:rPr>
          <w:bCs/>
          <w:b/>
        </w:rPr>
        <w:t xml:space="preserve">Calculation:</w:t>
      </w:r>
      <w:r>
        <w:t xml:space="preserve"> </w:t>
      </w:r>
      <w:r>
        <w:t xml:space="preserve">50 kWh * 0.3 kg CO</w:t>
      </w:r>
      <w:r>
        <w:rPr>
          <w:vertAlign w:val="subscript"/>
        </w:rPr>
        <w:t xml:space="preserve">2</w:t>
      </w:r>
      <w:r>
        <w:t xml:space="preserve">e/kWh = 15.0 kg CO</w:t>
      </w:r>
      <w:r>
        <w:rPr>
          <w:vertAlign w:val="subscript"/>
        </w:rPr>
        <w:t xml:space="preserve">2</w:t>
      </w:r>
      <w:r>
        <w:t xml:space="preserve">e</w:t>
      </w:r>
    </w:p>
    <w:p>
      <w:pPr>
        <w:pStyle w:val="FirstParagraph"/>
      </w:pPr>
      <w:r>
        <w:rPr>
          <w:bCs/>
          <w:b/>
        </w:rPr>
        <w:t xml:space="preserve">Total Use Phase Emissions: 15.0 kg CO</w:t>
      </w:r>
      <w:r>
        <w:rPr>
          <w:vertAlign w:val="subscript"/>
          <w:bCs/>
          <w:b/>
        </w:rPr>
        <w:t xml:space="preserve">2</w:t>
      </w:r>
      <w:r>
        <w:rPr>
          <w:bCs/>
          <w:b/>
        </w:rPr>
        <w:t xml:space="preserve">e</w:t>
      </w:r>
    </w:p>
    <w:p>
      <w:pPr>
        <w:pStyle w:val="BodyText"/>
      </w:pPr>
      <w:r>
        <w:rPr>
          <w:bCs/>
          <w:b/>
        </w:rPr>
        <w:t xml:space="preserve">E. End-of-Life (EoL) Treatment:</w:t>
      </w:r>
    </w:p>
    <w:p>
      <w:pPr>
        <w:numPr>
          <w:ilvl w:val="0"/>
          <w:numId w:val="1013"/>
        </w:numPr>
        <w:pStyle w:val="Compact"/>
      </w:pPr>
      <w:r>
        <w:t xml:space="preserve">Total Product Weight: 5 kg (Illustrative)</w:t>
      </w:r>
    </w:p>
    <w:p>
      <w:pPr>
        <w:numPr>
          <w:ilvl w:val="0"/>
          <w:numId w:val="1013"/>
        </w:numPr>
        <w:pStyle w:val="Compact"/>
      </w:pPr>
      <w:r>
        <w:t xml:space="preserve">Non-Recyclable Portion: 5 kg * (1 - 70%) = 1.5 kg</w:t>
      </w:r>
    </w:p>
    <w:p>
      <w:pPr>
        <w:numPr>
          <w:ilvl w:val="0"/>
          <w:numId w:val="1013"/>
        </w:numPr>
        <w:pStyle w:val="Compact"/>
      </w:pPr>
      <w:r>
        <w:t xml:space="preserve">Landfill Emission Factor: 1.5 kg CO</w:t>
      </w:r>
      <w:r>
        <w:rPr>
          <w:vertAlign w:val="subscript"/>
        </w:rPr>
        <w:t xml:space="preserve">2</w:t>
      </w:r>
      <w:r>
        <w:t xml:space="preserve">e/kg (Illustrative)</w:t>
      </w:r>
    </w:p>
    <w:p>
      <w:pPr>
        <w:numPr>
          <w:ilvl w:val="0"/>
          <w:numId w:val="1013"/>
        </w:numPr>
        <w:pStyle w:val="Compact"/>
      </w:pPr>
      <w:r>
        <w:rPr>
          <w:bCs/>
          <w:b/>
        </w:rPr>
        <w:t xml:space="preserve">Landfill Emissions:</w:t>
      </w:r>
      <w:r>
        <w:t xml:space="preserve"> </w:t>
      </w:r>
      <w:r>
        <w:t xml:space="preserve">1.5 kg * 1.5 kg CO</w:t>
      </w:r>
      <w:r>
        <w:rPr>
          <w:vertAlign w:val="subscript"/>
        </w:rPr>
        <w:t xml:space="preserve">2</w:t>
      </w:r>
      <w:r>
        <w:t xml:space="preserve">e/kg = 2.25 kg CO</w:t>
      </w:r>
      <w:r>
        <w:rPr>
          <w:vertAlign w:val="subscript"/>
        </w:rPr>
        <w:t xml:space="preserve">2</w:t>
      </w:r>
      <w:r>
        <w:t xml:space="preserve">e</w:t>
      </w:r>
    </w:p>
    <w:p>
      <w:pPr>
        <w:numPr>
          <w:ilvl w:val="0"/>
          <w:numId w:val="1013"/>
        </w:numPr>
        <w:pStyle w:val="Compact"/>
      </w:pPr>
      <w:r>
        <w:t xml:space="preserve">Recyclable Portion: 5 kg * 70% = 3.5 kg</w:t>
      </w:r>
    </w:p>
    <w:p>
      <w:pPr>
        <w:numPr>
          <w:ilvl w:val="0"/>
          <w:numId w:val="1013"/>
        </w:numPr>
        <w:pStyle w:val="Compact"/>
      </w:pPr>
      <w:r>
        <w:t xml:space="preserve">Recycling Credit: -2.0 kg CO</w:t>
      </w:r>
      <w:r>
        <w:rPr>
          <w:vertAlign w:val="subscript"/>
        </w:rPr>
        <w:t xml:space="preserve">2</w:t>
      </w:r>
      <w:r>
        <w:t xml:space="preserve">e/kg (Illustrative avoided emissions/benefits)</w:t>
      </w:r>
    </w:p>
    <w:p>
      <w:pPr>
        <w:numPr>
          <w:ilvl w:val="0"/>
          <w:numId w:val="1013"/>
        </w:numPr>
        <w:pStyle w:val="Compact"/>
      </w:pPr>
      <w:r>
        <w:rPr>
          <w:bCs/>
          <w:b/>
        </w:rPr>
        <w:t xml:space="preserve">Recycling Credit Calculation:</w:t>
      </w:r>
      <w:r>
        <w:t xml:space="preserve"> </w:t>
      </w:r>
      <w:r>
        <w:t xml:space="preserve">3.5 kg * -2.0 kg CO</w:t>
      </w:r>
      <w:r>
        <w:rPr>
          <w:vertAlign w:val="subscript"/>
        </w:rPr>
        <w:t xml:space="preserve">2</w:t>
      </w:r>
      <w:r>
        <w:t xml:space="preserve">e/kg = -7.0 kg CO</w:t>
      </w:r>
      <w:r>
        <w:rPr>
          <w:vertAlign w:val="subscript"/>
        </w:rPr>
        <w:t xml:space="preserve">2</w:t>
      </w:r>
      <w:r>
        <w:t xml:space="preserve">e</w:t>
      </w:r>
    </w:p>
    <w:p>
      <w:pPr>
        <w:numPr>
          <w:ilvl w:val="0"/>
          <w:numId w:val="1013"/>
        </w:numPr>
        <w:pStyle w:val="Compact"/>
      </w:pPr>
      <w:r>
        <w:t xml:space="preserve">The presence of \'eztnswhues\' (circular/take-back programs) further enhances the potential for material recovery and emission avoidance, reinforcing the recycling credit.</w:t>
      </w:r>
    </w:p>
    <w:p>
      <w:pPr>
        <w:pStyle w:val="FirstParagraph"/>
      </w:pPr>
      <w:r>
        <w:rPr>
          <w:bCs/>
          <w:b/>
        </w:rPr>
        <w:t xml:space="preserve">Total End-of-Life Emissions: 2.25 kg CO</w:t>
      </w:r>
      <w:r>
        <w:rPr>
          <w:vertAlign w:val="subscript"/>
          <w:bCs/>
          <w:b/>
        </w:rPr>
        <w:t xml:space="preserve">2</w:t>
      </w:r>
      <w:r>
        <w:rPr>
          <w:bCs/>
          <w:b/>
        </w:rPr>
        <w:t xml:space="preserve">e - 7.0 kg CO</w:t>
      </w:r>
      <w:r>
        <w:rPr>
          <w:vertAlign w:val="subscript"/>
          <w:bCs/>
          <w:b/>
        </w:rPr>
        <w:t xml:space="preserve">2</w:t>
      </w:r>
      <w:r>
        <w:rPr>
          <w:bCs/>
          <w:b/>
        </w:rPr>
        <w:t xml:space="preserve">e = -4.75 kg CO</w:t>
      </w:r>
      <w:r>
        <w:rPr>
          <w:vertAlign w:val="subscript"/>
          <w:bCs/>
          <w:b/>
        </w:rPr>
        <w:t xml:space="preserve">2</w:t>
      </w:r>
      <w:r>
        <w:rPr>
          <w:bCs/>
          <w:b/>
        </w:rPr>
        <w:t xml:space="preserve">e</w:t>
      </w:r>
    </w:p>
    <w:p>
      <w:pPr>
        <w:pStyle w:val="BodyText"/>
      </w:pPr>
      <w:r>
        <w:rPr>
          <w:bCs/>
          <w:b/>
        </w:rPr>
        <w:t xml:space="preserve">Total Scope 3 Emissions:</w:t>
      </w:r>
      <w:r>
        <w:t xml:space="preserve"> </w:t>
      </w:r>
      <w:r>
        <w:t xml:space="preserve">38.96 kg (Materials) + 1.0 kg (Upstream Transport) + 25.0 kg (Downstream Transport) + 15.0 kg (Use Phase) - 4.75 kg (EoL) =</w:t>
      </w:r>
      <w:r>
        <w:t xml:space="preserve"> </w:t>
      </w:r>
      <w:r>
        <w:rPr>
          <w:bCs/>
          <w:b/>
        </w:rPr>
        <w:t xml:space="preserve">75.21 kg CO</w:t>
      </w:r>
      <w:r>
        <w:rPr>
          <w:vertAlign w:val="subscript"/>
          <w:bCs/>
          <w:b/>
        </w:rPr>
        <w:t xml:space="preserve">2</w:t>
      </w:r>
      <w:r>
        <w:rPr>
          <w:bCs/>
          <w:b/>
        </w:rPr>
        <w:t xml:space="preserve">e</w:t>
      </w:r>
    </w:p>
    <w:p>
      <w:pPr>
        <w:pStyle w:val="BodyText"/>
      </w:pPr>
      <w:r>
        <w:t xml:space="preserve">The total PCF is the sum of Scope 1, Scope 2, and Scope 3 emissions.</w:t>
      </w:r>
    </w:p>
    <w:p>
      <w:pPr>
        <w:pStyle w:val="BodyText"/>
      </w:pPr>
      <w:r>
        <w:rPr>
          <w:bCs/>
          <w:b/>
        </w:rPr>
        <w:t xml:space="preserve">Total PCF = 0.0 kg CO</w:t>
      </w:r>
      <w:r>
        <w:rPr>
          <w:vertAlign w:val="subscript"/>
          <w:bCs/>
          <w:b/>
        </w:rPr>
        <w:t xml:space="preserve">2</w:t>
      </w:r>
      <w:r>
        <w:rPr>
          <w:bCs/>
          <w:b/>
        </w:rPr>
        <w:t xml:space="preserve">e (Scope 1) + 4.88 kg CO</w:t>
      </w:r>
      <w:r>
        <w:rPr>
          <w:vertAlign w:val="subscript"/>
          <w:bCs/>
          <w:b/>
        </w:rPr>
        <w:t xml:space="preserve">2</w:t>
      </w:r>
      <w:r>
        <w:rPr>
          <w:bCs/>
          <w:b/>
        </w:rPr>
        <w:t xml:space="preserve">e (Scope 2) + 75.21 kg CO</w:t>
      </w:r>
      <w:r>
        <w:rPr>
          <w:vertAlign w:val="subscript"/>
          <w:bCs/>
          <w:b/>
        </w:rPr>
        <w:t xml:space="preserve">2</w:t>
      </w:r>
      <w:r>
        <w:rPr>
          <w:bCs/>
          <w:b/>
        </w:rPr>
        <w:t xml:space="preserve">e (Scope 3) = 80.09 kg CO</w:t>
      </w:r>
      <w:r>
        <w:rPr>
          <w:vertAlign w:val="subscript"/>
          <w:bCs/>
          <w:b/>
        </w:rPr>
        <w:t xml:space="preserve">2</w:t>
      </w:r>
      <w:r>
        <w:rPr>
          <w:bCs/>
          <w:b/>
        </w:rPr>
        <w:t xml:space="preserve">e</w:t>
      </w:r>
    </w:p>
    <w:p>
      <w:pPr>
        <w:pStyle w:val="BodyText"/>
      </w:pPr>
      <w:r>
        <w:rPr>
          <w:bCs/>
          <w:b/>
        </w:rPr>
        <w:t xml:space="preserve">Application of 2026 LSR Update:</w:t>
      </w:r>
      <w:r>
        <w:t xml:space="preserve"> </w:t>
      </w:r>
      <w:r>
        <w:t xml:space="preserve">The Land Sector and Removals (LSR) Standard focuses on accounting for GHG emissions and removals from land use, land-use change, and forestry activities. For \'unrokgdosr\', direct LSR impacts would arise from raw materials derived from agriculture or forestry (e.g., timber, bio-based plastics) and any land-use change associated with the manufacturing facilities. While specific data for LSR was not provided, future analyses should quantify the biogenic carbon fluxes and land-use change impacts of relevant raw materials and processes within Scope 3. This ensures a comprehensive accounting of natural climate solutions and their contribution to net-zero targets.</w:t>
      </w:r>
    </w:p>
    <w:bookmarkEnd w:id="33"/>
    <w:bookmarkEnd w:id="34"/>
    <w:bookmarkStart w:id="35"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w:t>
            </w:r>
            <w:r>
              <w:rPr>
                <w:vertAlign w:val="subscript"/>
              </w:rPr>
              <w:t xml:space="preserve">2</w:t>
            </w:r>
            <w:r>
              <w:t xml:space="preserve">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GHG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GHG Emissions from Purchased Energy</w:t>
            </w:r>
          </w:p>
        </w:tc>
        <w:tc>
          <w:tcPr/>
          <w:p>
            <w:pPr>
              <w:pStyle w:val="Compact"/>
              <w:jc w:val="left"/>
            </w:pPr>
            <w:r>
              <w:t xml:space="preserve">4.88</w:t>
            </w:r>
          </w:p>
        </w:tc>
        <w:tc>
          <w:tcPr/>
          <w:p>
            <w:pPr>
              <w:pStyle w:val="Compact"/>
              <w:jc w:val="left"/>
            </w:pPr>
            <w:r>
              <w:t xml:space="preserve">6.1%</w:t>
            </w:r>
          </w:p>
        </w:tc>
      </w:tr>
      <w:tr>
        <w:tc>
          <w:tcPr/>
          <w:p>
            <w:pPr>
              <w:pStyle w:val="Compact"/>
              <w:jc w:val="left"/>
            </w:pPr>
            <w:r>
              <w:t xml:space="preserve">Scope 3</w:t>
            </w:r>
          </w:p>
        </w:tc>
        <w:tc>
          <w:tcPr/>
          <w:p>
            <w:pPr>
              <w:pStyle w:val="Compact"/>
              <w:jc w:val="left"/>
            </w:pPr>
            <w:r>
              <w:t xml:space="preserve">Other Indirect GHG Emissions (Upstream &amp; Downstream)</w:t>
            </w:r>
          </w:p>
        </w:tc>
        <w:tc>
          <w:tcPr/>
          <w:p>
            <w:pPr>
              <w:pStyle w:val="Compact"/>
              <w:jc w:val="left"/>
            </w:pPr>
            <w:r>
              <w:t xml:space="preserve">75.21</w:t>
            </w:r>
          </w:p>
        </w:tc>
        <w:tc>
          <w:tcPr/>
          <w:p>
            <w:pPr>
              <w:pStyle w:val="Compact"/>
              <w:jc w:val="left"/>
            </w:pPr>
            <w:r>
              <w:t xml:space="preserve">93.9%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80.09</w:t>
            </w:r>
          </w:p>
        </w:tc>
        <w:tc>
          <w:tcPr/>
          <w:p>
            <w:pPr>
              <w:pStyle w:val="Compact"/>
              <w:jc w:val="left"/>
            </w:pPr>
            <w:r>
              <w:rPr>
                <w:bCs/>
                <w:b/>
              </w:rPr>
              <w:t xml:space="preserve">100.0%</w:t>
            </w:r>
          </w:p>
        </w:tc>
      </w:tr>
    </w:tbl>
    <w:p>
      <w:r>
        <w:pict>
          <v:rect style="width:0;height:1.5pt" o:hralign="center" o:hrstd="t" o:hr="t"/>
        </w:pict>
      </w:r>
    </w:p>
    <w:bookmarkEnd w:id="35"/>
    <w:bookmarkEnd w:id="36"/>
    <w:bookmarkStart w:id="41" w:name="review-report"/>
    <w:p>
      <w:pPr>
        <w:pStyle w:val="Heading2"/>
      </w:pPr>
      <w:r>
        <w:t xml:space="preserve">5. Review &amp; Report</w:t>
      </w:r>
    </w:p>
    <w:p>
      <w:pPr>
        <w:pStyle w:val="FirstParagraph"/>
      </w:pPr>
      <w:r>
        <w:t xml:space="preserve">The calculated Product Carbon Footprint for one functional unit of \'unrokgdosr\' is</w:t>
      </w:r>
      <w:r>
        <w:t xml:space="preserve"> </w:t>
      </w:r>
      <w:r>
        <w:rPr>
          <w:bCs/>
          <w:b/>
        </w:rPr>
        <w:t xml:space="preserve">80.09 kg CO</w:t>
      </w:r>
      <w:r>
        <w:rPr>
          <w:vertAlign w:val="subscript"/>
          <w:bCs/>
          <w:b/>
        </w:rPr>
        <w:t xml:space="preserve">2</w:t>
      </w:r>
      <w:r>
        <w:rPr>
          <w:bCs/>
          <w:b/>
        </w:rPr>
        <w:t xml:space="preserve">e</w:t>
      </w:r>
      <w:r>
        <w:t xml:space="preserve">.</w:t>
      </w:r>
    </w:p>
    <w:bookmarkStart w:id="37" w:name="hotspot-identification"/>
    <w:p>
      <w:pPr>
        <w:pStyle w:val="Heading3"/>
      </w:pPr>
      <w:r>
        <w:t xml:space="preserve">Hotspot Identification</w:t>
      </w:r>
    </w:p>
    <w:p>
      <w:pPr>
        <w:pStyle w:val="FirstParagraph"/>
      </w:pPr>
      <w:r>
        <w:t xml:space="preserve">The analysis reveals the following key emission hotspots:</w:t>
      </w:r>
    </w:p>
    <w:p>
      <w:pPr>
        <w:numPr>
          <w:ilvl w:val="0"/>
          <w:numId w:val="1014"/>
        </w:numPr>
        <w:pStyle w:val="Compact"/>
      </w:pPr>
      <w:r>
        <w:rPr>
          <w:bCs/>
          <w:b/>
        </w:rPr>
        <w:t xml:space="preserve">Materials Acquisition (Scope 3 Upstream):</w:t>
      </w:r>
      <w:r>
        <w:t xml:space="preserve"> </w:t>
      </w:r>
      <w:r>
        <w:t xml:space="preserve">At 38.96 kg CO</w:t>
      </w:r>
      <w:r>
        <w:rPr>
          <w:vertAlign w:val="subscript"/>
        </w:rPr>
        <w:t xml:space="preserve">2</w:t>
      </w:r>
      <w:r>
        <w:t xml:space="preserve">e, the extraction and processing of raw materials, particularly the Aluminium Casing and Electronic Module, represent the largest portion of the PCF. This highlights the importance of material selection and supply chain transparency.</w:t>
      </w:r>
    </w:p>
    <w:p>
      <w:pPr>
        <w:numPr>
          <w:ilvl w:val="0"/>
          <w:numId w:val="1014"/>
        </w:numPr>
        <w:pStyle w:val="Compact"/>
      </w:pPr>
      <w:r>
        <w:rPr>
          <w:bCs/>
          <w:b/>
        </w:rPr>
        <w:t xml:space="preserve">Downstream Transportation (Scope 3 Downstream):</w:t>
      </w:r>
      <w:r>
        <w:t xml:space="preserve"> </w:t>
      </w:r>
      <w:r>
        <w:t xml:space="preserve">Last-mile delivery contributes a significant 25.0 kg CO</w:t>
      </w:r>
      <w:r>
        <w:rPr>
          <w:vertAlign w:val="subscript"/>
        </w:rPr>
        <w:t xml:space="preserve">2</w:t>
      </w:r>
      <w:r>
        <w:t xml:space="preserve">e, indicating that optimizing distribution networks and delivery methods can lead to substantial reductions.</w:t>
      </w:r>
    </w:p>
    <w:p>
      <w:pPr>
        <w:numPr>
          <w:ilvl w:val="0"/>
          <w:numId w:val="1014"/>
        </w:numPr>
        <w:pStyle w:val="Compact"/>
      </w:pPr>
      <w:r>
        <w:rPr>
          <w:bCs/>
          <w:b/>
        </w:rPr>
        <w:t xml:space="preserve">Use Phase (Scope 3 Downstream):</w:t>
      </w:r>
      <w:r>
        <w:t xml:space="preserve"> </w:t>
      </w:r>
      <w:r>
        <w:t xml:space="preserve">The energy consumed during the product\'s 5-year lifespan accounts for 15.0 kg CO</w:t>
      </w:r>
      <w:r>
        <w:rPr>
          <w:vertAlign w:val="subscript"/>
        </w:rPr>
        <w:t xml:space="preserve">2</w:t>
      </w:r>
      <w:r>
        <w:t xml:space="preserve">e, emphasizing the need for energy-efficient product design and encouraging renewable energy adoption by end-users.</w:t>
      </w:r>
    </w:p>
    <w:bookmarkEnd w:id="37"/>
    <w:bookmarkStart w:id="38" w:name="reliability-statement-and-limitations"/>
    <w:p>
      <w:pPr>
        <w:pStyle w:val="Heading3"/>
      </w:pPr>
      <w:r>
        <w:t xml:space="preserve">Reliability Statement and Limitations</w:t>
      </w:r>
    </w:p>
    <w:p>
      <w:pPr>
        <w:pStyle w:val="FirstParagraph"/>
      </w:pPr>
      <w:r>
        <w:t xml:space="preserve">This report provides a high-detail PCF analysis based on the GHG Protocol. The reliability of the results is directly influenced by the quality and specificity of the input data. While industry-standard emission factors (e.g., from Ecoinvent/DEFRA) have been utilized, and 95% Scope 3 coverage has been targeted, the use of illustrative data for several parameters introduces uncertainty. To enhance accuracy, primary data directly from suppliers and operations for all lifecycle stages is highly recommended for future assessments. The geographic scope, with production in China and a Europe-focused supply chain, necessitates careful selection of regional emission factors.</w:t>
      </w:r>
    </w:p>
    <w:bookmarkEnd w:id="38"/>
    <w:bookmarkStart w:id="40" w:name="recommendations-for-emission-reduction"/>
    <w:p>
      <w:pPr>
        <w:pStyle w:val="Heading3"/>
      </w:pPr>
      <w:r>
        <w:t xml:space="preserve">Recommendations for Emission Reduction</w:t>
      </w:r>
    </w:p>
    <w:p>
      <w:pPr>
        <w:pStyle w:val="FirstParagraph"/>
      </w:pPr>
      <w:r>
        <w:t xml:space="preserve">Based on the identified hotspots, kpysvwqwlv should consider the following strategies:</w:t>
      </w:r>
    </w:p>
    <w:p>
      <w:pPr>
        <w:numPr>
          <w:ilvl w:val="0"/>
          <w:numId w:val="1015"/>
        </w:numPr>
        <w:pStyle w:val="Compact"/>
      </w:pPr>
      <w:r>
        <w:rPr>
          <w:bCs/>
          <w:b/>
        </w:rPr>
        <w:t xml:space="preserve">Material Optimization:</w:t>
      </w:r>
      <w:r>
        <w:t xml:space="preserve"> </w:t>
      </w:r>
      <w:r>
        <w:t xml:space="preserve">Explore alternative, lower-carbon materials for the Aluminium Casing and Electronic Module. Engage with suppliers to understand and improve their material production processes.</w:t>
      </w:r>
    </w:p>
    <w:p>
      <w:pPr>
        <w:numPr>
          <w:ilvl w:val="0"/>
          <w:numId w:val="1015"/>
        </w:numPr>
        <w:pStyle w:val="Compact"/>
      </w:pPr>
      <w:r>
        <w:rPr>
          <w:bCs/>
          <w:b/>
        </w:rPr>
        <w:t xml:space="preserve">Supply Chain Decarbonization:</w:t>
      </w:r>
      <w:r>
        <w:t xml:space="preserve"> </w:t>
      </w:r>
      <w:r>
        <w:t xml:space="preserve">Optimize logistics by exploring more efficient transport modes (e.g., rail, sea freight where feasible) and consolidating shipments to reduce the impact of upstream and downstream transportation. Investigate cleaner fuel alternatives for delivery fleets.</w:t>
      </w:r>
    </w:p>
    <w:p>
      <w:pPr>
        <w:numPr>
          <w:ilvl w:val="0"/>
          <w:numId w:val="1015"/>
        </w:numPr>
        <w:pStyle w:val="Compact"/>
      </w:pPr>
      <w:r>
        <w:rPr>
          <w:bCs/>
          <w:b/>
        </w:rPr>
        <w:t xml:space="preserve">Energy Efficiency in Use:</w:t>
      </w:r>
      <w:r>
        <w:t xml:space="preserve"> </w:t>
      </w:r>
      <w:r>
        <w:t xml:space="preserve">Design \'unrokgdosr\' for maximum energy efficiency during its operational lifespan to reduce end-user electricity consumption. Encourage the use of renewable energy sources by end-users through product labeling or incentives.</w:t>
      </w:r>
    </w:p>
    <w:p>
      <w:pPr>
        <w:numPr>
          <w:ilvl w:val="0"/>
          <w:numId w:val="1015"/>
        </w:numPr>
        <w:pStyle w:val="Compact"/>
      </w:pPr>
      <w:r>
        <w:rPr>
          <w:bCs/>
          <w:b/>
        </w:rPr>
        <w:t xml:space="preserve">Circular Economy Integration:</w:t>
      </w:r>
      <w:r>
        <w:t xml:space="preserve"> </w:t>
      </w:r>
      <w:r>
        <w:t xml:space="preserve">Strengthen and expand take-back and refurbishment programs (\'eztnswhues\') to maximize material recovery and extend product lifespan, further increasing recycling benefits and reducing the need for virgin materials.</w:t>
      </w:r>
    </w:p>
    <w:p>
      <w:pPr>
        <w:numPr>
          <w:ilvl w:val="0"/>
          <w:numId w:val="1015"/>
        </w:numPr>
        <w:pStyle w:val="Compact"/>
      </w:pPr>
      <w:r>
        <w:rPr>
          <w:bCs/>
          <w:b/>
        </w:rPr>
        <w:t xml:space="preserve">Data Improvement:</w:t>
      </w:r>
      <w:r>
        <w:t xml:space="preserve"> </w:t>
      </w:r>
      <w:r>
        <w:t xml:space="preserve">Implement robust systems for collecting primary data across the entire value chain to continuously improve the accuracy and reliability of PCF calculations.</w:t>
      </w:r>
    </w:p>
    <w:p>
      <w:r>
        <w:pict>
          <v:rect style="width:0;height:1.5pt" o:hralign="center" o:hrstd="t" o:hr="t"/>
        </w:pict>
      </w:r>
    </w:p>
    <w:p>
      <w:pPr>
        <w:pStyle w:val="FirstParagraph"/>
      </w:pPr>
      <w:r>
        <w:t xml:space="preserve">Confidential - Internal Use Only | Page</w:t>
      </w:r>
      <w:r>
        <w:t xml:space="preserve"> </w:t>
      </w:r>
      <w:bookmarkStart w:id="39" w:name="pageNumber"/>
      <w:bookmarkEnd w:id="39"/>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unrokgdosr - kpysvwqwlv</dc:title>
  <dc:creator/>
  <dc:description>Detailed Product Carbon Footprint (PCF) analysis for unrokgdosr, conducted by zkvurompkh, Senior Sustainability Consultant for kpysvwqwlv, adhering to GHG Protocol standards and 2026 LSR updates.</dc:description>
  <dc:language>en</dc:language>
  <cp:keywords/>
  <dcterms:created xsi:type="dcterms:W3CDTF">2026-07-15T10:04:09Z</dcterms:created>
  <dcterms:modified xsi:type="dcterms:W3CDTF">2026-07-15T10:04:09Z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