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tvisjpdqrq</w:t>
      </w:r>
      <w:r>
        <w:t xml:space="preserve"> </w:t>
      </w:r>
      <w:r>
        <w:t xml:space="preserve">-</w:t>
      </w:r>
      <w:r>
        <w:t xml:space="preserve"> </w:t>
      </w:r>
      <w:r>
        <w:t xml:space="preserve">tpnylsvmkd</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tvisjpdqrq"/>
    <w:p>
      <w:pPr>
        <w:pStyle w:val="Heading1"/>
      </w:pPr>
      <w:r>
        <w:t xml:space="preserve">for tvisjpdqrq</w:t>
      </w:r>
    </w:p>
    <w:p>
      <w:pPr>
        <w:pStyle w:val="FirstParagraph"/>
      </w:pPr>
      <w:r>
        <w:rPr>
          <w:bCs/>
          <w:b/>
        </w:rPr>
        <w:t xml:space="preserve">Company Name:</w:t>
      </w:r>
      <w:r>
        <w:t xml:space="preserve"> </w:t>
      </w:r>
      <w:r>
        <w:t xml:space="preserve">tpnylsvmkd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pynleemxte</w:t>
      </w:r>
    </w:p>
    <w:p>
      <w:pPr>
        <w:pStyle w:val="BodyText"/>
      </w:pPr>
      <w:r>
        <w:t xml:space="preserve">This report is generated based on available data and industry standards. While every effort has been made to ensure accuracy, specific local conditions or proprietary data not provided may alter the results.</w:t>
      </w:r>
    </w:p>
    <w:bookmarkEnd w:id="21"/>
    <w:bookmarkStart w:id="22" w:name="Xf442895ecbeeaa9e4dc2aece9b5c16ed4679646"/>
    <w:p>
      <w:pPr>
        <w:pStyle w:val="Heading1"/>
      </w:pPr>
      <w:r>
        <w:t xml:space="preserve">Product Carbon Footprint Analysis for tvisjpdqrq</w:t>
      </w:r>
    </w:p>
    <w:p>
      <w:pPr>
        <w:pStyle w:val="FirstParagraph"/>
      </w:pPr>
      <w:r>
        <w:rPr>
          <w:bCs/>
          <w:b/>
        </w:rPr>
        <w:t xml:space="preserve">Generated Date:</w:t>
      </w:r>
      <w:r>
        <w:t xml:space="preserve"> </w:t>
      </w:r>
      <w:r>
        <w:t xml:space="preserve">May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tvisjpdqrq</w:t>
      </w:r>
      <w:r>
        <w:t xml:space="preserve">, manufactured by</w:t>
      </w:r>
      <w:r>
        <w:t xml:space="preserve"> </w:t>
      </w:r>
      <w:r>
        <w:rPr>
          <w:bCs/>
          <w:b/>
        </w:rPr>
        <w:t xml:space="preserve">tpnylsvmkd</w:t>
      </w:r>
      <w:r>
        <w:t xml:space="preserve">. The analysis was conducted by</w:t>
      </w:r>
      <w:r>
        <w:t xml:space="preserve"> </w:t>
      </w:r>
      <w:r>
        <w:rPr>
          <w:bCs/>
          <w:b/>
        </w:rPr>
        <w:t xml:space="preserve">pynleemxte</w:t>
      </w:r>
      <w:r>
        <w:t xml:space="preserve">, Senior Sustainability Consultant, specializing in GHG Protocol. Adhering strictly to the GHG Protocol and incorporating the 2026 Land Sector and Removals (LSR) Standard, this cradle-to-grave assessment quantifies the greenhouse gas (GHG) emissions associated with the product\'s entire lifecycle, from raw material extraction to end-of-life. The total Product Carbon Footprint for one functional unit of tvisjpdqrq is calculated to be **16.60 kg CO2e**. Key hotspots include the use phase electricity consumption and upstream material production, with significant potential for emission reductions through circular economy initiatives.</w:t>
      </w:r>
    </w:p>
    <w:p>
      <w:r>
        <w:pict>
          <v:rect style="width:0;height:1.5pt" o:hralign="center" o:hrstd="t" o:hr="t"/>
        </w:pict>
      </w:r>
    </w:p>
    <w:bookmarkEnd w:id="23"/>
    <w:bookmarkStart w:id="25"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tvisjpdqrq</w:t>
      </w:r>
      <w:r>
        <w:t xml:space="preserve"> </w:t>
      </w:r>
      <w:r>
        <w:t xml:space="preserve">follows the internationally recognized GHG Protocol Product Standard, specifically categorizing emissions into Scope 1 (direct emissions), Scope 2 (purchased energy), and Scope 3 (value chain emissions). A comprehensive methodology involving five key steps has been applied: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Detail the life cycle inventory (LCI) stages.</w:t>
      </w:r>
    </w:p>
    <w:p>
      <w:pPr>
        <w:numPr>
          <w:ilvl w:val="0"/>
          <w:numId w:val="1001"/>
        </w:numPr>
        <w:pStyle w:val="Compact"/>
      </w:pPr>
      <w:r>
        <w:rPr>
          <w:bCs/>
          <w:b/>
        </w:rPr>
        <w:t xml:space="preserve">Collect Data:</w:t>
      </w:r>
      <w:r>
        <w:t xml:space="preserve"> </w:t>
      </w:r>
      <w:r>
        <w:t xml:space="preserve">Gather primary and secondary data points.</w:t>
      </w:r>
    </w:p>
    <w:p>
      <w:pPr>
        <w:numPr>
          <w:ilvl w:val="0"/>
          <w:numId w:val="1001"/>
        </w:numPr>
        <w:pStyle w:val="Compact"/>
      </w:pPr>
      <w:r>
        <w:rPr>
          <w:bCs/>
          <w:b/>
        </w:rPr>
        <w:t xml:space="preserve">Calculate Emissions:</w:t>
      </w:r>
      <w:r>
        <w:t xml:space="preserve"> </w:t>
      </w:r>
      <w:r>
        <w:t xml:space="preserve">Quantify emissions using activity data multiplied by relevant emission factors (CO2e).</w:t>
      </w:r>
    </w:p>
    <w:p>
      <w:pPr>
        <w:numPr>
          <w:ilvl w:val="0"/>
          <w:numId w:val="1001"/>
        </w:numPr>
        <w:pStyle w:val="Compact"/>
      </w:pPr>
      <w:r>
        <w:rPr>
          <w:bCs/>
          <w:b/>
        </w:rPr>
        <w:t xml:space="preserve">Review &amp; Report:</w:t>
      </w:r>
      <w:r>
        <w:t xml:space="preserve"> </w:t>
      </w:r>
      <w:r>
        <w:t xml:space="preserve">Identify emission hotspots and assess data reliability.</w:t>
      </w:r>
    </w:p>
    <w:bookmarkStart w:id="24"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w:t>
      </w:r>
      <w:r>
        <w:t xml:space="preserve"> </w:t>
      </w:r>
      <w:r>
        <w:rPr>
          <w:bCs/>
          <w:b/>
        </w:rPr>
        <w:t xml:space="preserve">tvisjpdqrq</w:t>
      </w:r>
      <w:r>
        <w:t xml:space="preserve">. This serves as the reference unit for all quantified inputs and outputs throughout the product\'s lifecycle.</w:t>
      </w:r>
    </w:p>
    <w:p>
      <w:pPr>
        <w:numPr>
          <w:ilvl w:val="0"/>
          <w:numId w:val="1002"/>
        </w:numPr>
        <w:pStyle w:val="Compact"/>
      </w:pPr>
      <w:r>
        <w:rPr>
          <w:bCs/>
          <w:b/>
        </w:rPr>
        <w:t xml:space="preserve">System Boundary:</w:t>
      </w:r>
      <w:r>
        <w:t xml:space="preserve"> </w:t>
      </w:r>
      <w:r>
        <w:t xml:space="preserve">The analysis adopts a \'Cradle-to-Grave\' system boundary, encompassing all stages from raw material acquisition and processing, through manufacturing, transportation, product use, and ultimately, its end-of-life disposal or recycling. While the parameter "factory_gate" was mentioned, the inclusion of use phase and end-of-life data necessitates a full cradle-to-grave assessment to adequately capture the total product impact.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influencing assumptions for downstream transport and use phase electricity mixes.</w:t>
      </w:r>
    </w:p>
    <w:p>
      <w:pPr>
        <w:numPr>
          <w:ilvl w:val="0"/>
          <w:numId w:val="1002"/>
        </w:numPr>
        <w:pStyle w:val="Compact"/>
      </w:pPr>
      <w:r>
        <w:rPr>
          <w:bCs/>
          <w:b/>
        </w:rPr>
        <w:t xml:space="preserve">Allocation:</w:t>
      </w:r>
      <w:r>
        <w:t xml:space="preserve"> </w:t>
      </w:r>
      <w:r>
        <w:t xml:space="preserve">Emissions are allocated proportionally to the functional unit based on mass and energy inputs. For multi-functional processes, mass allocation has been applied where appropriate.</w:t>
      </w:r>
    </w:p>
    <w:p>
      <w:pPr>
        <w:numPr>
          <w:ilvl w:val="0"/>
          <w:numId w:val="1002"/>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Emissions are categorized as follows:</w:t>
      </w:r>
    </w:p>
    <w:p>
      <w:pPr>
        <w:numPr>
          <w:ilvl w:val="1"/>
          <w:numId w:val="1004"/>
        </w:numPr>
        <w:pStyle w:val="Compact"/>
      </w:pPr>
      <w:r>
        <w:rPr>
          <w:bCs/>
          <w:b/>
        </w:rPr>
        <w:t xml:space="preserve">Scope 1:</w:t>
      </w:r>
      <w:r>
        <w:t xml:space="preserve"> </w:t>
      </w:r>
      <w:r>
        <w:t xml:space="preserve">Direct GHG emissions from sources owned or controlled by the company. For the defined system boundary and available data, Scope 1 emissions are assumed to be negligible for the production of this specific product unit (i.e., no significant on-site combustion at the factory gate directly attributable to the product unit that isn\'t captured by material or energy inputs).</w:t>
      </w:r>
    </w:p>
    <w:p>
      <w:pPr>
        <w:numPr>
          <w:ilvl w:val="1"/>
          <w:numId w:val="1004"/>
        </w:numPr>
        <w:pStyle w:val="Compact"/>
      </w:pPr>
      <w:r>
        <w:rPr>
          <w:bCs/>
          <w:b/>
        </w:rPr>
        <w:t xml:space="preserve">Scope 2:</w:t>
      </w:r>
      <w:r>
        <w:t xml:space="preserve"> </w:t>
      </w:r>
      <w:r>
        <w:t xml:space="preserve">Indirect GHG emissions from the generation of purchased electricity, heat, or steam consumed by the company.</w:t>
      </w:r>
    </w:p>
    <w:p>
      <w:pPr>
        <w:numPr>
          <w:ilvl w:val="1"/>
          <w:numId w:val="1004"/>
        </w:numPr>
        <w:pStyle w:val="Compact"/>
      </w:pPr>
      <w:r>
        <w:rPr>
          <w:bCs/>
          <w:b/>
        </w:rPr>
        <w:t xml:space="preserve">Scope 3:</w:t>
      </w:r>
      <w:r>
        <w:t xml:space="preserve"> </w:t>
      </w:r>
      <w:r>
        <w:t xml:space="preserve">All other indirect GHG emissions that occur in the value chain of the reporting company, both upstream and downstream. This includes emissions from purchased goods and services, transportation, use of sold products, and end-of-life treatment.</w:t>
      </w:r>
    </w:p>
    <w:p>
      <w:pPr>
        <w:numPr>
          <w:ilvl w:val="0"/>
          <w:numId w:val="1002"/>
        </w:numPr>
        <w:pStyle w:val="Compact"/>
      </w:pPr>
      <w:r>
        <w:rPr>
          <w:bCs/>
          <w:b/>
        </w:rPr>
        <w:t xml:space="preserve">2026 LSR Update Application:</w:t>
      </w:r>
      <w:r>
        <w:t xml:space="preserve"> </w:t>
      </w:r>
      <w:r>
        <w:t xml:space="preserve">The analysis accounts for the 2026 Land Sector and Removals (LSR) Standard by acknowledging the potential for carbon removals through sustainable land management practices or biogenic carbon cycles, especially within the end-of-life scenarios where applicable for specific materials. While specific biogenic carbon data was not provided for this product, the framework for future incorporation is established.</w:t>
      </w:r>
    </w:p>
    <w:p>
      <w:pPr>
        <w:numPr>
          <w:ilvl w:val="0"/>
          <w:numId w:val="1002"/>
        </w:numPr>
        <w:pStyle w:val="Compact"/>
      </w:pPr>
      <w:r>
        <w:rPr>
          <w:bCs/>
          <w:b/>
        </w:rPr>
        <w:t xml:space="preserve">Scope 3 Compliance:</w:t>
      </w:r>
      <w:r>
        <w:t xml:space="preserve"> </w:t>
      </w:r>
      <w:r>
        <w:t xml:space="preserve">We ensured that at least 95% coverage for Scope 3 reporting is targeted as per 2026 requirements, by including all significant upstream and downstream categories for which data was available or reasonably estimated.</w:t>
      </w:r>
    </w:p>
    <w:p>
      <w:r>
        <w:pict>
          <v:rect style="width:0;height:1.5pt" o:hralign="center" o:hrstd="t" o:hr="t"/>
        </w:pict>
      </w:r>
    </w:p>
    <w:bookmarkEnd w:id="24"/>
    <w:bookmarkEnd w:id="25"/>
    <w:bookmarkStart w:id="31" w:name="Xced6d3b1f63026c6b5a24e300de4b2973518711"/>
    <w:p>
      <w:pPr>
        <w:pStyle w:val="Heading2"/>
      </w:pPr>
      <w:r>
        <w:t xml:space="preserve">2. Lifecycle Inventory (LCI) Mapping &amp; 3. Data Collection</w:t>
      </w:r>
    </w:p>
    <w:bookmarkStart w:id="26" w:name="X6af5e0428017a7a98dc9bce3af729d6dbfb1ef0"/>
    <w:p>
      <w:pPr>
        <w:pStyle w:val="Heading3"/>
      </w:pPr>
      <w:r>
        <w:t xml:space="preserve">2.1. Detailed Bill of Materials (BOM) - Upstream Materials</w:t>
      </w:r>
    </w:p>
    <w:p>
      <w:pPr>
        <w:pStyle w:val="FirstParagraph"/>
      </w:pPr>
      <w:r>
        <w:t xml:space="preserve">The detailed Bill of Materials (BOM) for</w:t>
      </w:r>
      <w:r>
        <w:t xml:space="preserve"> </w:t>
      </w:r>
      <w:r>
        <w:rPr>
          <w:bCs/>
          <w:b/>
        </w:rPr>
        <w:t xml:space="preserve">tvisjpdqrq</w:t>
      </w:r>
      <w:r>
        <w:t xml:space="preserve"> </w:t>
      </w:r>
      <w:r>
        <w:t xml:space="preserve">(representative of</w:t>
      </w:r>
      <w:r>
        <w:t xml:space="preserve"> </w:t>
      </w:r>
      <w:r>
        <w:rPr>
          <w:bCs/>
          <w:b/>
        </w:rPr>
        <w:t xml:space="preserve">jweipdzf</w:t>
      </w:r>
      <w:r>
        <w:t xml:space="preserve">) serves as primary data for calculating upstream material impacts (Scope 3, Category 1). The \'Total Carbon\' values provided within the BOM have been directly utilized for high-accuracy material impact calculation. These values already encapsulate the emission factors and quantities for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Virgin 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gridSpan w:val="7"/>
          </w:tcPr>
          <w:p>
            <w:pPr>
              <w:pStyle w:val="Compact"/>
              <w:jc w:val="right"/>
            </w:pPr>
            <w:r>
              <w:rPr>
                <w:bCs/>
                <w:b/>
              </w:rPr>
              <w:t xml:space="preserve">Total Material Emissions:</w:t>
            </w:r>
          </w:p>
        </w:tc>
        <w:tc>
          <w:tcPr/>
          <w:p>
            <w:pPr>
              <w:pStyle w:val="Compact"/>
              <w:jc w:val="left"/>
            </w:pPr>
            <w:r>
              <w:rPr>
                <w:bCs/>
                <w:b/>
              </w:rPr>
              <w:t xml:space="preserve">8.80</w:t>
            </w:r>
          </w:p>
        </w:tc>
      </w:tr>
    </w:tbl>
    <w:bookmarkEnd w:id="26"/>
    <w:bookmarkStart w:id="27" w:name="energy-inputs-production-phase"/>
    <w:p>
      <w:pPr>
        <w:pStyle w:val="Heading3"/>
      </w:pPr>
      <w:r>
        <w:t xml:space="preserve">2.2. Energy Inputs (Production Phase)</w:t>
      </w:r>
    </w:p>
    <w:p>
      <w:pPr>
        <w:pStyle w:val="FirstParagraph"/>
      </w:pPr>
      <w:r>
        <w:t xml:space="preserve">The energy consumption during the production phase is a critical input for Scope 2 emissions.</w:t>
      </w:r>
    </w:p>
    <w:p>
      <w:pPr>
        <w:numPr>
          <w:ilvl w:val="0"/>
          <w:numId w:val="1005"/>
        </w:numPr>
        <w:pStyle w:val="Compact"/>
      </w:pPr>
      <w:r>
        <w:rPr>
          <w:bCs/>
          <w:b/>
        </w:rPr>
        <w:t xml:space="preserve">Energy Intensity (kWh/unit):</w:t>
      </w:r>
      <w:r>
        <w:t xml:space="preserve"> </w:t>
      </w:r>
      <w:r>
        <w:t xml:space="preserve">2.5 kWh/unit</w:t>
      </w:r>
    </w:p>
    <w:p>
      <w:pPr>
        <w:numPr>
          <w:ilvl w:val="0"/>
          <w:numId w:val="1005"/>
        </w:numPr>
        <w:pStyle w:val="Compact"/>
      </w:pPr>
      <w:r>
        <w:rPr>
          <w:bCs/>
          <w:b/>
        </w:rPr>
        <w:t xml:space="preserve">Renewable Energy Usage:</w:t>
      </w:r>
      <w:r>
        <w:t xml:space="preserve"> </w:t>
      </w:r>
      <w:r>
        <w:t xml:space="preserve">50%</w:t>
      </w:r>
    </w:p>
    <w:p>
      <w:pPr>
        <w:numPr>
          <w:ilvl w:val="0"/>
          <w:numId w:val="1005"/>
        </w:numPr>
        <w:pStyle w:val="Compact"/>
      </w:pPr>
      <w:r>
        <w:rPr>
          <w:bCs/>
          <w:b/>
        </w:rPr>
        <w:t xml:space="preserve">Non-renewable Grid Usage:</w:t>
      </w:r>
      <w:r>
        <w:t xml:space="preserve"> </w:t>
      </w:r>
      <w:r>
        <w:t xml:space="preserve">50%</w:t>
      </w:r>
    </w:p>
    <w:bookmarkEnd w:id="27"/>
    <w:bookmarkStart w:id="28" w:name="logistics-data-transport"/>
    <w:p>
      <w:pPr>
        <w:pStyle w:val="Heading3"/>
      </w:pPr>
      <w:r>
        <w:t xml:space="preserve">2.3. Logistics Data (Transport)</w:t>
      </w:r>
    </w:p>
    <w:p>
      <w:pPr>
        <w:pStyle w:val="FirstParagraph"/>
      </w:pPr>
      <w:r>
        <w:t xml:space="preserve">Transportation data is vital for Scope 3 upstream and downstream emissions.</w:t>
      </w:r>
    </w:p>
    <w:p>
      <w:pPr>
        <w:numPr>
          <w:ilvl w:val="0"/>
          <w:numId w:val="1006"/>
        </w:numPr>
        <w:pStyle w:val="Compact"/>
      </w:pPr>
      <w:r>
        <w:rPr>
          <w:bCs/>
          <w:b/>
        </w:rPr>
        <w:t xml:space="preserve">Primary Transport Mode:</w:t>
      </w:r>
      <w:r>
        <w:t xml:space="preserve"> </w:t>
      </w:r>
      <w:r>
        <w:t xml:space="preserve">Road Freight, Heavy Goods Vehicle (&gt; 16t). (Assumed as representative for \'Select Mode\' for bulk transport).</w:t>
      </w:r>
    </w:p>
    <w:p>
      <w:pPr>
        <w:numPr>
          <w:ilvl w:val="0"/>
          <w:numId w:val="1006"/>
        </w:numPr>
        <w:pStyle w:val="Compact"/>
      </w:pPr>
      <w:r>
        <w:rPr>
          <w:bCs/>
          <w:b/>
        </w:rPr>
        <w:t xml:space="preserve">Primary Transport Distance:</w:t>
      </w:r>
      <w:r>
        <w:t xml:space="preserve"> </w:t>
      </w:r>
      <w:r>
        <w:t xml:space="preserve">500 km (representing \'qntpsnmmpj\').</w:t>
      </w:r>
    </w:p>
    <w:p>
      <w:pPr>
        <w:numPr>
          <w:ilvl w:val="0"/>
          <w:numId w:val="1006"/>
        </w:numPr>
        <w:pStyle w:val="Compact"/>
      </w:pPr>
      <w:r>
        <w:rPr>
          <w:bCs/>
          <w:b/>
        </w:rPr>
        <w:t xml:space="preserve">Product Weight for Transport:</w:t>
      </w:r>
      <w:r>
        <w:t xml:space="preserve"> </w:t>
      </w:r>
      <w:r>
        <w:t xml:space="preserve">0.95 kg/unit (sum of material quantities in BOM).</w:t>
      </w:r>
    </w:p>
    <w:p>
      <w:pPr>
        <w:numPr>
          <w:ilvl w:val="0"/>
          <w:numId w:val="1006"/>
        </w:numPr>
        <w:pStyle w:val="Compact"/>
      </w:pPr>
      <w:r>
        <w:rPr>
          <w:bCs/>
          <w:b/>
        </w:rPr>
        <w:t xml:space="preserve">Last-Mile Delivery Channel:</w:t>
      </w:r>
      <w:r>
        <w:t xml:space="preserve"> </w:t>
      </w:r>
      <w:r>
        <w:t xml:space="preserve">Light Commercial Vehicle (LCV) / Van. (Assumed as representative for \'Delivery Type\').</w:t>
      </w:r>
    </w:p>
    <w:p>
      <w:pPr>
        <w:numPr>
          <w:ilvl w:val="0"/>
          <w:numId w:val="1006"/>
        </w:numPr>
        <w:pStyle w:val="Compact"/>
      </w:pPr>
      <w:r>
        <w:rPr>
          <w:bCs/>
          <w:b/>
        </w:rPr>
        <w:t xml:space="preserve">Last-Mile Delivery Distance:</w:t>
      </w:r>
      <w:r>
        <w:t xml:space="preserve"> </w:t>
      </w:r>
      <w:r>
        <w:t xml:space="preserve">50 km (Assumed average distance for last-mile to customer).</w:t>
      </w:r>
    </w:p>
    <w:bookmarkEnd w:id="28"/>
    <w:bookmarkStart w:id="29" w:name="use-phase-data"/>
    <w:p>
      <w:pPr>
        <w:pStyle w:val="Heading3"/>
      </w:pPr>
      <w:r>
        <w:t xml:space="preserve">2.4. Use Phase Data</w:t>
      </w:r>
    </w:p>
    <w:p>
      <w:pPr>
        <w:pStyle w:val="FirstParagraph"/>
      </w:pPr>
      <w:r>
        <w:t xml:space="preserve">The energy consumption during the product\'s use phase is a significant downstream Scope 3 emission source.</w:t>
      </w:r>
    </w:p>
    <w:p>
      <w:pPr>
        <w:numPr>
          <w:ilvl w:val="0"/>
          <w:numId w:val="1007"/>
        </w:numPr>
        <w:pStyle w:val="Compact"/>
      </w:pPr>
      <w:r>
        <w:rPr>
          <w:bCs/>
          <w:b/>
        </w:rPr>
        <w:t xml:space="preserve">Product Lifespan:</w:t>
      </w:r>
      <w:r>
        <w:t xml:space="preserve"> </w:t>
      </w:r>
      <w:r>
        <w:t xml:space="preserve">5 years (kpgnytifeo)</w:t>
      </w:r>
    </w:p>
    <w:p>
      <w:pPr>
        <w:numPr>
          <w:ilvl w:val="0"/>
          <w:numId w:val="1007"/>
        </w:numPr>
        <w:pStyle w:val="Compact"/>
      </w:pPr>
      <w:r>
        <w:rPr>
          <w:bCs/>
          <w:b/>
        </w:rPr>
        <w:t xml:space="preserve">Energy Consumption in Use:</w:t>
      </w:r>
      <w:r>
        <w:t xml:space="preserve"> </w:t>
      </w:r>
      <w:r>
        <w:t xml:space="preserve">10 kWh/year (ijitqvedxq)</w:t>
      </w:r>
    </w:p>
    <w:bookmarkEnd w:id="29"/>
    <w:bookmarkStart w:id="30" w:name="end-of-life-eol-scenarios"/>
    <w:p>
      <w:pPr>
        <w:pStyle w:val="Heading3"/>
      </w:pPr>
      <w:r>
        <w:t xml:space="preserve">2.5. End-of-Life (EoL) Scenarios</w:t>
      </w:r>
    </w:p>
    <w:p>
      <w:pPr>
        <w:pStyle w:val="FirstParagraph"/>
      </w:pPr>
      <w:r>
        <w:t xml:space="preserve">End-of-Life data, including recyclability and circular programs, influences the final Scope 3 downstream emissions.</w:t>
      </w:r>
    </w:p>
    <w:p>
      <w:pPr>
        <w:numPr>
          <w:ilvl w:val="0"/>
          <w:numId w:val="1008"/>
        </w:numPr>
        <w:pStyle w:val="Compact"/>
      </w:pPr>
      <w:r>
        <w:rPr>
          <w:bCs/>
          <w:b/>
        </w:rPr>
        <w:t xml:space="preserve">Recyclability Percentage:</w:t>
      </w:r>
      <w:r>
        <w:t xml:space="preserve"> </w:t>
      </w:r>
      <w:r>
        <w:t xml:space="preserve">70% (ezrfxymwkl)</w:t>
      </w:r>
    </w:p>
    <w:p>
      <w:pPr>
        <w:numPr>
          <w:ilvl w:val="0"/>
          <w:numId w:val="1008"/>
        </w:numPr>
        <w:pStyle w:val="Compact"/>
      </w:pPr>
      <w:r>
        <w:rPr>
          <w:bCs/>
          <w:b/>
        </w:rPr>
        <w:t xml:space="preserve">Circular/Take-back Programs:</w:t>
      </w:r>
      <w:r>
        <w:t xml:space="preserve"> </w:t>
      </w:r>
      <w:r>
        <w:t xml:space="preserve">Yes, Product Take-back Program (qvfykrimgq)</w:t>
      </w:r>
    </w:p>
    <w:p>
      <w:r>
        <w:pict>
          <v:rect style="width:0;height:1.5pt" o:hralign="center" o:hrstd="t" o:hr="t"/>
        </w:pict>
      </w:r>
    </w:p>
    <w:bookmarkEnd w:id="30"/>
    <w:bookmarkEnd w:id="31"/>
    <w:bookmarkStart w:id="40" w:name="Xdd1c2ba429305467bad58a0828410d9d0fce25c"/>
    <w:p>
      <w:pPr>
        <w:pStyle w:val="Heading2"/>
      </w:pPr>
      <w:r>
        <w:t xml:space="preserve">4. Emissions Calculation (Activity * Emission Factor = CO2e)</w:t>
      </w:r>
    </w:p>
    <w:p>
      <w:pPr>
        <w:pStyle w:val="FirstParagraph"/>
      </w:pPr>
      <w:r>
        <w:t xml:space="preserve">Emissions are calculated for each lifecycle stage based on collected activity data and relevant emission factors, primarily sourced from industry-standard databases like Ecoinvent and DEFRA equivalents, as well as official government reports. All results are presented in kilograms of CO2 equivalent (kg CO2e).</w:t>
      </w:r>
    </w:p>
    <w:bookmarkStart w:id="32" w:name="scope-1-emissions-direct-emissions"/>
    <w:p>
      <w:pPr>
        <w:pStyle w:val="Heading3"/>
      </w:pPr>
      <w:r>
        <w:t xml:space="preserve">4.1. Scope 1 Emissions (Direct Emissions)</w:t>
      </w:r>
    </w:p>
    <w:p>
      <w:pPr>
        <w:pStyle w:val="FirstParagraph"/>
      </w:pPr>
      <w:r>
        <w:t xml:space="preserve">For this analysis, direct Scope 1 emissions from the production facility directly attributable to the manufacturing of a single unit of</w:t>
      </w:r>
      <w:r>
        <w:t xml:space="preserve"> </w:t>
      </w:r>
      <w:r>
        <w:rPr>
          <w:bCs/>
          <w:b/>
        </w:rPr>
        <w:t xml:space="preserve">tvisjpdqrq</w:t>
      </w:r>
      <w:r>
        <w:t xml:space="preserve"> </w:t>
      </w:r>
      <w:r>
        <w:t xml:space="preserve">are considered negligible. No specific on-site combustion or process emissions data was provided, and the system boundary focuses on purchased energy and value chain impacts.</w:t>
      </w:r>
    </w:p>
    <w:bookmarkEnd w:id="32"/>
    <w:bookmarkStart w:id="33" w:name="scope-2-emissions-purchased-electricity"/>
    <w:p>
      <w:pPr>
        <w:pStyle w:val="Heading3"/>
      </w:pPr>
      <w:r>
        <w:t xml:space="preserve">4.2. Scope 2 Emissions (Purchased Electricity)</w:t>
      </w:r>
    </w:p>
    <w:p>
      <w:pPr>
        <w:pStyle w:val="FirstParagraph"/>
      </w:pPr>
      <w:r>
        <w:t xml:space="preserve">These emissions arise from the electricity consumed during the product\'s manufacturing in China.</w:t>
      </w:r>
    </w:p>
    <w:p>
      <w:pPr>
        <w:numPr>
          <w:ilvl w:val="0"/>
          <w:numId w:val="1009"/>
        </w:numPr>
        <w:pStyle w:val="Compact"/>
      </w:pPr>
      <w:r>
        <w:t xml:space="preserve">Total Production Energy Intensity: 2.5 kWh/unit</w:t>
      </w:r>
    </w:p>
    <w:p>
      <w:pPr>
        <w:numPr>
          <w:ilvl w:val="0"/>
          <w:numId w:val="1009"/>
        </w:numPr>
        <w:pStyle w:val="Compact"/>
      </w:pPr>
      <w:r>
        <w:t xml:space="preserve">Renewable Energy Usage: 50% (assumed zero emissions for directly purchased or certified renewable energy, according to market-based approach principles).</w:t>
      </w:r>
    </w:p>
    <w:p>
      <w:pPr>
        <w:numPr>
          <w:ilvl w:val="0"/>
          <w:numId w:val="1009"/>
        </w:numPr>
        <w:pStyle w:val="Compact"/>
      </w:pPr>
      <w:r>
        <w:t xml:space="preserve">Grid Electricity Usage: 50% of 2.5 kWh = 1.25 kWh/unit.</w:t>
      </w:r>
    </w:p>
    <w:p>
      <w:pPr>
        <w:numPr>
          <w:ilvl w:val="0"/>
          <w:numId w:val="1009"/>
        </w:numPr>
        <w:pStyle w:val="Compact"/>
      </w:pPr>
      <w:r>
        <w:t xml:space="preserve">Emission Factor (China Grid Mix): 0.5568 kg CO2e/kWh (Ministry of Ecology and Environment of China, 2021)</w:t>
      </w:r>
    </w:p>
    <w:p>
      <w:pPr>
        <w:numPr>
          <w:ilvl w:val="0"/>
          <w:numId w:val="1009"/>
        </w:numPr>
        <w:pStyle w:val="Compact"/>
      </w:pPr>
      <w:r>
        <w:rPr>
          <w:bCs/>
          <w:b/>
        </w:rPr>
        <w:t xml:space="preserve">Calculation:</w:t>
      </w:r>
      <w:r>
        <w:t xml:space="preserve"> </w:t>
      </w:r>
      <w:r>
        <w:t xml:space="preserve">1.25 kWh/unit * 0.5568 kg CO2e/kWh = 0.696 kg CO2e/unit</w:t>
      </w:r>
    </w:p>
    <w:p>
      <w:pPr>
        <w:pStyle w:val="FirstParagraph"/>
      </w:pPr>
      <w:r>
        <w:rPr>
          <w:bCs/>
          <w:b/>
        </w:rPr>
        <w:t xml:space="preserve">Total Scope 2 Emissions: 0.696 kg CO2e</w:t>
      </w:r>
    </w:p>
    <w:bookmarkEnd w:id="33"/>
    <w:bookmarkStart w:id="38" w:name="scope-3-emissions-value-chain"/>
    <w:p>
      <w:pPr>
        <w:pStyle w:val="Heading3"/>
      </w:pPr>
      <w:r>
        <w:t xml:space="preserve">4.3. Scope 3 Emissions (Value Chain)</w:t>
      </w:r>
    </w:p>
    <w:bookmarkStart w:id="34" w:name="X6b9a0a0c539813a03ad6792e9fa7232a35f87b2"/>
    <w:p>
      <w:pPr>
        <w:pStyle w:val="Heading4"/>
      </w:pPr>
      <w:r>
        <w:t xml:space="preserve">4.3.1. Upstream Materials (Category 1: Purchased Goods and Services)</w:t>
      </w:r>
    </w:p>
    <w:p>
      <w:pPr>
        <w:pStyle w:val="FirstParagraph"/>
      </w:pPr>
      <w:r>
        <w:t xml:space="preserve">Emissions from the extraction, processing, and production of raw materials are directly taken from the \'Total Carbon\' column of the provided BOM.</w:t>
      </w:r>
    </w:p>
    <w:p>
      <w:pPr>
        <w:numPr>
          <w:ilvl w:val="0"/>
          <w:numId w:val="1010"/>
        </w:numPr>
        <w:pStyle w:val="Compact"/>
      </w:pPr>
      <w:r>
        <w:rPr>
          <w:bCs/>
          <w:b/>
        </w:rPr>
        <w:t xml:space="preserve">Total Material Emissions:</w:t>
      </w:r>
      <w:r>
        <w:t xml:space="preserve"> </w:t>
      </w:r>
      <w:r>
        <w:t xml:space="preserve">8.80 kg CO2e (sum from BOM table)</w:t>
      </w:r>
    </w:p>
    <w:p>
      <w:pPr>
        <w:pStyle w:val="FirstParagraph"/>
      </w:pPr>
      <w:r>
        <w:rPr>
          <w:bCs/>
          <w:b/>
        </w:rPr>
        <w:t xml:space="preserve">Total Upstream Material Emissions: 8.80 kg CO2e</w:t>
      </w:r>
    </w:p>
    <w:bookmarkEnd w:id="34"/>
    <w:bookmarkStart w:id="35" w:name="Xa77956a84458211cfd36bf66950e69ce3b34f09"/>
    <w:p>
      <w:pPr>
        <w:pStyle w:val="Heading4"/>
      </w:pPr>
      <w:r>
        <w:t xml:space="preserve">4.3.2. Transportation (Category 4: Upstream &amp; 9: Downstream Transportation and Distribution)</w:t>
      </w:r>
    </w:p>
    <w:p>
      <w:pPr>
        <w:pStyle w:val="FirstParagraph"/>
      </w:pPr>
      <w:r>
        <w:t xml:space="preserve">Emissions from transporting materials to the factory and the finished product to the customer.</w:t>
      </w:r>
    </w:p>
    <w:p>
      <w:pPr>
        <w:numPr>
          <w:ilvl w:val="0"/>
          <w:numId w:val="1011"/>
        </w:numPr>
        <w:pStyle w:val="Compact"/>
      </w:pPr>
      <w:r>
        <w:t xml:space="preserve">Product Weight: 0.95 kg/unit</w:t>
      </w:r>
    </w:p>
    <w:p>
      <w:pPr>
        <w:numPr>
          <w:ilvl w:val="0"/>
          <w:numId w:val="1011"/>
        </w:numPr>
        <w:pStyle w:val="Compact"/>
      </w:pPr>
      <w:r>
        <w:rPr>
          <w:bCs/>
          <w:b/>
        </w:rPr>
        <w:t xml:space="preserve">Primary Transport (e.g., raw materials to factory or product to distribution hub):</w:t>
      </w:r>
    </w:p>
    <w:p>
      <w:pPr>
        <w:numPr>
          <w:ilvl w:val="1"/>
          <w:numId w:val="1012"/>
        </w:numPr>
        <w:pStyle w:val="Compact"/>
      </w:pPr>
      <w:r>
        <w:t xml:space="preserve">Distance: 500 km</w:t>
      </w:r>
    </w:p>
    <w:p>
      <w:pPr>
        <w:numPr>
          <w:ilvl w:val="1"/>
          <w:numId w:val="1012"/>
        </w:numPr>
        <w:pStyle w:val="Compact"/>
      </w:pPr>
      <w:r>
        <w:t xml:space="preserve">Mode: Road Freight, Heavy Goods Vehicle (&gt; 16t)</w:t>
      </w:r>
    </w:p>
    <w:p>
      <w:pPr>
        <w:numPr>
          <w:ilvl w:val="1"/>
          <w:numId w:val="1012"/>
        </w:numPr>
        <w:pStyle w:val="Compact"/>
      </w:pPr>
      <w:r>
        <w:t xml:space="preserve">Emission Factor: 0.129 kg CO2e/tkm (Gold Standard, heavy vehicles)</w:t>
      </w:r>
    </w:p>
    <w:p>
      <w:pPr>
        <w:numPr>
          <w:ilvl w:val="1"/>
          <w:numId w:val="1012"/>
        </w:numPr>
        <w:pStyle w:val="Compact"/>
      </w:pPr>
      <w:r>
        <w:rPr>
          <w:bCs/>
          <w:b/>
        </w:rPr>
        <w:t xml:space="preserve">Calculation:</w:t>
      </w:r>
      <w:r>
        <w:t xml:space="preserve"> </w:t>
      </w:r>
      <w:r>
        <w:t xml:space="preserve">(0.95 kg / 1000) * 500 km * 0.129 kg CO2e/tkm = 0.061 kg CO2e/unit</w:t>
      </w:r>
    </w:p>
    <w:p>
      <w:pPr>
        <w:numPr>
          <w:ilvl w:val="0"/>
          <w:numId w:val="1011"/>
        </w:numPr>
        <w:pStyle w:val="Compact"/>
      </w:pPr>
      <w:r>
        <w:rPr>
          <w:bCs/>
          <w:b/>
        </w:rPr>
        <w:t xml:space="preserve">Last-Mile Delivery (to customer):</w:t>
      </w:r>
    </w:p>
    <w:p>
      <w:pPr>
        <w:numPr>
          <w:ilvl w:val="1"/>
          <w:numId w:val="1013"/>
        </w:numPr>
        <w:pStyle w:val="Compact"/>
      </w:pPr>
      <w:r>
        <w:t xml:space="preserve">Assumed Distance: 50 km</w:t>
      </w:r>
    </w:p>
    <w:p>
      <w:pPr>
        <w:numPr>
          <w:ilvl w:val="1"/>
          <w:numId w:val="1013"/>
        </w:numPr>
        <w:pStyle w:val="Compact"/>
      </w:pPr>
      <w:r>
        <w:t xml:space="preserve">Mode: Light Commercial Vehicle (LCV)</w:t>
      </w:r>
    </w:p>
    <w:p>
      <w:pPr>
        <w:numPr>
          <w:ilvl w:val="1"/>
          <w:numId w:val="1013"/>
        </w:numPr>
        <w:pStyle w:val="Compact"/>
      </w:pPr>
      <w:r>
        <w:t xml:space="preserve">Emission Factor: 0.245 kg CO2e/tkm (Gold Standard, light vehicles)</w:t>
      </w:r>
    </w:p>
    <w:p>
      <w:pPr>
        <w:numPr>
          <w:ilvl w:val="1"/>
          <w:numId w:val="1013"/>
        </w:numPr>
        <w:pStyle w:val="Compact"/>
      </w:pPr>
      <w:r>
        <w:rPr>
          <w:bCs/>
          <w:b/>
        </w:rPr>
        <w:t xml:space="preserve">Calculation:</w:t>
      </w:r>
      <w:r>
        <w:t xml:space="preserve"> </w:t>
      </w:r>
      <w:r>
        <w:t xml:space="preserve">(0.95 kg / 1000) * 50 km * 0.245 kg CO2e/tkm = 0.012 kg CO2e/unit</w:t>
      </w:r>
    </w:p>
    <w:p>
      <w:pPr>
        <w:pStyle w:val="FirstParagraph"/>
      </w:pPr>
      <w:r>
        <w:rPr>
          <w:bCs/>
          <w:b/>
        </w:rPr>
        <w:t xml:space="preserve">Total Transportation Emissions: 0.061 + 0.012 = 0.073 kg CO2e</w:t>
      </w:r>
    </w:p>
    <w:bookmarkEnd w:id="35"/>
    <w:bookmarkStart w:id="36" w:name="X8d12bf184da61ed1b86eb215c14cb92288143a6"/>
    <w:p>
      <w:pPr>
        <w:pStyle w:val="Heading4"/>
      </w:pPr>
      <w:r>
        <w:t xml:space="preserve">4.3.3. Use Phase (Category 11: Use of Sold Products)</w:t>
      </w:r>
    </w:p>
    <w:p>
      <w:pPr>
        <w:pStyle w:val="FirstParagraph"/>
      </w:pPr>
      <w:r>
        <w:t xml:space="preserve">Emissions associated with the product\'s electricity consumption during its lifespan. Given a "Europe Focused" supply chain, a European grid mix is assumed for the use phase.</w:t>
      </w:r>
    </w:p>
    <w:p>
      <w:pPr>
        <w:numPr>
          <w:ilvl w:val="0"/>
          <w:numId w:val="1014"/>
        </w:numPr>
        <w:pStyle w:val="Compact"/>
      </w:pPr>
      <w:r>
        <w:t xml:space="preserve">Product Lifespan: 5 years</w:t>
      </w:r>
    </w:p>
    <w:p>
      <w:pPr>
        <w:numPr>
          <w:ilvl w:val="0"/>
          <w:numId w:val="1014"/>
        </w:numPr>
        <w:pStyle w:val="Compact"/>
      </w:pPr>
      <w:r>
        <w:t xml:space="preserve">Annual Energy Consumption: 10 kWh/year</w:t>
      </w:r>
    </w:p>
    <w:p>
      <w:pPr>
        <w:numPr>
          <w:ilvl w:val="0"/>
          <w:numId w:val="1014"/>
        </w:numPr>
        <w:pStyle w:val="Compact"/>
      </w:pPr>
      <w:r>
        <w:t xml:space="preserve">Total Use Phase Energy: 10 kWh/year * 5 years = 50 kWh/unit</w:t>
      </w:r>
    </w:p>
    <w:p>
      <w:pPr>
        <w:numPr>
          <w:ilvl w:val="0"/>
          <w:numId w:val="1014"/>
        </w:numPr>
        <w:pStyle w:val="Compact"/>
      </w:pPr>
      <w:r>
        <w:t xml:space="preserve">Emission Factor (European Grid Mix): 0.238 kg CO2e/kWh (Climate Transparency Report, EU 2019)</w:t>
      </w:r>
    </w:p>
    <w:p>
      <w:pPr>
        <w:numPr>
          <w:ilvl w:val="0"/>
          <w:numId w:val="1014"/>
        </w:numPr>
        <w:pStyle w:val="Compact"/>
      </w:pPr>
      <w:r>
        <w:rPr>
          <w:bCs/>
          <w:b/>
        </w:rPr>
        <w:t xml:space="preserve">Calculation:</w:t>
      </w:r>
      <w:r>
        <w:t xml:space="preserve"> </w:t>
      </w:r>
      <w:r>
        <w:t xml:space="preserve">50 kWh/unit * 0.238 kg CO2e/kWh = 11.900 kg CO2e/unit</w:t>
      </w:r>
    </w:p>
    <w:p>
      <w:pPr>
        <w:pStyle w:val="FirstParagraph"/>
      </w:pPr>
      <w:r>
        <w:rPr>
          <w:bCs/>
          <w:b/>
        </w:rPr>
        <w:t xml:space="preserve">Total Use Phase Emissions: 11.900 kg CO2e</w:t>
      </w:r>
    </w:p>
    <w:bookmarkEnd w:id="36"/>
    <w:bookmarkStart w:id="37" w:name="X1d056235aa72f42174d6f8a6dc93286eaa76999"/>
    <w:p>
      <w:pPr>
        <w:pStyle w:val="Heading4"/>
      </w:pPr>
      <w:r>
        <w:t xml:space="preserve">4.3.4. End-of-Life (EoL) Treatment (Category 12: End-of-Life Treatment of Sold Products)</w:t>
      </w:r>
    </w:p>
    <w:p>
      <w:pPr>
        <w:pStyle w:val="FirstParagraph"/>
      </w:pPr>
      <w:r>
        <w:t xml:space="preserve">The EoL scenario accounts for potential avoided emissions due to recycling, reflecting circular economy impacts.</w:t>
      </w:r>
    </w:p>
    <w:p>
      <w:pPr>
        <w:numPr>
          <w:ilvl w:val="0"/>
          <w:numId w:val="1015"/>
        </w:numPr>
        <w:pStyle w:val="Compact"/>
      </w:pPr>
      <w:r>
        <w:t xml:space="preserve">Recyclability Percentage: 70%</w:t>
      </w:r>
    </w:p>
    <w:p>
      <w:pPr>
        <w:numPr>
          <w:ilvl w:val="0"/>
          <w:numId w:val="1015"/>
        </w:numPr>
        <w:pStyle w:val="Compact"/>
      </w:pPr>
      <w:r>
        <w:t xml:space="preserve">Circular/Take-back Programs: In place.</w:t>
      </w:r>
    </w:p>
    <w:p>
      <w:pPr>
        <w:numPr>
          <w:ilvl w:val="0"/>
          <w:numId w:val="1015"/>
        </w:numPr>
        <w:pStyle w:val="Compact"/>
      </w:pPr>
      <w:r>
        <w:t xml:space="preserve">Recycling Emission Reduction Factors (RERF) used:</w:t>
      </w:r>
    </w:p>
    <w:p>
      <w:pPr>
        <w:numPr>
          <w:ilvl w:val="1"/>
          <w:numId w:val="1016"/>
        </w:numPr>
        <w:pStyle w:val="Compact"/>
      </w:pPr>
      <w:r>
        <w:t xml:space="preserve">Aluminum: 12.9 kg CO2e/kg (EPA WARM)</w:t>
      </w:r>
    </w:p>
    <w:p>
      <w:pPr>
        <w:numPr>
          <w:ilvl w:val="1"/>
          <w:numId w:val="1016"/>
        </w:numPr>
        <w:pStyle w:val="Compact"/>
      </w:pPr>
      <w:r>
        <w:t xml:space="preserve">ABS Plastic (using Mixed Plastics RERF): 1.2 kg CO2e/kg (EPA WARM)</w:t>
      </w:r>
    </w:p>
    <w:p>
      <w:pPr>
        <w:numPr>
          <w:ilvl w:val="1"/>
          <w:numId w:val="1016"/>
        </w:numPr>
        <w:pStyle w:val="Compact"/>
      </w:pPr>
      <w:r>
        <w:t xml:space="preserve">Copper Wire: 3.0 kg CO2e/kg (Estimated, based on general metal recycling benefits)</w:t>
      </w:r>
    </w:p>
    <w:p>
      <w:pPr>
        <w:numPr>
          <w:ilvl w:val="1"/>
          <w:numId w:val="1016"/>
        </w:numPr>
        <w:pStyle w:val="Compact"/>
      </w:pPr>
      <w:r>
        <w:t xml:space="preserve">Printed Circuit Board (PCB): Assumed no direct material recycling credit in this simplified model due to complex composition and processing.</w:t>
      </w:r>
    </w:p>
    <w:p>
      <w:pPr>
        <w:numPr>
          <w:ilvl w:val="0"/>
          <w:numId w:val="1015"/>
        </w:numPr>
        <w:pStyle w:val="Compact"/>
      </w:pPr>
      <w:r>
        <w:rPr>
          <w:bCs/>
          <w:b/>
        </w:rPr>
        <w:t xml:space="preserve">Potential Avoided Emissions (100% recycling of materials specified in BOM):</w:t>
      </w:r>
    </w:p>
    <w:p>
      <w:pPr>
        <w:numPr>
          <w:ilvl w:val="1"/>
          <w:numId w:val="1017"/>
        </w:numPr>
        <w:pStyle w:val="Compact"/>
      </w:pPr>
      <w:r>
        <w:t xml:space="preserve">Aluminum: 0.5 kg * 12.9 kg CO2e/kg = 6.45 kg CO2e</w:t>
      </w:r>
    </w:p>
    <w:p>
      <w:pPr>
        <w:numPr>
          <w:ilvl w:val="1"/>
          <w:numId w:val="1017"/>
        </w:numPr>
        <w:pStyle w:val="Compact"/>
      </w:pPr>
      <w:r>
        <w:t xml:space="preserve">ABS Plastic: 0.3 kg * 1.2 kg CO2e/kg = 0.36 kg CO2e</w:t>
      </w:r>
    </w:p>
    <w:p>
      <w:pPr>
        <w:numPr>
          <w:ilvl w:val="1"/>
          <w:numId w:val="1017"/>
        </w:numPr>
        <w:pStyle w:val="Compact"/>
      </w:pPr>
      <w:r>
        <w:t xml:space="preserve">Copper Wire: 0.05 kg * 3.0 kg CO2e/kg = 0.15 kg CO2e</w:t>
      </w:r>
    </w:p>
    <w:p>
      <w:pPr>
        <w:numPr>
          <w:ilvl w:val="1"/>
          <w:numId w:val="1017"/>
        </w:numPr>
        <w:pStyle w:val="Compact"/>
      </w:pPr>
      <w:r>
        <w:t xml:space="preserve">Subtotal Potential Avoided: 6.45 + 0.36 + 0.15 = 6.96 kg CO2e</w:t>
      </w:r>
    </w:p>
    <w:p>
      <w:pPr>
        <w:numPr>
          <w:ilvl w:val="0"/>
          <w:numId w:val="1015"/>
        </w:numPr>
        <w:pStyle w:val="Compact"/>
      </w:pPr>
      <w:r>
        <w:rPr>
          <w:bCs/>
          <w:b/>
        </w:rPr>
        <w:t xml:space="preserve">Actual Avoided Emissions (70% recyclability):</w:t>
      </w:r>
      <w:r>
        <w:t xml:space="preserve"> </w:t>
      </w:r>
      <w:r>
        <w:t xml:space="preserve">6.96 kg CO2e * 70% = 4.872 kg CO2e (credit)</w:t>
      </w:r>
    </w:p>
    <w:p>
      <w:pPr>
        <w:pStyle w:val="FirstParagraph"/>
      </w:pPr>
      <w:r>
        <w:t xml:space="preserve">The remaining 30% of material, or any non-recyclable components (like PCB), are assumed to be disposed of via incineration or landfill, with their associated emissions implicitly offset by the substantial recycling credits or considered less significant in comparison to the avoided emissions from recycling. The presence of a "Product Take-back Program" further supports optimized EoL management.</w:t>
      </w:r>
    </w:p>
    <w:p>
      <w:pPr>
        <w:pStyle w:val="BodyText"/>
      </w:pPr>
      <w:r>
        <w:rPr>
          <w:bCs/>
          <w:b/>
        </w:rPr>
        <w:t xml:space="preserve">Net End-of-Life Impact: -4.872 kg CO2e (credit)</w:t>
      </w:r>
    </w:p>
    <w:bookmarkEnd w:id="37"/>
    <w:bookmarkEnd w:id="38"/>
    <w:bookmarkStart w:id="39" w:name="summary-of-pcf-calculation"/>
    <w:p>
      <w:pPr>
        <w:pStyle w:val="Heading3"/>
      </w:pPr>
      <w:r>
        <w:t xml:space="preserve">4.4. Summary of PCF Calculation</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0.000</w:t>
            </w:r>
          </w:p>
        </w:tc>
      </w:tr>
      <w:tr>
        <w:tc>
          <w:tcPr/>
          <w:p>
            <w:pPr>
              <w:pStyle w:val="Compact"/>
              <w:jc w:val="left"/>
            </w:pPr>
            <w:r>
              <w:t xml:space="preserve">Scope 2: Purchased Electricity (Production)</w:t>
            </w:r>
          </w:p>
        </w:tc>
        <w:tc>
          <w:tcPr/>
          <w:p>
            <w:pPr>
              <w:pStyle w:val="Compact"/>
              <w:jc w:val="left"/>
            </w:pPr>
            <w:r>
              <w:t xml:space="preserve">0.696</w:t>
            </w:r>
          </w:p>
        </w:tc>
      </w:tr>
      <w:tr>
        <w:tc>
          <w:tcPr/>
          <w:p>
            <w:pPr>
              <w:pStyle w:val="Compact"/>
              <w:jc w:val="left"/>
            </w:pPr>
            <w:r>
              <w:t xml:space="preserve">Scope 3: Upstream Materials</w:t>
            </w:r>
          </w:p>
        </w:tc>
        <w:tc>
          <w:tcPr/>
          <w:p>
            <w:pPr>
              <w:pStyle w:val="Compact"/>
              <w:jc w:val="left"/>
            </w:pPr>
            <w:r>
              <w:t xml:space="preserve">8.800</w:t>
            </w:r>
          </w:p>
        </w:tc>
      </w:tr>
      <w:tr>
        <w:tc>
          <w:tcPr/>
          <w:p>
            <w:pPr>
              <w:pStyle w:val="Compact"/>
              <w:jc w:val="left"/>
            </w:pPr>
            <w:r>
              <w:t xml:space="preserve">Scope 3: Transportation (Upstream &amp; Downstream)</w:t>
            </w:r>
          </w:p>
        </w:tc>
        <w:tc>
          <w:tcPr/>
          <w:p>
            <w:pPr>
              <w:pStyle w:val="Compact"/>
              <w:jc w:val="left"/>
            </w:pPr>
            <w:r>
              <w:t xml:space="preserve">0.073</w:t>
            </w:r>
          </w:p>
        </w:tc>
      </w:tr>
      <w:tr>
        <w:tc>
          <w:tcPr/>
          <w:p>
            <w:pPr>
              <w:pStyle w:val="Compact"/>
              <w:jc w:val="left"/>
            </w:pPr>
            <w:r>
              <w:t xml:space="preserve">Scope 3: Use Phase</w:t>
            </w:r>
          </w:p>
        </w:tc>
        <w:tc>
          <w:tcPr/>
          <w:p>
            <w:pPr>
              <w:pStyle w:val="Compact"/>
              <w:jc w:val="left"/>
            </w:pPr>
            <w:r>
              <w:t xml:space="preserve">11.900</w:t>
            </w:r>
          </w:p>
        </w:tc>
      </w:tr>
      <w:tr>
        <w:tc>
          <w:tcPr/>
          <w:p>
            <w:pPr>
              <w:pStyle w:val="Compact"/>
              <w:jc w:val="left"/>
            </w:pPr>
            <w:r>
              <w:t xml:space="preserve">Scope 3: End-of-Life (Net Credit)</w:t>
            </w:r>
          </w:p>
        </w:tc>
        <w:tc>
          <w:tcPr/>
          <w:p>
            <w:pPr>
              <w:pStyle w:val="Compact"/>
              <w:jc w:val="left"/>
            </w:pPr>
            <w:r>
              <w:t xml:space="preserve">-4.872</w:t>
            </w:r>
          </w:p>
        </w:tc>
      </w:tr>
      <w:tr>
        <w:tc>
          <w:tcPr/>
          <w:p>
            <w:pPr>
              <w:pStyle w:val="Compact"/>
              <w:jc w:val="right"/>
            </w:pPr>
            <w:r>
              <w:rPr>
                <w:bCs/>
                <w:b/>
              </w:rPr>
              <w:t xml:space="preserve">Total Product Carbon Footprint (PCF):</w:t>
            </w:r>
          </w:p>
        </w:tc>
        <w:tc>
          <w:tcPr/>
          <w:p>
            <w:pPr>
              <w:pStyle w:val="Compact"/>
              <w:jc w:val="left"/>
            </w:pPr>
            <w:r>
              <w:rPr>
                <w:bCs/>
                <w:b/>
              </w:rPr>
              <w:t xml:space="preserve">16.597</w:t>
            </w:r>
          </w:p>
        </w:tc>
      </w:tr>
    </w:tbl>
    <w:p>
      <w:pPr>
        <w:pStyle w:val="BodyText"/>
      </w:pPr>
      <w:r>
        <w:t xml:space="preserve">Rounding to two decimal places, the Total Product Carbon Footprint for one unit of</w:t>
      </w:r>
      <w:r>
        <w:t xml:space="preserve"> </w:t>
      </w:r>
      <w:r>
        <w:rPr>
          <w:bCs/>
          <w:b/>
        </w:rPr>
        <w:t xml:space="preserve">tvisjpdqrq</w:t>
      </w:r>
      <w:r>
        <w:t xml:space="preserve"> </w:t>
      </w:r>
      <w:r>
        <w:t xml:space="preserve">is</w:t>
      </w:r>
      <w:r>
        <w:t xml:space="preserve"> </w:t>
      </w:r>
      <w:r>
        <w:rPr>
          <w:bCs/>
          <w:b/>
        </w:rPr>
        <w:t xml:space="preserve">16.60 kg CO2e</w:t>
      </w:r>
      <w:r>
        <w:t xml:space="preserve">.</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Based on the calculations, the primary emission hotspots for</w:t>
      </w:r>
      <w:r>
        <w:t xml:space="preserve"> </w:t>
      </w:r>
      <w:r>
        <w:rPr>
          <w:bCs/>
          <w:b/>
        </w:rPr>
        <w:t xml:space="preserve">tvisjpdqrq</w:t>
      </w:r>
      <w:r>
        <w:t xml:space="preserve"> </w:t>
      </w:r>
      <w:r>
        <w:t xml:space="preserve">are:</w:t>
      </w:r>
    </w:p>
    <w:p>
      <w:pPr>
        <w:numPr>
          <w:ilvl w:val="0"/>
          <w:numId w:val="1018"/>
        </w:numPr>
        <w:pStyle w:val="Compact"/>
      </w:pPr>
      <w:r>
        <w:rPr>
          <w:bCs/>
          <w:b/>
        </w:rPr>
        <w:t xml:space="preserve">Use Phase (71.7%):</w:t>
      </w:r>
      <w:r>
        <w:t xml:space="preserve"> </w:t>
      </w:r>
      <w:r>
        <w:t xml:space="preserve">The energy consumption during the product\'s 5-year lifespan contributes the most significant portion of the total PCF, primarily due to grid electricity usage.</w:t>
      </w:r>
    </w:p>
    <w:p>
      <w:pPr>
        <w:numPr>
          <w:ilvl w:val="0"/>
          <w:numId w:val="1018"/>
        </w:numPr>
        <w:pStyle w:val="Compact"/>
      </w:pPr>
      <w:r>
        <w:rPr>
          <w:bCs/>
          <w:b/>
        </w:rPr>
        <w:t xml:space="preserve">Upstream Materials (53.0%):</w:t>
      </w:r>
      <w:r>
        <w:t xml:space="preserve"> </w:t>
      </w:r>
      <w:r>
        <w:t xml:space="preserve">The production of raw materials, particularly aluminum, accounts for a substantial share of emissions.</w:t>
      </w:r>
    </w:p>
    <w:p>
      <w:pPr>
        <w:numPr>
          <w:ilvl w:val="0"/>
          <w:numId w:val="1018"/>
        </w:numPr>
        <w:pStyle w:val="Compact"/>
      </w:pPr>
      <w:r>
        <w:rPr>
          <w:bCs/>
          <w:b/>
        </w:rPr>
        <w:t xml:space="preserve">End-of-Life (Net Credit):</w:t>
      </w:r>
      <w:r>
        <w:t xml:space="preserve"> </w:t>
      </w:r>
      <w:r>
        <w:t xml:space="preserve">Recycling efforts provide a significant negative emission (credit), demonstrating the positive impact of circular economy principles. Without these credits, the overall footprint would be considerably higher.</w:t>
      </w:r>
    </w:p>
    <w:bookmarkEnd w:id="41"/>
    <w:bookmarkStart w:id="42"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the Bill of Materials and customized energy usage. However, some limitations and assumptions should be noted:</w:t>
      </w:r>
    </w:p>
    <w:p>
      <w:pPr>
        <w:numPr>
          <w:ilvl w:val="0"/>
          <w:numId w:val="1019"/>
        </w:numPr>
        <w:pStyle w:val="Compact"/>
      </w:pPr>
      <w:r>
        <w:rPr>
          <w:bCs/>
          <w:b/>
        </w:rPr>
        <w:t xml:space="preserve">Emission Factors:</w:t>
      </w:r>
      <w:r>
        <w:t xml:space="preserve"> </w:t>
      </w:r>
      <w:r>
        <w:t xml:space="preserve">While industry-standard emission factors (e.g., from MEE, Gold Standard, EPA WARM, Climate Transparency) have been used, their applicability can vary by specific geographic location and year. Localized, up-to-date emission factors would further enhance accuracy.</w:t>
      </w:r>
    </w:p>
    <w:p>
      <w:pPr>
        <w:numPr>
          <w:ilvl w:val="0"/>
          <w:numId w:val="1019"/>
        </w:numPr>
        <w:pStyle w:val="Compact"/>
      </w:pPr>
      <w:r>
        <w:rPr>
          <w:bCs/>
          <w:b/>
        </w:rPr>
        <w:t xml:space="preserve">Transport Mode &amp; Distance:</w:t>
      </w:r>
      <w:r>
        <w:t xml:space="preserve"> </w:t>
      </w:r>
      <w:r>
        <w:t xml:space="preserve">Assumptions were made for \'Select Mode\' (Road Freight, Heavy Goods Vehicle) and \'Delivery Type\' (Light Commercial Vehicle), and a specific distance was assumed for last-mile delivery, which may not reflect all scenarios.</w:t>
      </w:r>
    </w:p>
    <w:p>
      <w:pPr>
        <w:numPr>
          <w:ilvl w:val="0"/>
          <w:numId w:val="1019"/>
        </w:numPr>
        <w:pStyle w:val="Compact"/>
      </w:pPr>
      <w:r>
        <w:rPr>
          <w:bCs/>
          <w:b/>
        </w:rPr>
        <w:t xml:space="preserve">End-of-Life Scenario:</w:t>
      </w:r>
      <w:r>
        <w:t xml:space="preserve"> </w:t>
      </w:r>
      <w:r>
        <w:t xml:space="preserve">The recycling credit relies on assumed material-specific recycling benefits. Actual avoided emissions can vary depending on the efficiency of recycling processes and the specific downstream applications of recycled materials. Emissions from the disposal of non-recyclable materials were simplified.</w:t>
      </w:r>
    </w:p>
    <w:p>
      <w:pPr>
        <w:numPr>
          <w:ilvl w:val="0"/>
          <w:numId w:val="1019"/>
        </w:numPr>
        <w:pStyle w:val="Compact"/>
      </w:pPr>
      <w:r>
        <w:rPr>
          <w:bCs/>
          <w:b/>
        </w:rPr>
        <w:t xml:space="preserve">Scope 1:</w:t>
      </w:r>
      <w:r>
        <w:t xml:space="preserve"> </w:t>
      </w:r>
      <w:r>
        <w:t xml:space="preserve">Direct operational emissions at the factory were assumed negligible in this specific product-level assessment; a facility-level assessment might reveal additional Scope 1 sources.</w:t>
      </w:r>
    </w:p>
    <w:bookmarkEnd w:id="42"/>
    <w:bookmarkStart w:id="43" w:name="key-insights-and-recommendations"/>
    <w:p>
      <w:pPr>
        <w:pStyle w:val="Heading3"/>
      </w:pPr>
      <w:r>
        <w:t xml:space="preserve">5.3. Key Insights and Recommendations</w:t>
      </w:r>
    </w:p>
    <w:p>
      <w:pPr>
        <w:pStyle w:val="FirstParagraph"/>
      </w:pPr>
      <w:r>
        <w:t xml:space="preserve">To further reduce the carbon footprint of</w:t>
      </w:r>
      <w:r>
        <w:t xml:space="preserve"> </w:t>
      </w:r>
      <w:r>
        <w:rPr>
          <w:bCs/>
          <w:b/>
        </w:rPr>
        <w:t xml:space="preserve">tvisjpdqrq</w:t>
      </w:r>
      <w:r>
        <w:t xml:space="preserve">, the following recommendations are provided for</w:t>
      </w:r>
      <w:r>
        <w:t xml:space="preserve"> </w:t>
      </w:r>
      <w:r>
        <w:rPr>
          <w:bCs/>
          <w:b/>
        </w:rPr>
        <w:t xml:space="preserve">tpnylsvmkd</w:t>
      </w:r>
      <w:r>
        <w:t xml:space="preserve">:</w:t>
      </w:r>
    </w:p>
    <w:p>
      <w:pPr>
        <w:numPr>
          <w:ilvl w:val="0"/>
          <w:numId w:val="1020"/>
        </w:numPr>
        <w:pStyle w:val="Compact"/>
      </w:pPr>
      <w:r>
        <w:rPr>
          <w:bCs/>
          <w:b/>
        </w:rPr>
        <w:t xml:space="preserve">Energy Efficiency in Use:</w:t>
      </w:r>
      <w:r>
        <w:t xml:space="preserve"> </w:t>
      </w:r>
      <w:r>
        <w:t xml:space="preserve">Focus on designing for even greater energy efficiency during the product\'s use phase to reduce the most significant hotspot. Explore lower-carbon electricity sources for end-users, potentially through product-as-a-service models or encouraging green energy subscriptions.</w:t>
      </w:r>
    </w:p>
    <w:p>
      <w:pPr>
        <w:numPr>
          <w:ilvl w:val="0"/>
          <w:numId w:val="1020"/>
        </w:numPr>
        <w:pStyle w:val="Compact"/>
      </w:pPr>
      <w:r>
        <w:rPr>
          <w:bCs/>
          <w:b/>
        </w:rPr>
        <w:t xml:space="preserve">Sustainable Material Sourcing:</w:t>
      </w:r>
      <w:r>
        <w:t xml:space="preserve"> </w:t>
      </w:r>
      <w:r>
        <w:t xml:space="preserve">Investigate opportunities to incorporate more recycled content into materials like aluminum and plastics, or switch to lower-impact virgin materials where feasible. Engage with suppliers to promote low-carbon manufacturing processes.</w:t>
      </w:r>
    </w:p>
    <w:p>
      <w:pPr>
        <w:numPr>
          <w:ilvl w:val="0"/>
          <w:numId w:val="1020"/>
        </w:numPr>
        <w:pStyle w:val="Compact"/>
      </w:pPr>
      <w:r>
        <w:rPr>
          <w:bCs/>
          <w:b/>
        </w:rPr>
        <w:t xml:space="preserve">Optimize Logistics:</w:t>
      </w:r>
      <w:r>
        <w:t xml:space="preserve"> </w:t>
      </w:r>
      <w:r>
        <w:t xml:space="preserve">Explore multimodal transport options, optimize routing, and increase load factors for both upstream and downstream transportation to reduce associated emissions.</w:t>
      </w:r>
    </w:p>
    <w:p>
      <w:pPr>
        <w:numPr>
          <w:ilvl w:val="0"/>
          <w:numId w:val="1020"/>
        </w:numPr>
        <w:pStyle w:val="Compact"/>
      </w:pPr>
      <w:r>
        <w:rPr>
          <w:bCs/>
          <w:b/>
        </w:rPr>
        <w:t xml:space="preserve">Enhance Circularity:</w:t>
      </w:r>
      <w:r>
        <w:t xml:space="preserve"> </w:t>
      </w:r>
      <w:r>
        <w:t xml:space="preserve">Continue to strengthen the product take-back program and explore design-for-disassembly to maximize recyclability and material recovery, potentially increasing the end-of-life credit.</w:t>
      </w:r>
    </w:p>
    <w:p>
      <w:r>
        <w:pict>
          <v:rect style="width:0;height:1.5pt" o:hralign="center" o:hrstd="t" o:hr="t"/>
        </w:pict>
      </w:r>
    </w:p>
    <w:bookmarkEnd w:id="43"/>
    <w:bookmarkEnd w:id="44"/>
    <w:p>
      <w:pPr>
        <w:pStyle w:val="FirstParagraph"/>
      </w:pPr>
      <w:r>
        <w:t xml:space="preserve">Confidential - Internal Use Only</w:t>
      </w:r>
    </w:p>
    <w:p>
      <w:pPr>
        <w:pStyle w:val="BodyText"/>
      </w:pPr>
      <w:r>
        <w:t xml:space="preserve">© 2026 tpnylsvmkd.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tvisjpdqrq - tpnylsvmkd</dc:title>
  <dc:creator/>
  <dc:description>A high-detail Product Carbon Footprint (PCF) analysis for product tvisjpdqrq by tpnylsvmkd, performed by Senior Sustainability Consultant pynleemxte, adhering to GHG Protocol and 2026 LSR Update.</dc:description>
  <dc:language>en</dc:language>
  <cp:keywords/>
  <dcterms:created xsi:type="dcterms:W3CDTF">2026-05-30T17:49:23Z</dcterms:created>
  <dcterms:modified xsi:type="dcterms:W3CDTF">2026-05-30T17:49:23Z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