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tnsynylewv</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tnsynylewv"/>
    <w:p>
      <w:pPr>
        <w:pStyle w:val="Heading2"/>
      </w:pPr>
      <w:r>
        <w:t xml:space="preserve">For Product: tnsynylewv</w:t>
      </w:r>
    </w:p>
    <w:p>
      <w:pPr>
        <w:pStyle w:val="FirstParagraph"/>
      </w:pPr>
      <w:r>
        <w:rPr>
          <w:bCs/>
          <w:b/>
        </w:rPr>
        <w:t xml:space="preserve">Company Name:</w:t>
      </w:r>
      <w:r>
        <w:t xml:space="preserve"> </w:t>
      </w:r>
      <w:r>
        <w:t xml:space="preserve">ddvdtrwjjp</w:t>
      </w:r>
    </w:p>
    <w:p>
      <w:pPr>
        <w:pStyle w:val="BodyText"/>
      </w:pPr>
      <w:r>
        <w:rPr>
          <w:bCs/>
          <w:b/>
        </w:rPr>
        <w:t xml:space="preserve">Senior Sustainability Consultant:</w:t>
      </w:r>
      <w:r>
        <w:t xml:space="preserve"> </w:t>
      </w:r>
      <w:r>
        <w:t xml:space="preserve">wtwnnhypen</w:t>
      </w:r>
    </w:p>
    <w:p>
      <w:pPr>
        <w:pStyle w:val="BodyText"/>
      </w:pPr>
      <w:r>
        <w:rPr>
          <w:bCs/>
          <w:b/>
        </w:rPr>
        <w:t xml:space="preserve">Protocol Data (Accounting Standard):</w:t>
      </w:r>
      <w:r>
        <w:t xml:space="preserve"> </w:t>
      </w:r>
      <w:r>
        <w:t xml:space="preserve">GHG Protocol</w:t>
      </w:r>
    </w:p>
    <w:p>
      <w:pPr>
        <w:pStyle w:val="BodyText"/>
      </w:pPr>
      <w:r>
        <w:rPr>
          <w:iCs/>
          <w:i/>
        </w:rPr>
        <w:t xml:space="preserve">This report is generated based on available data and industry standards. Numerical values for generic parameters are illustrative to demonstrate methodology where specific input data was not provided.</w:t>
      </w:r>
    </w:p>
    <w:bookmarkEnd w:id="20"/>
    <w:bookmarkEnd w:id="21"/>
    <w:p>
      <w:r>
        <w:pict>
          <v:rect style="width:0;height:1.5pt" o:hralign="center" o:hrstd="t" o:hr="t"/>
        </w:pict>
      </w:r>
    </w:p>
    <w:bookmarkStart w:id="22" w:name="Xa4034a3e71191f594513c795852fc5e2a9f57a2"/>
    <w:p>
      <w:pPr>
        <w:pStyle w:val="Heading1"/>
      </w:pPr>
      <w:r>
        <w:t xml:space="preserve">Product Carbon Footprint Analysis for tnsynylewv</w:t>
      </w:r>
    </w:p>
    <w:p>
      <w:pPr>
        <w:pStyle w:val="FirstParagraph"/>
      </w:pPr>
      <w:r>
        <w:t xml:space="preserve">Generated Date: May 25,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tnsynylewv, manufactured by ddvdtrwjjp. The analysis was conducted by Senior Sustainability Consultant wtwnnhypen, adhering strictly to the GHG Protocol. The objective is to quantify the greenhouse gas emissions associated with the entire lifecycle of tnsynylewv, from raw material extraction to end-of-life, identify emission hotspots, and provide actionable insights for sustainability improvements. This assessment incorporates the latest 2026 Land Sector and Removals (LSR) Standard and aims for at least 95% Scope 3 emissions coverage. Illustrative data has been used for generic parameters where specific numerical inputs were not provided, as explicitly noted throughout the report.</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scoping phase establishes the framework for the PCF analysis of tnsynylewv, ensuring consistency and comparability of results.</w:t>
      </w:r>
    </w:p>
    <w:p>
      <w:pPr>
        <w:numPr>
          <w:ilvl w:val="0"/>
          <w:numId w:val="1001"/>
        </w:numPr>
        <w:pStyle w:val="Compact"/>
      </w:pPr>
      <w:r>
        <w:rPr>
          <w:bCs/>
          <w:b/>
        </w:rPr>
        <w:t xml:space="preserve">Functional Unit:</w:t>
      </w:r>
      <w:r>
        <w:t xml:space="preserve"> </w:t>
      </w:r>
      <w:r>
        <w:t xml:space="preserve">The functional unit for this study is defined as 1.0 unit of tnsynylewv.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analysis employs a "cradle-to-gate with end-of-life" system boundary, encompassing all activities from raw material extraction and processing up to the point of the product leaving the factory gate (factory_gate), and extending to include the product\'s use phase and end-of-life treatment.</w:t>
      </w:r>
    </w:p>
    <w:p>
      <w:pPr>
        <w:numPr>
          <w:ilvl w:val="0"/>
          <w:numId w:val="1001"/>
        </w:numPr>
        <w:pStyle w:val="Compact"/>
      </w:pPr>
      <w:r>
        <w:rPr>
          <w:bCs/>
          <w:b/>
        </w:rPr>
        <w:t xml:space="preserve">Geographic Scope:</w:t>
      </w:r>
      <w:r>
        <w:t xml:space="preserve"> </w:t>
      </w:r>
      <w:r>
        <w:t xml:space="preserve">The final production country is China, with a specific focus on the supply chain within Europe. This geographic focus informs the selection of regional emission factors for various processes and transportation.</w:t>
      </w:r>
    </w:p>
    <w:p>
      <w:pPr>
        <w:numPr>
          <w:ilvl w:val="0"/>
          <w:numId w:val="1001"/>
        </w:numPr>
        <w:pStyle w:val="Compact"/>
      </w:pPr>
      <w:r>
        <w:rPr>
          <w:bCs/>
          <w:b/>
        </w:rPr>
        <w:t xml:space="preserve">Accounting Standard:</w:t>
      </w:r>
      <w:r>
        <w:t xml:space="preserve"> </w:t>
      </w:r>
      <w:r>
        <w:t xml:space="preserve">The Product Carbon Footprint is calculated in accordance with the Greenhouse Gas (GHG) Protocol 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 processes occur, emissions are allocated primarily based on physical mass allocation, assuming this is the most representative basis given the product\'s nature.</w:t>
      </w:r>
    </w:p>
    <w:p>
      <w:r>
        <w:pict>
          <v:rect style="width:0;height:1.5pt" o:hralign="center" o:hrstd="t" o:hr="t"/>
        </w:pict>
      </w:r>
    </w:p>
    <w:bookmarkEnd w:id="24"/>
    <w:bookmarkStart w:id="25" w:name="map-lifecycle-lci-inventory-stages"/>
    <w:p>
      <w:pPr>
        <w:pStyle w:val="Heading2"/>
      </w:pPr>
      <w:r>
        <w:t xml:space="preserve">2. Map Lifecycle (LCI Inventory Stages)</w:t>
      </w:r>
    </w:p>
    <w:p>
      <w:pPr>
        <w:pStyle w:val="FirstParagraph"/>
      </w:pPr>
      <w:r>
        <w:t xml:space="preserve">The lifecycle of tnsynylewv has been mapped into distinct stages to systematically inventory all relevant inputs and outputs. This stage forms the basis for data collection.</w:t>
      </w:r>
    </w:p>
    <w:p>
      <w:pPr>
        <w:numPr>
          <w:ilvl w:val="0"/>
          <w:numId w:val="1002"/>
        </w:numPr>
        <w:pStyle w:val="Compact"/>
      </w:pPr>
      <w:r>
        <w:rPr>
          <w:bCs/>
          <w:b/>
        </w:rPr>
        <w:t xml:space="preserve">Raw Material Extraction &amp; Processing:</w:t>
      </w:r>
      <w:r>
        <w:t xml:space="preserve"> </w:t>
      </w:r>
      <w:r>
        <w:t xml:space="preserve">This stage includes all activities related to the extraction, refining, and initial processing of raw materials used in tnsynylewv. This covers the emissions embodied in the materials themselves.</w:t>
      </w:r>
    </w:p>
    <w:p>
      <w:pPr>
        <w:numPr>
          <w:ilvl w:val="0"/>
          <w:numId w:val="1002"/>
        </w:numPr>
        <w:pStyle w:val="Compact"/>
      </w:pPr>
      <w:r>
        <w:rPr>
          <w:bCs/>
          <w:b/>
        </w:rPr>
        <w:t xml:space="preserve">Manufacturing:</w:t>
      </w:r>
      <w:r>
        <w:t xml:space="preserve"> </w:t>
      </w:r>
      <w:r>
        <w:t xml:space="preserve">This encompasses all processes at the ddvdtrwjjp production facility, including assembly, fabrication, and packaging. Emissions from energy consumption (electricity, heat) and direct industrial processes are considered here.</w:t>
      </w:r>
    </w:p>
    <w:p>
      <w:pPr>
        <w:numPr>
          <w:ilvl w:val="0"/>
          <w:numId w:val="1002"/>
        </w:numPr>
        <w:pStyle w:val="Compact"/>
      </w:pPr>
      <w:r>
        <w:rPr>
          <w:bCs/>
          <w:b/>
        </w:rPr>
        <w:t xml:space="preserve">Transport (Inbound Logistics):</w:t>
      </w:r>
      <w:r>
        <w:t xml:space="preserve"> </w:t>
      </w:r>
      <w:r>
        <w:t xml:space="preserve">This stage covers the transportation of all raw materials, components, and semi-finished goods from suppliers to the ddvdtrwjjp manufacturing plant in China.</w:t>
      </w:r>
    </w:p>
    <w:p>
      <w:pPr>
        <w:numPr>
          <w:ilvl w:val="0"/>
          <w:numId w:val="1002"/>
        </w:numPr>
        <w:pStyle w:val="Compact"/>
      </w:pPr>
      <w:r>
        <w:rPr>
          <w:bCs/>
          <w:b/>
        </w:rPr>
        <w:t xml:space="preserve">Transport (Outbound Logistics):</w:t>
      </w:r>
      <w:r>
        <w:t xml:space="preserve"> </w:t>
      </w:r>
      <w:r>
        <w:t xml:space="preserve">This includes the transportation of the finished tnsynylewv from the factory gate to distribution centers or directly to customers, with a focus on a Europe-focused supply chain and last-mile delivery.</w:t>
      </w:r>
    </w:p>
    <w:p>
      <w:pPr>
        <w:numPr>
          <w:ilvl w:val="0"/>
          <w:numId w:val="1002"/>
        </w:numPr>
        <w:pStyle w:val="Compact"/>
      </w:pPr>
      <w:r>
        <w:rPr>
          <w:bCs/>
          <w:b/>
        </w:rPr>
        <w:t xml:space="preserve">Use Phase:</w:t>
      </w:r>
      <w:r>
        <w:t xml:space="preserve"> </w:t>
      </w:r>
      <w:r>
        <w:t xml:space="preserve">This phase accounts for emissions generated during the typical operational life of tnsynylewv by the end-user, including energy consumption and any associated maintenance.</w:t>
      </w:r>
    </w:p>
    <w:p>
      <w:pPr>
        <w:numPr>
          <w:ilvl w:val="0"/>
          <w:numId w:val="1002"/>
        </w:numPr>
        <w:pStyle w:val="Compact"/>
      </w:pPr>
      <w:r>
        <w:rPr>
          <w:bCs/>
          <w:b/>
        </w:rPr>
        <w:t xml:space="preserve">End-of-Life (EoL):</w:t>
      </w:r>
      <w:r>
        <w:t xml:space="preserve"> </w:t>
      </w:r>
      <w:r>
        <w:t xml:space="preserve">The final stage addresses the emissions and potential avoided emissions associated with the disposal, recycling, or recovery of tnsynylewv components at the end of its useful life.</w:t>
      </w:r>
    </w:p>
    <w:p>
      <w:r>
        <w:pict>
          <v:rect style="width:0;height:1.5pt" o:hralign="center" o:hrstd="t" o:hr="t"/>
        </w:pict>
      </w:r>
    </w:p>
    <w:bookmarkEnd w:id="25"/>
    <w:bookmarkStart w:id="31" w:name="Xb57f50a89bf1f3f1837369be949d9d60d6c1272"/>
    <w:p>
      <w:pPr>
        <w:pStyle w:val="Heading2"/>
      </w:pPr>
      <w:r>
        <w:t xml:space="preserve">3. Collect Data (Primary/Secondary Data Points)</w:t>
      </w:r>
    </w:p>
    <w:p>
      <w:pPr>
        <w:pStyle w:val="FirstParagraph"/>
      </w:pPr>
      <w:r>
        <w:t xml:space="preserve">Data collection involved gathering specific primary data provided for ddvdtrwjjp\'s operations and utilizing secondary, industry-standard emission factors where primary data was unavailable or to supplement the analysis. It is important to note that specific numerical values for parameters provided as generic strings (e.g., dvglgpdr, mslldyjkhg) have been replaced with illustrative examples to demonstrate the calculation methodology. In a real-world scenario, precise numerical data would be required for accurate results.</w:t>
      </w:r>
    </w:p>
    <w:bookmarkStart w:id="26" w:name="X26a9db076e4b441caf2580a7a1baca517445ab3"/>
    <w:p>
      <w:pPr>
        <w:pStyle w:val="Heading3"/>
      </w:pPr>
      <w:r>
        <w:t xml:space="preserve">3.1. Detailed Bill of Materials (BOM) for dvglgpdr (Illustrative Data)</w:t>
      </w:r>
    </w:p>
    <w:p>
      <w:pPr>
        <w:pStyle w:val="FirstParagraph"/>
      </w:pPr>
      <w:r>
        <w:t xml:space="preserve">The following illustrative Bill of Materials (BOM) data, following the format ID, Description, Category, Process, Qty, Unit, Emission Factor (kg CO2e/unit), Total Carbon (kg CO2e), has been used for the high-accuracy material impact calculation for the placeholder \'dvglgpdr\'. These values represent the embodied emissions of the raw materials and their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Battery Pack</w:t>
            </w:r>
          </w:p>
        </w:tc>
        <w:tc>
          <w:tcPr/>
          <w:p>
            <w:pPr>
              <w:pStyle w:val="Compact"/>
              <w:jc w:val="left"/>
            </w:pPr>
            <w:r>
              <w:t xml:space="preserve">Electro-chemical</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w:t>
            </w:r>
          </w:p>
        </w:tc>
      </w:tr>
      <w:tr>
        <w:tc>
          <w:tcPr/>
          <w:p>
            <w:pPr>
              <w:pStyle w:val="Compact"/>
              <w:jc w:val="left"/>
            </w:pPr>
            <w:r>
              <w:t xml:space="preserve">6</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bookmarkEnd w:id="26"/>
    <w:bookmarkStart w:id="27" w:name="logistics-data-illustrative-data"/>
    <w:p>
      <w:pPr>
        <w:pStyle w:val="Heading3"/>
      </w:pPr>
      <w:r>
        <w:t xml:space="preserve">3.2. Logistics Data (Illustrative Data)</w:t>
      </w:r>
    </w:p>
    <w:p>
      <w:pPr>
        <w:pStyle w:val="FirstParagraph"/>
      </w:pPr>
      <w:r>
        <w:t xml:space="preserve">The following illustrative logistics data has been incorporated into the supply chain analysis to represent the generic inputs \'Select Mode\', \'mslldyjkhg\', and \'Delivery Type\'.</w:t>
      </w:r>
    </w:p>
    <w:p>
      <w:pPr>
        <w:numPr>
          <w:ilvl w:val="0"/>
          <w:numId w:val="1003"/>
        </w:numPr>
        <w:pStyle w:val="Compact"/>
      </w:pPr>
      <w:r>
        <w:rPr>
          <w:bCs/>
          <w:b/>
        </w:rPr>
        <w:t xml:space="preserve">Transport Mode (Inbound/Outbound Main):</w:t>
      </w:r>
      <w:r>
        <w:t xml:space="preserve"> </w:t>
      </w:r>
      <w:r>
        <w:t xml:space="preserve">Road Transport (Heavy Duty Truck)</w:t>
      </w:r>
    </w:p>
    <w:p>
      <w:pPr>
        <w:numPr>
          <w:ilvl w:val="0"/>
          <w:numId w:val="1003"/>
        </w:numPr>
        <w:pStyle w:val="Compact"/>
      </w:pPr>
      <w:r>
        <w:rPr>
          <w:bCs/>
          <w:b/>
        </w:rPr>
        <w:t xml:space="preserve">Transport Distance (Average):</w:t>
      </w:r>
      <w:r>
        <w:t xml:space="preserve"> </w:t>
      </w:r>
      <w:r>
        <w:t xml:space="preserve">1000 km</w:t>
      </w:r>
    </w:p>
    <w:p>
      <w:pPr>
        <w:numPr>
          <w:ilvl w:val="0"/>
          <w:numId w:val="1003"/>
        </w:numPr>
        <w:pStyle w:val="Compact"/>
      </w:pPr>
      <w:r>
        <w:rPr>
          <w:bCs/>
          <w:b/>
        </w:rPr>
        <w:t xml:space="preserve">Last-Mile Delivery Channel:</w:t>
      </w:r>
      <w:r>
        <w:t xml:space="preserve"> </w:t>
      </w:r>
      <w:r>
        <w:t xml:space="preserve">Parcel Courier</w:t>
      </w:r>
    </w:p>
    <w:bookmarkEnd w:id="27"/>
    <w:bookmarkStart w:id="28" w:name="X079a9c692410a61332eca5b5eec9c83759d3146"/>
    <w:p>
      <w:pPr>
        <w:pStyle w:val="Heading3"/>
      </w:pPr>
      <w:r>
        <w:t xml:space="preserve">3.3. Energy Customization Data (Illustrative Data)</w:t>
      </w:r>
    </w:p>
    <w:p>
      <w:pPr>
        <w:pStyle w:val="FirstParagraph"/>
      </w:pPr>
      <w:r>
        <w:t xml:space="preserve">Illustrative energy data, representing \'korzwxydkf\' and \'gxneemltyf\', has been used for the production phase footprint.</w:t>
      </w:r>
    </w:p>
    <w:p>
      <w:pPr>
        <w:numPr>
          <w:ilvl w:val="0"/>
          <w:numId w:val="1004"/>
        </w:numPr>
        <w:pStyle w:val="Compact"/>
      </w:pPr>
      <w:r>
        <w:rPr>
          <w:bCs/>
          <w:b/>
        </w:rPr>
        <w:t xml:space="preserve">Renewable Energy Usage (Production):</w:t>
      </w:r>
      <w:r>
        <w:t xml:space="preserve"> </w:t>
      </w:r>
      <w:r>
        <w:t xml:space="preserve">50%</w:t>
      </w:r>
    </w:p>
    <w:p>
      <w:pPr>
        <w:numPr>
          <w:ilvl w:val="0"/>
          <w:numId w:val="1004"/>
        </w:numPr>
        <w:pStyle w:val="Compact"/>
      </w:pPr>
      <w:r>
        <w:rPr>
          <w:bCs/>
          <w:b/>
        </w:rPr>
        <w:t xml:space="preserve">Energy Intensity (kWh/unit, Production):</w:t>
      </w:r>
      <w:r>
        <w:t xml:space="preserve"> </w:t>
      </w:r>
      <w:r>
        <w:t xml:space="preserve">15 kWh/unit</w:t>
      </w:r>
    </w:p>
    <w:bookmarkEnd w:id="28"/>
    <w:bookmarkStart w:id="29" w:name="use-phase-data-illustrative-data"/>
    <w:p>
      <w:pPr>
        <w:pStyle w:val="Heading3"/>
      </w:pPr>
      <w:r>
        <w:t xml:space="preserve">3.4. Use Phase Data (Illustrative Data)</w:t>
      </w:r>
    </w:p>
    <w:p>
      <w:pPr>
        <w:pStyle w:val="FirstParagraph"/>
      </w:pPr>
      <w:r>
        <w:t xml:space="preserve">The \'Use Phase\' calculation has been expanded using the following illustrative durability and consumption data for \'nyynkivjtv\' and \'vxtrfujsrk\'.</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 (Average):</w:t>
      </w:r>
      <w:r>
        <w:t xml:space="preserve"> </w:t>
      </w:r>
      <w:r>
        <w:t xml:space="preserve">10 kWh/year</w:t>
      </w:r>
    </w:p>
    <w:bookmarkEnd w:id="29"/>
    <w:bookmarkStart w:id="30" w:name="X39afe5e5fd3bf9976acf485940c02bc0fe36ec2"/>
    <w:p>
      <w:pPr>
        <w:pStyle w:val="Heading3"/>
      </w:pPr>
      <w:r>
        <w:t xml:space="preserve">3.5. End-of-Life (EoL) Scenarios (Illustrative Data)</w:t>
      </w:r>
    </w:p>
    <w:p>
      <w:pPr>
        <w:pStyle w:val="FirstParagraph"/>
      </w:pPr>
      <w:r>
        <w:t xml:space="preserve">Illustrative End-of-Life (EoL) scenarios for \'tjuiehmnsi\' and \'kyxeiktwxu\' are incorporated to reflect circular economy impacts.</w:t>
      </w:r>
    </w:p>
    <w:p>
      <w:pPr>
        <w:numPr>
          <w:ilvl w:val="0"/>
          <w:numId w:val="1006"/>
        </w:numPr>
        <w:pStyle w:val="Compact"/>
      </w:pPr>
      <w:r>
        <w:rPr>
          <w:bCs/>
          <w:b/>
        </w:rPr>
        <w:t xml:space="preserve">Recyclability Percentage:</w:t>
      </w:r>
      <w:r>
        <w:t xml:space="preserve"> </w:t>
      </w:r>
      <w:r>
        <w:t xml:space="preserve">70% (of total product mass)</w:t>
      </w:r>
    </w:p>
    <w:p>
      <w:pPr>
        <w:numPr>
          <w:ilvl w:val="0"/>
          <w:numId w:val="1006"/>
        </w:numPr>
        <w:pStyle w:val="Compact"/>
      </w:pPr>
      <w:r>
        <w:rPr>
          <w:bCs/>
          <w:b/>
        </w:rPr>
        <w:t xml:space="preserve">Circular/Take-back Programs:</w:t>
      </w:r>
      <w:r>
        <w:t xml:space="preserve"> </w:t>
      </w:r>
      <w:r>
        <w:t xml:space="preserve">Yes, an operational take-back program is in place for key components.</w:t>
      </w:r>
    </w:p>
    <w:p>
      <w:r>
        <w:pict>
          <v:rect style="width:0;height:1.5pt" o:hralign="center" o:hrstd="t" o:hr="t"/>
        </w:pict>
      </w:r>
    </w:p>
    <w:bookmarkEnd w:id="30"/>
    <w:bookmarkEnd w:id="31"/>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activity data by appropriate emission factors. Industry-standard emission factors from reputable databases such as Ecoinvent and DEFRA have been used, supplemented by specific factors provided in the BOM.</w:t>
      </w:r>
    </w:p>
    <w:bookmarkStart w:id="32" w:name="ghg-protocol-categorization-scope-1-2-3"/>
    <w:p>
      <w:pPr>
        <w:pStyle w:val="Heading3"/>
      </w:pPr>
      <w:r>
        <w:t xml:space="preserve">4.1. GHG Protocol Categorization (Scope 1, 2, 3)</w:t>
      </w:r>
    </w:p>
    <w:p>
      <w:pPr>
        <w:numPr>
          <w:ilvl w:val="0"/>
          <w:numId w:val="1007"/>
        </w:numPr>
        <w:pStyle w:val="Compact"/>
      </w:pPr>
      <w:r>
        <w:rPr>
          <w:bCs/>
          <w:b/>
        </w:rPr>
        <w:t xml:space="preserve">Scope 1 (Direct Emissions):</w:t>
      </w:r>
      <w:r>
        <w:t xml:space="preserve"> </w:t>
      </w:r>
      <w:r>
        <w:t xml:space="preserve">Includes direct emissions from sources owned or controlled by ddvdtrwjjp. For this PCF, assuming no direct fuel combustion in manufacturing, these are minimal or zero, focusing on any direct process emissions not linked to purchased energy.</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or heat consumed by ddvdtrwjjp\'s manufacturing operations. This is calculated based on grid electricity emission factors and adjusted for renewable energy usage.</w:t>
      </w:r>
    </w:p>
    <w:p>
      <w:pPr>
        <w:numPr>
          <w:ilvl w:val="0"/>
          <w:numId w:val="1007"/>
        </w:numPr>
        <w:pStyle w:val="Compact"/>
      </w:pPr>
      <w:r>
        <w:rPr>
          <w:bCs/>
          <w:b/>
        </w:rPr>
        <w:t xml:space="preserve">Scope 3 (Other Indirect Emissions):</w:t>
      </w:r>
      <w:r>
        <w:t xml:space="preserve"> </w:t>
      </w:r>
      <w:r>
        <w:t xml:space="preserve">Encompasses all other indirect emissions in the value chain, both upstream and downstream. This forms the largest portion of a product\'s footprint and includes raw material extraction, transport, use phase, and end-of-life.</w:t>
      </w:r>
    </w:p>
    <w:bookmarkEnd w:id="32"/>
    <w:bookmarkStart w:id="33" w:name="application-of-2026-lsr-update"/>
    <w:p>
      <w:pPr>
        <w:pStyle w:val="Heading3"/>
      </w:pPr>
      <w:r>
        <w:t xml:space="preserve">4.2. Application of 2026 LSR Update</w:t>
      </w:r>
    </w:p>
    <w:p>
      <w:pPr>
        <w:pStyle w:val="FirstParagraph"/>
      </w:pPr>
      <w:r>
        <w:t xml:space="preserve">In accordance with the 2026 Land Sector and Removals (LSR) Standard, any land-use change emissions or carbon removals directly attributable to the product\'s lifecycle (e.g., from bio-based materials with certified sustainable sourcing or direct removals through specific end-of-life processes) would be accounted for. While specific LSR data was not provided in the parameters, the framework for their inclusion is recognized and would be applied if relevant data becomes available, allowing for transparent reporting of removals alongside emissions.</w:t>
      </w:r>
    </w:p>
    <w:bookmarkEnd w:id="33"/>
    <w:bookmarkStart w:id="34" w:name="scope-3-compliance-95-coverage"/>
    <w:p>
      <w:pPr>
        <w:pStyle w:val="Heading3"/>
      </w:pPr>
      <w:r>
        <w:t xml:space="preserve">4.3. Scope 3 Compliance (95% Coverage)</w:t>
      </w:r>
    </w:p>
    <w:p>
      <w:pPr>
        <w:pStyle w:val="FirstParagraph"/>
      </w:pPr>
      <w:r>
        <w:t xml:space="preserve">This analysis is designed to ensure at least 95% coverage for Scope 3 reporting, as per the stringent 2026 requirements. This is achieved by comprehensively assessing all relevant upstream (materials, inbound transport, manufacturing services) and downstream (outbound transport, use phase, end-of-life) activities, leveraging the detailed BOM and operational data provided.</w:t>
      </w:r>
    </w:p>
    <w:bookmarkEnd w:id="34"/>
    <w:bookmarkStart w:id="40" w:name="X668b651ce5de9f5363425fab3f878986052820c"/>
    <w:p>
      <w:pPr>
        <w:pStyle w:val="Heading3"/>
      </w:pPr>
      <w:r>
        <w:t xml:space="preserve">4.4. Emissions Breakdown by Lifecycle Stage (Illustrative Calculation)</w:t>
      </w:r>
    </w:p>
    <w:p>
      <w:pPr>
        <w:pStyle w:val="FirstParagraph"/>
      </w:pPr>
      <w:r>
        <w:t xml:space="preserve">Below is an illustrative calculation of CO2e emissions for each lifecycle stage per functional unit (1.0 unit of tnsynylewv), using the provided and illustrative data points.</w:t>
      </w:r>
    </w:p>
    <w:bookmarkStart w:id="35" w:name="Xadeefd19fc2855dfb32d2d5f17c90eb7b86d452"/>
    <w:p>
      <w:pPr>
        <w:pStyle w:val="Heading4"/>
      </w:pPr>
      <w:r>
        <w:t xml:space="preserve">a) Raw Material Extraction &amp; Processing (Scope 3 - Upstream)</w:t>
      </w:r>
    </w:p>
    <w:p>
      <w:pPr>
        <w:pStyle w:val="FirstParagraph"/>
      </w:pPr>
      <w:r>
        <w:t xml:space="preserve">Based on the illustrative BOM (dvglgpdr), the total embodied carbon in materials is the sum of \'Total Carbon\' for each item.</w:t>
      </w:r>
    </w:p>
    <w:p>
      <w:pPr>
        <w:pStyle w:val="BodyText"/>
      </w:pPr>
      <w:r>
        <w:rPr>
          <w:bCs/>
          <w:b/>
        </w:rPr>
        <w:t xml:space="preserve">Calculation:</w:t>
      </w:r>
      <w:r>
        <w:t xml:space="preserve"> </w:t>
      </w:r>
      <w:r>
        <w:t xml:space="preserve">Sum of Total Carbon from BOM = 5.0 (Aluminum) + 0.7 (Plastic) + 2.0 (Circuit Board) + 0.25 (Copper) + 4.5 (Battery) + 0.12 (Packaging) = 12.57 kg CO2e.</w:t>
      </w:r>
    </w:p>
    <w:p>
      <w:pPr>
        <w:pStyle w:val="BodyText"/>
      </w:pPr>
      <w:r>
        <w:rPr>
          <w:bCs/>
          <w:b/>
        </w:rPr>
        <w:t xml:space="preserve">Total Material Emissions: 12.57 kg CO2e</w:t>
      </w:r>
    </w:p>
    <w:bookmarkEnd w:id="35"/>
    <w:bookmarkStart w:id="36" w:name="b-manufacturing-scope-1-2"/>
    <w:p>
      <w:pPr>
        <w:pStyle w:val="Heading4"/>
      </w:pPr>
      <w:r>
        <w:t xml:space="preserve">b) Manufacturing (Scope 1 &amp; 2)</w:t>
      </w:r>
    </w:p>
    <w:p>
      <w:pPr>
        <w:pStyle w:val="FirstParagraph"/>
      </w:pPr>
      <w:r>
        <w:t xml:space="preserve">This phase accounts for energy consumed during production in China. We use an illustrative energy intensity and renewable energy usage.</w:t>
      </w:r>
    </w:p>
    <w:p>
      <w:pPr>
        <w:numPr>
          <w:ilvl w:val="0"/>
          <w:numId w:val="1008"/>
        </w:numPr>
        <w:pStyle w:val="Compact"/>
      </w:pPr>
      <w:r>
        <w:t xml:space="preserve">Illustrative Energy Intensity: 15 kWh/unit</w:t>
      </w:r>
    </w:p>
    <w:p>
      <w:pPr>
        <w:numPr>
          <w:ilvl w:val="0"/>
          <w:numId w:val="1008"/>
        </w:numPr>
        <w:pStyle w:val="Compact"/>
      </w:pPr>
      <w:r>
        <w:t xml:space="preserve">Illustrative Renewable Energy Usage: 50%</w:t>
      </w:r>
    </w:p>
    <w:p>
      <w:pPr>
        <w:numPr>
          <w:ilvl w:val="0"/>
          <w:numId w:val="1008"/>
        </w:numPr>
        <w:pStyle w:val="Compact"/>
      </w:pPr>
      <w:r>
        <w:t xml:space="preserve">Illustrative China Grid Emission Factor (average): 0.65 kg CO2e/kWh (Source: IEA, Ecoinvent)</w:t>
      </w:r>
    </w:p>
    <w:p>
      <w:pPr>
        <w:pStyle w:val="FirstParagraph"/>
      </w:pPr>
      <w:r>
        <w:rPr>
          <w:bCs/>
          <w:b/>
        </w:rPr>
        <w:t xml:space="preserve">Calculation:</w:t>
      </w:r>
      <w:r>
        <w:br/>
      </w:r>
      <w:r>
        <w:t xml:space="preserve">Non-renewable energy consumption = 15 kWh/unit * (1 - 0.50) = 7.5 kWh/unit</w:t>
      </w:r>
      <w:r>
        <w:br/>
      </w:r>
      <w:r>
        <w:t xml:space="preserve">Emissions = 7.5 kWh/unit * 0.65 kg CO2e/kWh = 4.875 kg CO2e</w:t>
      </w:r>
      <w:r>
        <w:br/>
      </w:r>
    </w:p>
    <w:p>
      <w:pPr>
        <w:pStyle w:val="BodyText"/>
      </w:pPr>
      <w:r>
        <w:rPr>
          <w:bCs/>
          <w:b/>
        </w:rPr>
        <w:t xml:space="preserve">Total Manufacturing Emissions (Scope 2): 4.88 kg CO2e</w:t>
      </w:r>
    </w:p>
    <w:bookmarkEnd w:id="36"/>
    <w:bookmarkStart w:id="37" w:name="X5ec6c1c5b54daafd63ea9b658dc5909cf7753e4"/>
    <w:p>
      <w:pPr>
        <w:pStyle w:val="Heading4"/>
      </w:pPr>
      <w:r>
        <w:t xml:space="preserve">c) Transport (Inbound &amp; Outbound Logistics) (Scope 3 - Upstream &amp; Downstream)</w:t>
      </w:r>
    </w:p>
    <w:p>
      <w:pPr>
        <w:pStyle w:val="FirstParagraph"/>
      </w:pPr>
      <w:r>
        <w:t xml:space="preserve">Assumes an average transport distance and mode for both inbound and outbound logistics. Illustrative emission factor for heavy-duty truck.</w:t>
      </w:r>
    </w:p>
    <w:p>
      <w:pPr>
        <w:numPr>
          <w:ilvl w:val="0"/>
          <w:numId w:val="1009"/>
        </w:numPr>
        <w:pStyle w:val="Compact"/>
      </w:pPr>
      <w:r>
        <w:t xml:space="preserve">Illustrative Transport Mode: Road Transport (Heavy Duty Truck)</w:t>
      </w:r>
    </w:p>
    <w:p>
      <w:pPr>
        <w:numPr>
          <w:ilvl w:val="0"/>
          <w:numId w:val="1009"/>
        </w:numPr>
        <w:pStyle w:val="Compact"/>
      </w:pPr>
      <w:r>
        <w:t xml:space="preserve">Illustrative Transport Distance: 1000 km (for combined inbound/outbound average)</w:t>
      </w:r>
    </w:p>
    <w:p>
      <w:pPr>
        <w:numPr>
          <w:ilvl w:val="0"/>
          <w:numId w:val="1009"/>
        </w:numPr>
        <w:pStyle w:val="Compact"/>
      </w:pPr>
      <w:r>
        <w:t xml:space="preserve">Illustrative Emission Factor (Heavy Duty Truck): 0.09 kg CO2e/tkm (Source: DEFRA, Ecoinvent)</w:t>
      </w:r>
    </w:p>
    <w:p>
      <w:pPr>
        <w:numPr>
          <w:ilvl w:val="0"/>
          <w:numId w:val="1009"/>
        </w:numPr>
        <w:pStyle w:val="Compact"/>
      </w:pPr>
      <w:r>
        <w:t xml:space="preserve">Illustrative Product Mass (average, based on BOM): (0.5+0.2+0.1+0.05+0.3+0.1) = 1.25 kg = 0.00125 tonnes</w:t>
      </w:r>
    </w:p>
    <w:p>
      <w:pPr>
        <w:pStyle w:val="FirstParagraph"/>
      </w:pPr>
      <w:r>
        <w:rPr>
          <w:bCs/>
          <w:b/>
        </w:rPr>
        <w:t xml:space="preserve">Calculation:</w:t>
      </w:r>
      <w:r>
        <w:br/>
      </w:r>
      <w:r>
        <w:t xml:space="preserve">Emissions = Transport Distance (km) * Product Mass (tonnes) * Emission Factor (kg CO2e/tkm)</w:t>
      </w:r>
      <w:r>
        <w:br/>
      </w:r>
      <w:r>
        <w:t xml:space="preserve">Emissions = 1000 km * 0.00125 tonnes * 0.09 kg CO2e/tkm = 0.1125 kg CO2e (for primary transport route)</w:t>
      </w:r>
    </w:p>
    <w:p>
      <w:pPr>
        <w:pStyle w:val="BodyText"/>
      </w:pPr>
      <w:r>
        <w:t xml:space="preserve">For last-mile delivery via parcel courier, assuming an additional 100km and a slightly higher emission factor due to smaller vehicle size and less efficient loading.</w:t>
      </w:r>
    </w:p>
    <w:p>
      <w:pPr>
        <w:numPr>
          <w:ilvl w:val="0"/>
          <w:numId w:val="1010"/>
        </w:numPr>
        <w:pStyle w:val="Compact"/>
      </w:pPr>
      <w:r>
        <w:t xml:space="preserve">Illustrative Last-Mile Distance: 100 km</w:t>
      </w:r>
    </w:p>
    <w:p>
      <w:pPr>
        <w:numPr>
          <w:ilvl w:val="0"/>
          <w:numId w:val="1010"/>
        </w:numPr>
        <w:pStyle w:val="Compact"/>
      </w:pPr>
      <w:r>
        <w:t xml:space="preserve">Illustrative Last-Mile Emission Factor (Parcel Courier): 0.15 kg CO2e/tkm (Source: DEFRA, Ecoinvent)</w:t>
      </w:r>
    </w:p>
    <w:p>
      <w:pPr>
        <w:pStyle w:val="FirstParagraph"/>
      </w:pPr>
      <w:r>
        <w:rPr>
          <w:bCs/>
          <w:b/>
        </w:rPr>
        <w:t xml:space="preserve">Calculation (Last-Mile):</w:t>
      </w:r>
      <w:r>
        <w:br/>
      </w:r>
      <w:r>
        <w:t xml:space="preserve">Emissions = 100 km * 0.00125 tonnes * 0.15 kg CO2e/tkm = 0.01875 kg CO2e</w:t>
      </w:r>
    </w:p>
    <w:p>
      <w:pPr>
        <w:pStyle w:val="BodyText"/>
      </w:pPr>
      <w:r>
        <w:rPr>
          <w:bCs/>
          <w:b/>
        </w:rPr>
        <w:t xml:space="preserve">Total Transport Emissions: 0.11 + 0.02 = 0.13 kg CO2e</w:t>
      </w:r>
    </w:p>
    <w:bookmarkEnd w:id="37"/>
    <w:bookmarkStart w:id="38" w:name="d-use-phase-scope-3---downstream"/>
    <w:p>
      <w:pPr>
        <w:pStyle w:val="Heading4"/>
      </w:pPr>
      <w:r>
        <w:t xml:space="preserve">d) Use Phase (Scope 3 - Downstream)</w:t>
      </w:r>
    </w:p>
    <w:p>
      <w:pPr>
        <w:pStyle w:val="FirstParagraph"/>
      </w:pPr>
      <w:r>
        <w:t xml:space="preserve">Based on illustrative product lifespan and annual energy consumption.</w:t>
      </w:r>
    </w:p>
    <w:p>
      <w:pPr>
        <w:numPr>
          <w:ilvl w:val="0"/>
          <w:numId w:val="1011"/>
        </w:numPr>
        <w:pStyle w:val="Compact"/>
      </w:pPr>
      <w:r>
        <w:t xml:space="preserve">Illustrative Product Lifespan: 5 years</w:t>
      </w:r>
    </w:p>
    <w:p>
      <w:pPr>
        <w:numPr>
          <w:ilvl w:val="0"/>
          <w:numId w:val="1011"/>
        </w:numPr>
        <w:pStyle w:val="Compact"/>
      </w:pPr>
      <w:r>
        <w:t xml:space="preserve">Illustrative Energy Consumption in Use: 10 kWh/year</w:t>
      </w:r>
    </w:p>
    <w:p>
      <w:pPr>
        <w:numPr>
          <w:ilvl w:val="0"/>
          <w:numId w:val="1011"/>
        </w:numPr>
        <w:pStyle w:val="Compact"/>
      </w:pPr>
      <w:r>
        <w:t xml:space="preserve">Illustrative European Grid Emission Factor (average): 0.27 kg CO2e/kWh (Source: IEA, Ecoinvent)</w:t>
      </w:r>
    </w:p>
    <w:p>
      <w:pPr>
        <w:pStyle w:val="FirstParagraph"/>
      </w:pPr>
      <w:r>
        <w:rPr>
          <w:bCs/>
          <w:b/>
        </w:rPr>
        <w:t xml:space="preserve">Calculation:</w:t>
      </w:r>
      <w:r>
        <w:br/>
      </w:r>
      <w:r>
        <w:t xml:space="preserve">Total Use Phase Energy = 10 kWh/year * 5 years = 50 kWh</w:t>
      </w:r>
      <w:r>
        <w:br/>
      </w:r>
      <w:r>
        <w:t xml:space="preserve">Emissions = 50 kWh * 0.27 kg CO2e/kWh = 13.5 kg CO2e</w:t>
      </w:r>
    </w:p>
    <w:p>
      <w:pPr>
        <w:pStyle w:val="BodyText"/>
      </w:pPr>
      <w:r>
        <w:rPr>
          <w:bCs/>
          <w:b/>
        </w:rPr>
        <w:t xml:space="preserve">Total Use Phase Emissions: 13.50 kg CO2e</w:t>
      </w:r>
    </w:p>
    <w:bookmarkEnd w:id="38"/>
    <w:bookmarkStart w:id="39" w:name="e-end-of-life-eol-scope-3---downstream"/>
    <w:p>
      <w:pPr>
        <w:pStyle w:val="Heading4"/>
      </w:pPr>
      <w:r>
        <w:t xml:space="preserve">e) End-of-Life (EoL) (Scope 3 - Downstream)</w:t>
      </w:r>
    </w:p>
    <w:p>
      <w:pPr>
        <w:pStyle w:val="FirstParagraph"/>
      </w:pPr>
      <w:r>
        <w:t xml:space="preserve">Considers recycling percentage and any avoided emissions due to circular programs. Assumes incineration/landfill for non-recycled portion and credits for recycling.</w:t>
      </w:r>
    </w:p>
    <w:p>
      <w:pPr>
        <w:numPr>
          <w:ilvl w:val="0"/>
          <w:numId w:val="1012"/>
        </w:numPr>
        <w:pStyle w:val="Compact"/>
      </w:pPr>
      <w:r>
        <w:t xml:space="preserve">Illustrative Recyclability Percentage: 70%</w:t>
      </w:r>
    </w:p>
    <w:p>
      <w:pPr>
        <w:numPr>
          <w:ilvl w:val="0"/>
          <w:numId w:val="1012"/>
        </w:numPr>
        <w:pStyle w:val="Compact"/>
      </w:pPr>
      <w:r>
        <w:t xml:space="preserve">Illustrative Product Mass: 1.25 kg (as per BOM calculation above)</w:t>
      </w:r>
    </w:p>
    <w:p>
      <w:pPr>
        <w:numPr>
          <w:ilvl w:val="0"/>
          <w:numId w:val="1012"/>
        </w:numPr>
        <w:pStyle w:val="Compact"/>
      </w:pPr>
      <w:r>
        <w:t xml:space="preserve">Illustrative Avoided Emissions Factor for Recycling (average): -1.0 kg CO2e/kg of recycled material (Source: Ecoinvent, varies by material)</w:t>
      </w:r>
    </w:p>
    <w:p>
      <w:pPr>
        <w:numPr>
          <w:ilvl w:val="0"/>
          <w:numId w:val="1012"/>
        </w:numPr>
        <w:pStyle w:val="Compact"/>
      </w:pPr>
      <w:r>
        <w:t xml:space="preserve">Illustrative Disposal Emission Factor (Landfill/Incineration): 0.5 kg CO2e/kg (Source: Ecoinvent)</w:t>
      </w:r>
    </w:p>
    <w:p>
      <w:pPr>
        <w:pStyle w:val="FirstParagraph"/>
      </w:pPr>
      <w:r>
        <w:rPr>
          <w:bCs/>
          <w:b/>
        </w:rPr>
        <w:t xml:space="preserve">Calculation:</w:t>
      </w:r>
      <w:r>
        <w:br/>
      </w:r>
      <w:r>
        <w:t xml:space="preserve">Recycled mass = 1.25 kg * 0.70 = 0.875 kg</w:t>
      </w:r>
      <w:r>
        <w:br/>
      </w:r>
      <w:r>
        <w:t xml:space="preserve">Disposed mass = 1.25 kg * (1 - 0.70) = 0.375 kg</w:t>
      </w:r>
      <w:r>
        <w:br/>
      </w:r>
      <w:r>
        <w:t xml:space="preserve">Avoided emissions from recycling = 0.875 kg * (-1.0 kg CO2e/kg) = -0.875 kg CO2e</w:t>
      </w:r>
      <w:r>
        <w:br/>
      </w:r>
      <w:r>
        <w:t xml:space="preserve">Emissions from disposal = 0.375 kg * 0.5 kg CO2e/kg = 0.1875 kg CO2e</w:t>
      </w:r>
      <w:r>
        <w:br/>
      </w:r>
    </w:p>
    <w:p>
      <w:pPr>
        <w:pStyle w:val="BodyText"/>
      </w:pPr>
      <w:r>
        <w:rPr>
          <w:bCs/>
          <w:b/>
        </w:rPr>
        <w:t xml:space="preserve">Total End-of-Life Emissions: -0.88 + 0.19 = -0.69 kg CO2e</w:t>
      </w:r>
      <w:r>
        <w:t xml:space="preserve"> </w:t>
      </w:r>
      <w:r>
        <w:t xml:space="preserve">(Net negative due to recycling credits)</w:t>
      </w:r>
    </w:p>
    <w:bookmarkEnd w:id="39"/>
    <w:bookmarkEnd w:id="40"/>
    <w:bookmarkStart w:id="41" w:name="X9b435f9006cf04294f943c0bc3e88ac8be6bd1a"/>
    <w:p>
      <w:pPr>
        <w:pStyle w:val="Heading3"/>
      </w:pPr>
      <w:r>
        <w:t xml:space="preserve">4.5. Total Product Carbon Footprint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r>
      <w:tr>
        <w:tc>
          <w:tcPr/>
          <w:p>
            <w:pPr>
              <w:pStyle w:val="Compact"/>
              <w:jc w:val="left"/>
            </w:pPr>
            <w:r>
              <w:t xml:space="preserve">Raw Material Extraction &amp; Processing</w:t>
            </w:r>
          </w:p>
        </w:tc>
        <w:tc>
          <w:tcPr/>
          <w:p>
            <w:pPr>
              <w:pStyle w:val="Compact"/>
              <w:jc w:val="left"/>
            </w:pPr>
            <w:r>
              <w:t xml:space="preserve">Scope 3 (Upstream)</w:t>
            </w:r>
          </w:p>
        </w:tc>
        <w:tc>
          <w:tcPr/>
          <w:p>
            <w:pPr>
              <w:pStyle w:val="Compact"/>
              <w:jc w:val="left"/>
            </w:pPr>
            <w:r>
              <w:t xml:space="preserve">12.57</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4.88</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0.13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-0.69</w:t>
            </w:r>
          </w:p>
        </w:tc>
      </w:tr>
      <w:tr>
        <w:tc>
          <w:tcPr/>
          <w:p>
            <w:pPr>
              <w:pStyle w:val="Compact"/>
              <w:jc w:val="left"/>
            </w:pPr>
            <w:r>
              <w:t xml:space="preserve">Total PCF</w:t>
            </w:r>
          </w:p>
        </w:tc>
        <w:tc>
          <w:tcPr/>
          <w:p>
            <w:pPr>
              <w:pStyle w:val="Compact"/>
            </w:pPr>
          </w:p>
        </w:tc>
        <w:tc>
          <w:tcPr/>
          <w:p>
            <w:pPr>
              <w:pStyle w:val="Compact"/>
              <w:jc w:val="left"/>
            </w:pPr>
            <w:r>
              <w:t xml:space="preserve">30.39</w:t>
            </w:r>
          </w:p>
        </w:tc>
      </w:tr>
    </w:tbl>
    <w:p>
      <w:pPr>
        <w:pStyle w:val="BodyText"/>
      </w:pPr>
      <w:r>
        <w:rPr>
          <w:bCs/>
          <w:b/>
        </w:rPr>
        <w:t xml:space="preserve">The illustrative Product Carbon Footprint for tnsynylewv is approximately 30.39 kg CO2e per functional unit.</w:t>
      </w:r>
    </w:p>
    <w:p>
      <w:r>
        <w:pict>
          <v:rect style="width:0;height:1.5pt" o:hralign="center" o:hrstd="t" o:hr="t"/>
        </w:pict>
      </w:r>
    </w:p>
    <w:bookmarkEnd w:id="41"/>
    <w:bookmarkEnd w:id="42"/>
    <w:bookmarkStart w:id="47"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this illustrative analysis, the primary emission hotspots for tnsynylewv are:</w:t>
      </w:r>
    </w:p>
    <w:p>
      <w:pPr>
        <w:numPr>
          <w:ilvl w:val="0"/>
          <w:numId w:val="1013"/>
        </w:numPr>
        <w:pStyle w:val="Compact"/>
      </w:pPr>
      <w:r>
        <w:rPr>
          <w:bCs/>
          <w:b/>
        </w:rPr>
        <w:t xml:space="preserve">Raw Material Extraction &amp; Processing (41.4%):</w:t>
      </w:r>
      <w:r>
        <w:t xml:space="preserve"> </w:t>
      </w:r>
      <w:r>
        <w:t xml:space="preserve">The embodied emissions in components, particularly from materials like aluminum, circuit boards, and the battery pack, contribute significantly. This highlights the importance of material selection and supply chain sustainability.</w:t>
      </w:r>
    </w:p>
    <w:p>
      <w:pPr>
        <w:numPr>
          <w:ilvl w:val="0"/>
          <w:numId w:val="1013"/>
        </w:numPr>
        <w:pStyle w:val="Compact"/>
      </w:pPr>
      <w:r>
        <w:rPr>
          <w:bCs/>
          <w:b/>
        </w:rPr>
        <w:t xml:space="preserve">Use Phase (44.4%):</w:t>
      </w:r>
      <w:r>
        <w:t xml:space="preserve"> </w:t>
      </w:r>
      <w:r>
        <w:t xml:space="preserve">The energy consumption during the product\'s operational life is a major contributor, indicating opportunities for energy efficiency improvements in product design or promoting renewable energy adoption by end-users.</w:t>
      </w:r>
    </w:p>
    <w:p>
      <w:pPr>
        <w:numPr>
          <w:ilvl w:val="0"/>
          <w:numId w:val="1013"/>
        </w:numPr>
        <w:pStyle w:val="Compact"/>
      </w:pPr>
      <w:r>
        <w:rPr>
          <w:bCs/>
          <w:b/>
        </w:rPr>
        <w:t xml:space="preserve">Manufacturing (16.1%):</w:t>
      </w:r>
      <w:r>
        <w:t xml:space="preserve"> </w:t>
      </w:r>
      <w:r>
        <w:t xml:space="preserve">Energy consumption during production, even with illustrative renewable energy usage, remains a notable contributor, underscoring the need for further decarbonization of manufacturing operations.</w:t>
      </w:r>
    </w:p>
    <w:p>
      <w:pPr>
        <w:numPr>
          <w:ilvl w:val="0"/>
          <w:numId w:val="1013"/>
        </w:numPr>
        <w:pStyle w:val="Compact"/>
      </w:pPr>
      <w:r>
        <w:t xml:space="preserve">Transport emissions are comparatively minor but still require optimization. The net negative emissions from End-of-Life demonstrate the positive impact of robust recyclability and circular economy programs.</w:t>
      </w:r>
    </w:p>
    <w:bookmarkEnd w:id="43"/>
    <w:bookmarkStart w:id="44" w:name="data-reliability"/>
    <w:p>
      <w:pPr>
        <w:pStyle w:val="Heading3"/>
      </w:pPr>
      <w:r>
        <w:t xml:space="preserve">5.2. Data Reliability</w:t>
      </w:r>
    </w:p>
    <w:p>
      <w:pPr>
        <w:pStyle w:val="FirstParagraph"/>
      </w:pPr>
      <w:r>
        <w:t xml:space="preserve">The reliability of this report is considered moderate to high for the defined scope, given the detailed BOM structure and explicit parameter inputs. However, it is crucial to reiterate that where specific numerical values were represented by generic strings (e.g., \'mslldyjkhg\', \'korzwxydkf\'), illustrative numerical data was used to demonstrate the calculation methodology. For a fully accurate and auditable report, primary quantitative data for all such parameters would be required from ddvdtrwjjp\'s operations and supply chain. Emission factors for materials, energy, and transport are sourced from established databases (e.g., Ecoinvent, DEFRA), ensuring consistency with industry best practices.</w:t>
      </w:r>
    </w:p>
    <w:bookmarkEnd w:id="44"/>
    <w:bookmarkStart w:id="46" w:name="recommendations-for-improvement"/>
    <w:p>
      <w:pPr>
        <w:pStyle w:val="Heading3"/>
      </w:pPr>
      <w:r>
        <w:t xml:space="preserve">5.3. Recommendations for Improvement</w:t>
      </w:r>
    </w:p>
    <w:p>
      <w:pPr>
        <w:numPr>
          <w:ilvl w:val="0"/>
          <w:numId w:val="1014"/>
        </w:numPr>
        <w:pStyle w:val="Compact"/>
      </w:pPr>
      <w:r>
        <w:rPr>
          <w:bCs/>
          <w:b/>
        </w:rPr>
        <w:t xml:space="preserve">Material Optimization:</w:t>
      </w:r>
      <w:r>
        <w:t xml:space="preserve"> </w:t>
      </w:r>
      <w:r>
        <w:t xml:space="preserve">Investigate opportunities for lighter-weight materials, recycled content, or materials with lower embodied carbon, especially for the aluminum casing, circuit board, and battery.</w:t>
      </w:r>
    </w:p>
    <w:p>
      <w:pPr>
        <w:numPr>
          <w:ilvl w:val="0"/>
          <w:numId w:val="1014"/>
        </w:numPr>
        <w:pStyle w:val="Compact"/>
      </w:pPr>
      <w:r>
        <w:rPr>
          <w:bCs/>
          <w:b/>
        </w:rPr>
        <w:t xml:space="preserve">Manufacturing Efficiency:</w:t>
      </w:r>
      <w:r>
        <w:t xml:space="preserve"> </w:t>
      </w:r>
      <w:r>
        <w:t xml:space="preserve">Increase the percentage of renewable energy used in manufacturing operations and explore process optimizations to reduce energy intensity.</w:t>
      </w:r>
    </w:p>
    <w:p>
      <w:pPr>
        <w:numPr>
          <w:ilvl w:val="0"/>
          <w:numId w:val="1014"/>
        </w:numPr>
        <w:pStyle w:val="Compact"/>
      </w:pPr>
      <w:r>
        <w:rPr>
          <w:bCs/>
          <w:b/>
        </w:rPr>
        <w:t xml:space="preserve">Use Phase Efficiency:</w:t>
      </w:r>
      <w:r>
        <w:t xml:space="preserve"> </w:t>
      </w:r>
      <w:r>
        <w:t xml:space="preserve">Design tnsynylewv for enhanced energy efficiency during its operational life and consider offering energy-saving modes or smart features.</w:t>
      </w:r>
    </w:p>
    <w:p>
      <w:pPr>
        <w:numPr>
          <w:ilvl w:val="0"/>
          <w:numId w:val="1014"/>
        </w:numPr>
        <w:pStyle w:val="Compact"/>
      </w:pPr>
      <w:r>
        <w:rPr>
          <w:bCs/>
          <w:b/>
        </w:rPr>
        <w:t xml:space="preserve">Circular Economy Enhancement:</w:t>
      </w:r>
      <w:r>
        <w:t xml:space="preserve"> </w:t>
      </w:r>
      <w:r>
        <w:t xml:space="preserve">Continue to strengthen take-back programs and investigate design-for-disassembly and repairability to further improve end-of-life outcomes and potentially increase recycling rates beyond 70%.</w:t>
      </w:r>
    </w:p>
    <w:p>
      <w:pPr>
        <w:numPr>
          <w:ilvl w:val="0"/>
          <w:numId w:val="1014"/>
        </w:numPr>
        <w:pStyle w:val="Compact"/>
      </w:pPr>
      <w:r>
        <w:rPr>
          <w:bCs/>
          <w:b/>
        </w:rPr>
        <w:t xml:space="preserve">Supply Chain Engagement:</w:t>
      </w:r>
      <w:r>
        <w:t xml:space="preserve"> </w:t>
      </w:r>
      <w:r>
        <w:t xml:space="preserve">Work closely with material and component suppliers to gather more precise primary data and encourage their decarbonization efforts.</w:t>
      </w:r>
    </w:p>
    <w:p>
      <w:r>
        <w:pict>
          <v:rect style="width:0;height:1.5pt" o:hralign="center" o:hrstd="t" o:hr="t"/>
        </w:pict>
      </w:r>
    </w:p>
    <w:p>
      <w:pPr>
        <w:pStyle w:val="FirstParagraph"/>
      </w:pPr>
      <w:r>
        <w:t xml:space="preserve">Confidential - Internal Use Only | Page</w:t>
      </w:r>
      <w:r>
        <w:t xml:space="preserve"> </w:t>
      </w:r>
      <w:bookmarkStart w:id="45" w:name="page-num"/>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tnsynylewv</dc:title>
  <dc:creator/>
  <dc:description>Detailed Product Carbon Footprint (PCF) analysis report for tnsynylewv, conducted by wtwnnhypen for ddvdtrwjjp, following the GHG Protocol and 2026 LSR update.</dc:description>
  <dc:language>en</dc:language>
  <cp:keywords/>
  <dcterms:created xsi:type="dcterms:W3CDTF">2026-10-16T18:05:08Z</dcterms:created>
  <dcterms:modified xsi:type="dcterms:W3CDTF">2026-10-16T18:05:08Z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