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for</w:t>
      </w:r>
      <w:r>
        <w:t xml:space="preserve"> </w:t>
      </w:r>
      <w:r>
        <w:t xml:space="preserve">tnsynylewv</w:t>
      </w:r>
    </w:p>
    <w:p>
      <w:pPr>
        <w:pStyle w:val="FirstParagraph"/>
      </w:pPr>
      <w:r>
        <w:t xml:space="preserve">carboncalcpcf.com</w:t>
      </w:r>
    </w:p>
    <w:bookmarkStart w:id="21" w:name="product-carbon-footprint-analysis"/>
    <w:p>
      <w:pPr>
        <w:pStyle w:val="Heading1"/>
      </w:pPr>
      <w:r>
        <w:t xml:space="preserve">Product Carbon Footprint Analysis</w:t>
      </w:r>
    </w:p>
    <w:bookmarkStart w:id="20" w:name="for-product-tnsynylewv"/>
    <w:p>
      <w:pPr>
        <w:pStyle w:val="Heading2"/>
      </w:pPr>
      <w:r>
        <w:t xml:space="preserve">For Product: tnsynylewv</w:t>
      </w:r>
    </w:p>
    <w:p>
      <w:pPr>
        <w:pStyle w:val="FirstParagraph"/>
      </w:pPr>
      <w:r>
        <w:rPr>
          <w:bCs/>
          <w:b/>
        </w:rPr>
        <w:t xml:space="preserve">Company Name:</w:t>
      </w:r>
      <w:r>
        <w:t xml:space="preserve"> </w:t>
      </w:r>
      <w:r>
        <w:t xml:space="preserve">ddvdtrwjjp</w:t>
      </w:r>
    </w:p>
    <w:p>
      <w:pPr>
        <w:pStyle w:val="BodyText"/>
      </w:pPr>
      <w:r>
        <w:rPr>
          <w:bCs/>
          <w:b/>
        </w:rPr>
        <w:t xml:space="preserve">Senior Sustainability Consultant:</w:t>
      </w:r>
      <w:r>
        <w:t xml:space="preserve"> </w:t>
      </w:r>
      <w:r>
        <w:t xml:space="preserve">wtwnnhypen</w:t>
      </w:r>
    </w:p>
    <w:p>
      <w:pPr>
        <w:pStyle w:val="BodyText"/>
      </w:pPr>
      <w:r>
        <w:rPr>
          <w:bCs/>
          <w:b/>
        </w:rPr>
        <w:t xml:space="preserve">Protocol Data (Accounting Standard):</w:t>
      </w:r>
      <w:r>
        <w:t xml:space="preserve"> </w:t>
      </w:r>
      <w:r>
        <w:t xml:space="preserve">GHG Protocol</w:t>
      </w:r>
    </w:p>
    <w:p>
      <w:pPr>
        <w:pStyle w:val="BodyText"/>
      </w:pPr>
      <w:r>
        <w:rPr>
          <w:iCs/>
          <w:i/>
        </w:rPr>
        <w:t xml:space="preserve">This report is generated based on available data and industry standards. Numerical values for generic parameters are illustrative to demonstrate methodology where specific input data was not provided.</w:t>
      </w:r>
    </w:p>
    <w:bookmarkEnd w:id="20"/>
    <w:bookmarkEnd w:id="21"/>
    <w:p>
      <w:r>
        <w:pict>
          <v:rect style="width:0;height:1.5pt" o:hralign="center" o:hrstd="t" o:hr="t"/>
        </w:pict>
      </w:r>
    </w:p>
    <w:bookmarkStart w:id="22" w:name="Xa4034a3e71191f594513c795852fc5e2a9f57a2"/>
    <w:p>
      <w:pPr>
        <w:pStyle w:val="Heading1"/>
      </w:pPr>
      <w:r>
        <w:t xml:space="preserve">Product Carbon Footprint Analysis for tnsynylewv</w:t>
      </w:r>
    </w:p>
    <w:p>
      <w:pPr>
        <w:pStyle w:val="FirstParagraph"/>
      </w:pPr>
      <w:r>
        <w:t xml:space="preserve">Generated Date: May 25, 2026</w:t>
      </w:r>
    </w:p>
    <w:bookmarkEnd w:id="22"/>
    <w:p>
      <w:r>
        <w:pict>
          <v:rect style="width:0;height:1.5pt" o:hralign="center" o:hrstd="t" o:hr="t"/>
        </w:pict>
      </w:r>
    </w:p>
    <w:bookmarkStart w:id="23" w:name="executive-summary"/>
    <w:p>
      <w:pPr>
        <w:pStyle w:val="Heading2"/>
      </w:pPr>
      <w:r>
        <w:t xml:space="preserve">Executive Summary</w:t>
      </w:r>
    </w:p>
    <w:p>
      <w:pPr>
        <w:pStyle w:val="FirstParagraph"/>
      </w:pPr>
      <w:r>
        <w:t xml:space="preserve">This report presents a high-detail Product Carbon Footprint (PCF) analysis for the product tnsynylewv, manufactured by ddvdtrwjjp. The analysis was conducted by Senior Sustainability Consultant wtwnnhypen, adhering strictly to the GHG Protocol. The objective is to quantify the greenhouse gas emissions associated with the entire lifecycle of tnsynylewv, from raw material extraction to end-of-life, identify emission hotspots, and provide actionable insights for sustainability improvements. This assessment incorporates the latest 2026 Land Sector and Removals (LSR) Standard and aims for at least 95% Scope 3 emissions coverage. Illustrative data has been used for generic parameters where specific numerical inputs were not provided, as explicitly noted throughout the report.</w:t>
      </w:r>
    </w:p>
    <w:p>
      <w:r>
        <w:pict>
          <v:rect style="width:0;height:1.5pt" o:hralign="center" o:hrstd="t" o:hr="t"/>
        </w:pict>
      </w:r>
    </w:p>
    <w:bookmarkEnd w:id="23"/>
    <w:bookmarkStart w:id="24" w:name="define-scope"/>
    <w:p>
      <w:pPr>
        <w:pStyle w:val="Heading2"/>
      </w:pPr>
      <w:r>
        <w:t xml:space="preserve">1. Define Scope</w:t>
      </w:r>
    </w:p>
    <w:p>
      <w:pPr>
        <w:pStyle w:val="FirstParagraph"/>
      </w:pPr>
      <w:r>
        <w:t xml:space="preserve">The scoping phase establishes the framework for the PCF analysis of tnsynylewv, ensuring consistency and comparability of results.</w:t>
      </w:r>
    </w:p>
    <w:p>
      <w:pPr>
        <w:numPr>
          <w:ilvl w:val="0"/>
          <w:numId w:val="1001"/>
        </w:numPr>
        <w:pStyle w:val="Compact"/>
      </w:pPr>
      <w:r>
        <w:rPr>
          <w:bCs/>
          <w:b/>
        </w:rPr>
        <w:t xml:space="preserve">Functional Unit:</w:t>
      </w:r>
      <w:r>
        <w:t xml:space="preserve"> </w:t>
      </w:r>
      <w:r>
        <w:t xml:space="preserve">The functional unit for this study is defined as 1.0 unit of tnsynylewv. This serves as the reference basis to which all input and output data are normalized.</w:t>
      </w:r>
    </w:p>
    <w:p>
      <w:pPr>
        <w:numPr>
          <w:ilvl w:val="0"/>
          <w:numId w:val="1001"/>
        </w:numPr>
        <w:pStyle w:val="Compact"/>
      </w:pPr>
      <w:r>
        <w:rPr>
          <w:bCs/>
          <w:b/>
        </w:rPr>
        <w:t xml:space="preserve">System Boundary:</w:t>
      </w:r>
      <w:r>
        <w:t xml:space="preserve"> </w:t>
      </w:r>
      <w:r>
        <w:t xml:space="preserve">The analysis employs a "cradle-to-gate with end-of-life" system boundary, encompassing all activities from raw material extraction and processing up to the point of the product leaving the factory gate (factory_gate), and extending to include the product\'s use phase and end-of-life treatment.</w:t>
      </w:r>
    </w:p>
    <w:p>
      <w:pPr>
        <w:numPr>
          <w:ilvl w:val="0"/>
          <w:numId w:val="1001"/>
        </w:numPr>
        <w:pStyle w:val="Compact"/>
      </w:pPr>
      <w:r>
        <w:rPr>
          <w:bCs/>
          <w:b/>
        </w:rPr>
        <w:t xml:space="preserve">Geographic Scope:</w:t>
      </w:r>
      <w:r>
        <w:t xml:space="preserve"> </w:t>
      </w:r>
      <w:r>
        <w:t xml:space="preserve">The final production country is China, with a specific focus on the supply chain within Europe. This geographic focus informs the selection of regional emission factors for various processes and transportation.</w:t>
      </w:r>
    </w:p>
    <w:p>
      <w:pPr>
        <w:numPr>
          <w:ilvl w:val="0"/>
          <w:numId w:val="1001"/>
        </w:numPr>
        <w:pStyle w:val="Compact"/>
      </w:pPr>
      <w:r>
        <w:rPr>
          <w:bCs/>
          <w:b/>
        </w:rPr>
        <w:t xml:space="preserve">Accounting Standard:</w:t>
      </w:r>
      <w:r>
        <w:t xml:space="preserve"> </w:t>
      </w:r>
      <w:r>
        <w:t xml:space="preserve">The Product Carbon Footprint is calculated in accordance with the Greenhouse Gas (GHG) Protocol Product Standard. Emissions are categorized into Scope 1 (direct emissions), Scope 2 (indirect emissions from purchased energy), and Scope 3 (all other indirect emissions in the value chain).</w:t>
      </w:r>
    </w:p>
    <w:p>
      <w:pPr>
        <w:numPr>
          <w:ilvl w:val="0"/>
          <w:numId w:val="1001"/>
        </w:numPr>
        <w:pStyle w:val="Compact"/>
      </w:pPr>
      <w:r>
        <w:rPr>
          <w:bCs/>
          <w:b/>
        </w:rPr>
        <w:t xml:space="preserve">Allocation:</w:t>
      </w:r>
      <w:r>
        <w:t xml:space="preserve"> </w:t>
      </w:r>
      <w:r>
        <w:t xml:space="preserve">Where co-production or multi-functional processes occur, emissions are allocated primarily based on physical mass allocation, assuming this is the most representative basis given the product\'s nature.</w:t>
      </w:r>
    </w:p>
    <w:p>
      <w:r>
        <w:pict>
          <v:rect style="width:0;height:1.5pt" o:hralign="center" o:hrstd="t" o:hr="t"/>
        </w:pict>
      </w:r>
    </w:p>
    <w:bookmarkEnd w:id="24"/>
    <w:bookmarkStart w:id="25" w:name="map-lifecycle-lci-inventory-stages"/>
    <w:p>
      <w:pPr>
        <w:pStyle w:val="Heading2"/>
      </w:pPr>
      <w:r>
        <w:t xml:space="preserve">2. Map Lifecycle (LCI Inventory Stages)</w:t>
      </w:r>
    </w:p>
    <w:p>
      <w:pPr>
        <w:pStyle w:val="FirstParagraph"/>
      </w:pPr>
      <w:r>
        <w:t xml:space="preserve">The lifecycle of tnsynylewv has been mapped into distinct stages to systematically inventory all relevant inputs and outputs. This stage forms the basis for data collection.</w:t>
      </w:r>
    </w:p>
    <w:p>
      <w:pPr>
        <w:numPr>
          <w:ilvl w:val="0"/>
          <w:numId w:val="1002"/>
        </w:numPr>
        <w:pStyle w:val="Compact"/>
      </w:pPr>
      <w:r>
        <w:rPr>
          <w:bCs/>
          <w:b/>
        </w:rPr>
        <w:t xml:space="preserve">Raw Material Extraction &amp; Processing:</w:t>
      </w:r>
      <w:r>
        <w:t xml:space="preserve"> </w:t>
      </w:r>
      <w:r>
        <w:t xml:space="preserve">This stage includes all activities related to the extraction, refining, and initial processing of raw materials used in tnsynylewv. This covers the emissions embodied in the materials themselves.</w:t>
      </w:r>
    </w:p>
    <w:p>
      <w:pPr>
        <w:numPr>
          <w:ilvl w:val="0"/>
          <w:numId w:val="1002"/>
        </w:numPr>
        <w:pStyle w:val="Compact"/>
      </w:pPr>
      <w:r>
        <w:rPr>
          <w:bCs/>
          <w:b/>
        </w:rPr>
        <w:t xml:space="preserve">Manufacturing:</w:t>
      </w:r>
      <w:r>
        <w:t xml:space="preserve"> </w:t>
      </w:r>
      <w:r>
        <w:t xml:space="preserve">This encompasses all processes at the ddvdtrwjjp production facility, including assembly, fabrication, and packaging. Emissions from energy consumption (electricity, heat) and direct industrial processes are considered here.</w:t>
      </w:r>
    </w:p>
    <w:p>
      <w:pPr>
        <w:numPr>
          <w:ilvl w:val="0"/>
          <w:numId w:val="1002"/>
        </w:numPr>
        <w:pStyle w:val="Compact"/>
      </w:pPr>
      <w:r>
        <w:rPr>
          <w:bCs/>
          <w:b/>
        </w:rPr>
        <w:t xml:space="preserve">Transport (Inbound Logistics):</w:t>
      </w:r>
      <w:r>
        <w:t xml:space="preserve"> </w:t>
      </w:r>
      <w:r>
        <w:t xml:space="preserve">This stage covers the transportation of all raw materials, components, and semi-finished goods from suppliers to the ddvdtrwjjp manufacturing plant in China.</w:t>
      </w:r>
    </w:p>
    <w:p>
      <w:pPr>
        <w:numPr>
          <w:ilvl w:val="0"/>
          <w:numId w:val="1002"/>
        </w:numPr>
        <w:pStyle w:val="Compact"/>
      </w:pPr>
      <w:r>
        <w:rPr>
          <w:bCs/>
          <w:b/>
        </w:rPr>
        <w:t xml:space="preserve">Transport (Outbound Logistics):</w:t>
      </w:r>
      <w:r>
        <w:t xml:space="preserve"> </w:t>
      </w:r>
      <w:r>
        <w:t xml:space="preserve">This includes the transportation of the finished tnsynylewv from the factory gate to distribution centers or directly to customers, with a focus on a Europe-focused supply chain and last-mile delivery.</w:t>
      </w:r>
    </w:p>
    <w:p>
      <w:pPr>
        <w:numPr>
          <w:ilvl w:val="0"/>
          <w:numId w:val="1002"/>
        </w:numPr>
        <w:pStyle w:val="Compact"/>
      </w:pPr>
      <w:r>
        <w:rPr>
          <w:bCs/>
          <w:b/>
        </w:rPr>
        <w:t xml:space="preserve">Use Phase:</w:t>
      </w:r>
      <w:r>
        <w:t xml:space="preserve"> </w:t>
      </w:r>
      <w:r>
        <w:t xml:space="preserve">This phase accounts for emissions generated during the typical operational life of tnsynylewv by the end-user, including energy consumption and any associated maintenance.</w:t>
      </w:r>
    </w:p>
    <w:p>
      <w:pPr>
        <w:numPr>
          <w:ilvl w:val="0"/>
          <w:numId w:val="1002"/>
        </w:numPr>
        <w:pStyle w:val="Compact"/>
      </w:pPr>
      <w:r>
        <w:rPr>
          <w:bCs/>
          <w:b/>
        </w:rPr>
        <w:t xml:space="preserve">End-of-Life (EoL):</w:t>
      </w:r>
      <w:r>
        <w:t xml:space="preserve"> </w:t>
      </w:r>
      <w:r>
        <w:t xml:space="preserve">The final stage addresses the emissions and potential avoided emissions associated with the disposal, recycling, or recovery of tnsynylewv components at the end of its useful life.</w:t>
      </w:r>
    </w:p>
    <w:p>
      <w:r>
        <w:pict>
          <v:rect style="width:0;height:1.5pt" o:hralign="center" o:hrstd="t" o:hr="t"/>
        </w:pict>
      </w:r>
    </w:p>
    <w:bookmarkEnd w:id="25"/>
    <w:bookmarkStart w:id="31" w:name="Xb57f50a89bf1f3f1837369be949d9d60d6c1272"/>
    <w:p>
      <w:pPr>
        <w:pStyle w:val="Heading2"/>
      </w:pPr>
      <w:r>
        <w:t xml:space="preserve">3. Collect Data (Primary/Secondary Data Points)</w:t>
      </w:r>
    </w:p>
    <w:p>
      <w:pPr>
        <w:pStyle w:val="FirstParagraph"/>
      </w:pPr>
      <w:r>
        <w:t xml:space="preserve">Data collection involved gathering specific primary data provided for ddvdtrwjjp\'s operations and utilizing secondary, industry-standard emission factors where primary data was unavailable or to supplement the analysis. It is important to note that specific numerical values for parameters provided as generic strings (e.g., dvglgpdr, mslldyjkhg) have been replaced with illustrative examples to demonstrate the calculation methodology. In a real-world scenario, precise numerical data would be required for accurate results.</w:t>
      </w:r>
    </w:p>
    <w:bookmarkStart w:id="26" w:name="X26a9db076e4b441caf2580a7a1baca517445ab3"/>
    <w:p>
      <w:pPr>
        <w:pStyle w:val="Heading3"/>
      </w:pPr>
      <w:r>
        <w:t xml:space="preserve">3.1. Detailed Bill of Materials (BOM) for dvglgpdr (Illustrative Data)</w:t>
      </w:r>
    </w:p>
    <w:p>
      <w:pPr>
        <w:pStyle w:val="FirstParagraph"/>
      </w:pPr>
      <w:r>
        <w:t xml:space="preserve">The following illustrative Bill of Materials (BOM) data, following the format ID, Description, Category, Process, Qty, Unit, Emission Factor (kg CO2e/unit), Total Carbon (kg CO2e), has been used for the high-accuracy material impact calculation for the placeholder \'dvglgpdr\'. These values represent the embodied emissions of the raw materials and their processing.</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10.0</w:t>
            </w:r>
          </w:p>
        </w:tc>
        <w:tc>
          <w:tcPr/>
          <w:p>
            <w:pPr>
              <w:pStyle w:val="Compact"/>
              <w:jc w:val="left"/>
            </w:pPr>
            <w:r>
              <w:t xml:space="preserve">5.0</w:t>
            </w:r>
          </w:p>
        </w:tc>
      </w:tr>
      <w:tr>
        <w:tc>
          <w:tcPr/>
          <w:p>
            <w:pPr>
              <w:pStyle w:val="Compact"/>
              <w:jc w:val="left"/>
            </w:pPr>
            <w:r>
              <w:t xml:space="preserve">2</w:t>
            </w:r>
          </w:p>
        </w:tc>
        <w:tc>
          <w:tcPr/>
          <w:p>
            <w:pPr>
              <w:pStyle w:val="Compact"/>
              <w:jc w:val="left"/>
            </w:pPr>
            <w:r>
              <w:t xml:space="preserve">Plastic Housing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3.5</w:t>
            </w:r>
          </w:p>
        </w:tc>
        <w:tc>
          <w:tcPr/>
          <w:p>
            <w:pPr>
              <w:pStyle w:val="Compact"/>
              <w:jc w:val="left"/>
            </w:pPr>
            <w:r>
              <w:t xml:space="preserve">0.7</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20.0</w:t>
            </w:r>
          </w:p>
        </w:tc>
        <w:tc>
          <w:tcPr/>
          <w:p>
            <w:pPr>
              <w:pStyle w:val="Compact"/>
              <w:jc w:val="left"/>
            </w:pPr>
            <w:r>
              <w:t xml:space="preserve">2.0</w:t>
            </w:r>
          </w:p>
        </w:tc>
      </w:tr>
      <w:tr>
        <w:tc>
          <w:tcPr/>
          <w:p>
            <w:pPr>
              <w:pStyle w:val="Compact"/>
              <w:jc w:val="left"/>
            </w:pPr>
            <w:r>
              <w:t xml:space="preserve">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5.0</w:t>
            </w:r>
          </w:p>
        </w:tc>
        <w:tc>
          <w:tcPr/>
          <w:p>
            <w:pPr>
              <w:pStyle w:val="Compact"/>
              <w:jc w:val="left"/>
            </w:pPr>
            <w:r>
              <w:t xml:space="preserve">0.25</w:t>
            </w:r>
          </w:p>
        </w:tc>
      </w:tr>
      <w:tr>
        <w:tc>
          <w:tcPr/>
          <w:p>
            <w:pPr>
              <w:pStyle w:val="Compact"/>
              <w:jc w:val="left"/>
            </w:pPr>
            <w:r>
              <w:t xml:space="preserve">5</w:t>
            </w:r>
          </w:p>
        </w:tc>
        <w:tc>
          <w:tcPr/>
          <w:p>
            <w:pPr>
              <w:pStyle w:val="Compact"/>
              <w:jc w:val="left"/>
            </w:pPr>
            <w:r>
              <w:t xml:space="preserve">Battery Pack</w:t>
            </w:r>
          </w:p>
        </w:tc>
        <w:tc>
          <w:tcPr/>
          <w:p>
            <w:pPr>
              <w:pStyle w:val="Compact"/>
              <w:jc w:val="left"/>
            </w:pPr>
            <w:r>
              <w:t xml:space="preserve">Electro-chemical</w:t>
            </w:r>
          </w:p>
        </w:tc>
        <w:tc>
          <w:tcPr/>
          <w:p>
            <w:pPr>
              <w:pStyle w:val="Compact"/>
              <w:jc w:val="left"/>
            </w:pPr>
            <w:r>
              <w:t xml:space="preserve">Manufacturing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15.0</w:t>
            </w:r>
          </w:p>
        </w:tc>
        <w:tc>
          <w:tcPr/>
          <w:p>
            <w:pPr>
              <w:pStyle w:val="Compact"/>
              <w:jc w:val="left"/>
            </w:pPr>
            <w:r>
              <w:t xml:space="preserve">4.5</w:t>
            </w:r>
          </w:p>
        </w:tc>
      </w:tr>
      <w:tr>
        <w:tc>
          <w:tcPr/>
          <w:p>
            <w:pPr>
              <w:pStyle w:val="Compact"/>
              <w:jc w:val="left"/>
            </w:pPr>
            <w:r>
              <w:t xml:space="preserve">6</w:t>
            </w:r>
          </w:p>
        </w:tc>
        <w:tc>
          <w:tcPr/>
          <w:p>
            <w:pPr>
              <w:pStyle w:val="Compact"/>
              <w:jc w:val="left"/>
            </w:pPr>
            <w:r>
              <w:t xml:space="preserve">Packaging Material</w:t>
            </w:r>
          </w:p>
        </w:tc>
        <w:tc>
          <w:tcPr/>
          <w:p>
            <w:pPr>
              <w:pStyle w:val="Compact"/>
              <w:jc w:val="left"/>
            </w:pPr>
            <w:r>
              <w:t xml:space="preserve">Paper/Cardboard</w:t>
            </w:r>
          </w:p>
        </w:tc>
        <w:tc>
          <w:tcPr/>
          <w:p>
            <w:pPr>
              <w:pStyle w:val="Compact"/>
              <w:jc w:val="left"/>
            </w:pPr>
            <w:r>
              <w:t xml:space="preserve">Pulping/Forming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1.2</w:t>
            </w:r>
          </w:p>
        </w:tc>
        <w:tc>
          <w:tcPr/>
          <w:p>
            <w:pPr>
              <w:pStyle w:val="Compact"/>
              <w:jc w:val="left"/>
            </w:pPr>
            <w:r>
              <w:t xml:space="preserve">0.12</w:t>
            </w:r>
          </w:p>
        </w:tc>
      </w:tr>
    </w:tbl>
    <w:bookmarkEnd w:id="26"/>
    <w:bookmarkStart w:id="27" w:name="logistics-data-illustrative-data"/>
    <w:p>
      <w:pPr>
        <w:pStyle w:val="Heading3"/>
      </w:pPr>
      <w:r>
        <w:t xml:space="preserve">3.2. Logistics Data (Illustrative Data)</w:t>
      </w:r>
    </w:p>
    <w:p>
      <w:pPr>
        <w:pStyle w:val="FirstParagraph"/>
      </w:pPr>
      <w:r>
        <w:t xml:space="preserve">The following illustrative logistics data has been incorporated into the supply chain analysis to represent the generic inputs \'Select Mode\', \'mslldyjkhg\', and \'Delivery Type\'.</w:t>
      </w:r>
    </w:p>
    <w:p>
      <w:pPr>
        <w:numPr>
          <w:ilvl w:val="0"/>
          <w:numId w:val="1003"/>
        </w:numPr>
        <w:pStyle w:val="Compact"/>
      </w:pPr>
      <w:r>
        <w:rPr>
          <w:bCs/>
          <w:b/>
        </w:rPr>
        <w:t xml:space="preserve">Transport Mode (Inbound/Outbound Main):</w:t>
      </w:r>
      <w:r>
        <w:t xml:space="preserve"> </w:t>
      </w:r>
      <w:r>
        <w:t xml:space="preserve">Road Transport (Heavy Duty Truck)</w:t>
      </w:r>
    </w:p>
    <w:p>
      <w:pPr>
        <w:numPr>
          <w:ilvl w:val="0"/>
          <w:numId w:val="1003"/>
        </w:numPr>
        <w:pStyle w:val="Compact"/>
      </w:pPr>
      <w:r>
        <w:rPr>
          <w:bCs/>
          <w:b/>
        </w:rPr>
        <w:t xml:space="preserve">Transport Distance (Average):</w:t>
      </w:r>
      <w:r>
        <w:t xml:space="preserve"> </w:t>
      </w:r>
      <w:r>
        <w:t xml:space="preserve">1000 km</w:t>
      </w:r>
    </w:p>
    <w:p>
      <w:pPr>
        <w:numPr>
          <w:ilvl w:val="0"/>
          <w:numId w:val="1003"/>
        </w:numPr>
        <w:pStyle w:val="Compact"/>
      </w:pPr>
      <w:r>
        <w:rPr>
          <w:bCs/>
          <w:b/>
        </w:rPr>
        <w:t xml:space="preserve">Last-Mile Delivery Channel:</w:t>
      </w:r>
      <w:r>
        <w:t xml:space="preserve"> </w:t>
      </w:r>
      <w:r>
        <w:t xml:space="preserve">Parcel Courier</w:t>
      </w:r>
    </w:p>
    <w:bookmarkEnd w:id="27"/>
    <w:bookmarkStart w:id="28" w:name="X079a9c692410a61332eca5b5eec9c83759d3146"/>
    <w:p>
      <w:pPr>
        <w:pStyle w:val="Heading3"/>
      </w:pPr>
      <w:r>
        <w:t xml:space="preserve">3.3. Energy Customization Data (Illustrative Data)</w:t>
      </w:r>
    </w:p>
    <w:p>
      <w:pPr>
        <w:pStyle w:val="FirstParagraph"/>
      </w:pPr>
      <w:r>
        <w:t xml:space="preserve">Illustrative energy data, representing \'korzwxydkf\' and \'gxneemltyf\', has been used for the production phase footprint.</w:t>
      </w:r>
    </w:p>
    <w:p>
      <w:pPr>
        <w:numPr>
          <w:ilvl w:val="0"/>
          <w:numId w:val="1004"/>
        </w:numPr>
        <w:pStyle w:val="Compact"/>
      </w:pPr>
      <w:r>
        <w:rPr>
          <w:bCs/>
          <w:b/>
        </w:rPr>
        <w:t xml:space="preserve">Renewable Energy Usage (Production):</w:t>
      </w:r>
      <w:r>
        <w:t xml:space="preserve"> </w:t>
      </w:r>
      <w:r>
        <w:t xml:space="preserve">50%</w:t>
      </w:r>
    </w:p>
    <w:p>
      <w:pPr>
        <w:numPr>
          <w:ilvl w:val="0"/>
          <w:numId w:val="1004"/>
        </w:numPr>
        <w:pStyle w:val="Compact"/>
      </w:pPr>
      <w:r>
        <w:rPr>
          <w:bCs/>
          <w:b/>
        </w:rPr>
        <w:t xml:space="preserve">Energy Intensity (kWh/unit, Production):</w:t>
      </w:r>
      <w:r>
        <w:t xml:space="preserve"> </w:t>
      </w:r>
      <w:r>
        <w:t xml:space="preserve">15 kWh/unit</w:t>
      </w:r>
    </w:p>
    <w:bookmarkEnd w:id="28"/>
    <w:bookmarkStart w:id="29" w:name="use-phase-data-illustrative-data"/>
    <w:p>
      <w:pPr>
        <w:pStyle w:val="Heading3"/>
      </w:pPr>
      <w:r>
        <w:t xml:space="preserve">3.4. Use Phase Data (Illustrative Data)</w:t>
      </w:r>
    </w:p>
    <w:p>
      <w:pPr>
        <w:pStyle w:val="FirstParagraph"/>
      </w:pPr>
      <w:r>
        <w:t xml:space="preserve">The \'Use Phase\' calculation has been expanded using the following illustrative durability and consumption data for \'nyynkivjtv\' and \'vxtrfujsrk\'.</w:t>
      </w:r>
    </w:p>
    <w:p>
      <w:pPr>
        <w:numPr>
          <w:ilvl w:val="0"/>
          <w:numId w:val="1005"/>
        </w:numPr>
        <w:pStyle w:val="Compact"/>
      </w:pPr>
      <w:r>
        <w:rPr>
          <w:bCs/>
          <w:b/>
        </w:rPr>
        <w:t xml:space="preserve">Product Lifespan:</w:t>
      </w:r>
      <w:r>
        <w:t xml:space="preserve"> </w:t>
      </w:r>
      <w:r>
        <w:t xml:space="preserve">5 years</w:t>
      </w:r>
    </w:p>
    <w:p>
      <w:pPr>
        <w:numPr>
          <w:ilvl w:val="0"/>
          <w:numId w:val="1005"/>
        </w:numPr>
        <w:pStyle w:val="Compact"/>
      </w:pPr>
      <w:r>
        <w:rPr>
          <w:bCs/>
          <w:b/>
        </w:rPr>
        <w:t xml:space="preserve">Energy Consumption in Use (Average):</w:t>
      </w:r>
      <w:r>
        <w:t xml:space="preserve"> </w:t>
      </w:r>
      <w:r>
        <w:t xml:space="preserve">10 kWh/year</w:t>
      </w:r>
    </w:p>
    <w:bookmarkEnd w:id="29"/>
    <w:bookmarkStart w:id="30" w:name="X39afe5e5fd3bf9976acf485940c02bc0fe36ec2"/>
    <w:p>
      <w:pPr>
        <w:pStyle w:val="Heading3"/>
      </w:pPr>
      <w:r>
        <w:t xml:space="preserve">3.5. End-of-Life (EoL) Scenarios (Illustrative Data)</w:t>
      </w:r>
    </w:p>
    <w:p>
      <w:pPr>
        <w:pStyle w:val="FirstParagraph"/>
      </w:pPr>
      <w:r>
        <w:t xml:space="preserve">Illustrative End-of-Life (EoL) scenarios for \'tjuiehmnsi\' and \'kyxeiktwxu\' are incorporated to reflect circular economy impacts.</w:t>
      </w:r>
    </w:p>
    <w:p>
      <w:pPr>
        <w:numPr>
          <w:ilvl w:val="0"/>
          <w:numId w:val="1006"/>
        </w:numPr>
        <w:pStyle w:val="Compact"/>
      </w:pPr>
      <w:r>
        <w:rPr>
          <w:bCs/>
          <w:b/>
        </w:rPr>
        <w:t xml:space="preserve">Recyclability Percentage:</w:t>
      </w:r>
      <w:r>
        <w:t xml:space="preserve"> </w:t>
      </w:r>
      <w:r>
        <w:t xml:space="preserve">70% (of total product mass)</w:t>
      </w:r>
    </w:p>
    <w:p>
      <w:pPr>
        <w:numPr>
          <w:ilvl w:val="0"/>
          <w:numId w:val="1006"/>
        </w:numPr>
        <w:pStyle w:val="Compact"/>
      </w:pPr>
      <w:r>
        <w:rPr>
          <w:bCs/>
          <w:b/>
        </w:rPr>
        <w:t xml:space="preserve">Circular/Take-back Programs:</w:t>
      </w:r>
      <w:r>
        <w:t xml:space="preserve"> </w:t>
      </w:r>
      <w:r>
        <w:t xml:space="preserve">Yes, an operational take-back program is in place for key components.</w:t>
      </w:r>
    </w:p>
    <w:p>
      <w:r>
        <w:pict>
          <v:rect style="width:0;height:1.5pt" o:hralign="center" o:hrstd="t" o:hr="t"/>
        </w:pict>
      </w:r>
    </w:p>
    <w:bookmarkEnd w:id="30"/>
    <w:bookmarkEnd w:id="31"/>
    <w:bookmarkStart w:id="42" w:name="Xb404f6bea4a0013006ec7a9103609d9ea6643c1"/>
    <w:p>
      <w:pPr>
        <w:pStyle w:val="Heading2"/>
      </w:pPr>
      <w:r>
        <w:t xml:space="preserve">4. Calculate Emissions (Activity * Emission Factor = CO2e)</w:t>
      </w:r>
    </w:p>
    <w:p>
      <w:pPr>
        <w:pStyle w:val="FirstParagraph"/>
      </w:pPr>
      <w:r>
        <w:t xml:space="preserve">Emissions are calculated for each lifecycle stage by multiplying activity data by appropriate emission factors. Industry-standard emission factors from reputable databases such as Ecoinvent and DEFRA have been used, supplemented by specific factors provided in the BOM.</w:t>
      </w:r>
    </w:p>
    <w:bookmarkStart w:id="32" w:name="ghg-protocol-categorization-scope-1-2-3"/>
    <w:p>
      <w:pPr>
        <w:pStyle w:val="Heading3"/>
      </w:pPr>
      <w:r>
        <w:t xml:space="preserve">4.1. GHG Protocol Categorization (Scope 1, 2, 3)</w:t>
      </w:r>
    </w:p>
    <w:p>
      <w:pPr>
        <w:numPr>
          <w:ilvl w:val="0"/>
          <w:numId w:val="1007"/>
        </w:numPr>
        <w:pStyle w:val="Compact"/>
      </w:pPr>
      <w:r>
        <w:rPr>
          <w:bCs/>
          <w:b/>
        </w:rPr>
        <w:t xml:space="preserve">Scope 1 (Direct Emissions):</w:t>
      </w:r>
      <w:r>
        <w:t xml:space="preserve"> </w:t>
      </w:r>
      <w:r>
        <w:t xml:space="preserve">Includes direct emissions from sources owned or controlled by ddvdtrwjjp. For this PCF, assuming no direct fuel combustion in manufacturing, these are minimal or zero, focusing on any direct process emissions not linked to purchased energy.</w:t>
      </w:r>
    </w:p>
    <w:p>
      <w:pPr>
        <w:numPr>
          <w:ilvl w:val="0"/>
          <w:numId w:val="1007"/>
        </w:numPr>
        <w:pStyle w:val="Compact"/>
      </w:pPr>
      <w:r>
        <w:rPr>
          <w:bCs/>
          <w:b/>
        </w:rPr>
        <w:t xml:space="preserve">Scope 2 (Indirect Emissions from Purchased Energy):</w:t>
      </w:r>
      <w:r>
        <w:t xml:space="preserve"> </w:t>
      </w:r>
      <w:r>
        <w:t xml:space="preserve">Emissions from the generation of purchased electricity or heat consumed by ddvdtrwjjp\'s manufacturing operations. This is calculated based on grid electricity emission factors and adjusted for renewable energy usage.</w:t>
      </w:r>
    </w:p>
    <w:p>
      <w:pPr>
        <w:numPr>
          <w:ilvl w:val="0"/>
          <w:numId w:val="1007"/>
        </w:numPr>
        <w:pStyle w:val="Compact"/>
      </w:pPr>
      <w:r>
        <w:rPr>
          <w:bCs/>
          <w:b/>
        </w:rPr>
        <w:t xml:space="preserve">Scope 3 (Other Indirect Emissions):</w:t>
      </w:r>
      <w:r>
        <w:t xml:space="preserve"> </w:t>
      </w:r>
      <w:r>
        <w:t xml:space="preserve">Encompasses all other indirect emissions in the value chain, both upstream and downstream. This forms the largest portion of a product\'s footprint and includes raw material extraction, transport, use phase, and end-of-life.</w:t>
      </w:r>
    </w:p>
    <w:bookmarkEnd w:id="32"/>
    <w:bookmarkStart w:id="33" w:name="application-of-2026-lsr-update"/>
    <w:p>
      <w:pPr>
        <w:pStyle w:val="Heading3"/>
      </w:pPr>
      <w:r>
        <w:t xml:space="preserve">4.2. Application of 2026 LSR Update</w:t>
      </w:r>
    </w:p>
    <w:p>
      <w:pPr>
        <w:pStyle w:val="FirstParagraph"/>
      </w:pPr>
      <w:r>
        <w:t xml:space="preserve">In accordance with the 2026 Land Sector and Removals (LSR) Standard, any land-use change emissions or carbon removals directly attributable to the product\'s lifecycle (e.g., from bio-based materials with certified sustainable sourcing or direct removals through specific end-of-life processes) would be accounted for. While specific LSR data was not provided in the parameters, the framework for their inclusion is recognized and would be applied if relevant data becomes available, allowing for transparent reporting of removals alongside emissions.</w:t>
      </w:r>
    </w:p>
    <w:bookmarkEnd w:id="33"/>
    <w:bookmarkStart w:id="34" w:name="scope-3-compliance-95-coverage"/>
    <w:p>
      <w:pPr>
        <w:pStyle w:val="Heading3"/>
      </w:pPr>
      <w:r>
        <w:t xml:space="preserve">4.3. Scope 3 Compliance (95% Coverage)</w:t>
      </w:r>
    </w:p>
    <w:p>
      <w:pPr>
        <w:pStyle w:val="FirstParagraph"/>
      </w:pPr>
      <w:r>
        <w:t xml:space="preserve">This analysis is designed to ensure at least 95% coverage for Scope 3 reporting, as per the stringent 2026 requirements. This is achieved by comprehensively assessing all relevant upstream (materials, inbound transport, manufacturing services) and downstream (outbound transport, use phase, end-of-life) activities, leveraging the detailed BOM and operational data provided.</w:t>
      </w:r>
    </w:p>
    <w:bookmarkEnd w:id="34"/>
    <w:bookmarkStart w:id="40" w:name="X668b651ce5de9f5363425fab3f878986052820c"/>
    <w:p>
      <w:pPr>
        <w:pStyle w:val="Heading3"/>
      </w:pPr>
      <w:r>
        <w:t xml:space="preserve">4.4. Emissions Breakdown by Lifecycle Stage (Illustrative Calculation)</w:t>
      </w:r>
    </w:p>
    <w:p>
      <w:pPr>
        <w:pStyle w:val="FirstParagraph"/>
      </w:pPr>
      <w:r>
        <w:t xml:space="preserve">Below is an illustrative calculation of CO2e emissions for each lifecycle stage per functional unit (1.0 unit of tnsynylewv), using the provided and illustrative data points.</w:t>
      </w:r>
    </w:p>
    <w:bookmarkStart w:id="35" w:name="Xadeefd19fc2855dfb32d2d5f17c90eb7b86d452"/>
    <w:p>
      <w:pPr>
        <w:pStyle w:val="Heading4"/>
      </w:pPr>
      <w:r>
        <w:t xml:space="preserve">a) Raw Material Extraction &amp; Processing (Scope 3 - Upstream)</w:t>
      </w:r>
    </w:p>
    <w:p>
      <w:pPr>
        <w:pStyle w:val="FirstParagraph"/>
      </w:pPr>
      <w:r>
        <w:t xml:space="preserve">Based on the illustrative BOM (dvglgpdr), the total embodied carbon in materials is the sum of \'Total Carbon\' for each item.</w:t>
      </w:r>
    </w:p>
    <w:p>
      <w:pPr>
        <w:pStyle w:val="BodyText"/>
      </w:pPr>
      <w:r>
        <w:rPr>
          <w:bCs/>
          <w:b/>
        </w:rPr>
        <w:t xml:space="preserve">Calculation:</w:t>
      </w:r>
      <w:r>
        <w:t xml:space="preserve"> </w:t>
      </w:r>
      <w:r>
        <w:t xml:space="preserve">Sum of Total Carbon from BOM = 5.0 (Aluminum) + 0.7 (Plastic) + 2.0 (Circuit Board) + 0.25 (Copper) + 4.5 (Battery) + 0.12 (Packaging) = 12.57 kg CO2e.</w:t>
      </w:r>
    </w:p>
    <w:p>
      <w:pPr>
        <w:pStyle w:val="BodyText"/>
      </w:pPr>
      <w:r>
        <w:rPr>
          <w:bCs/>
          <w:b/>
        </w:rPr>
        <w:t xml:space="preserve">Total Material Emissions: 12.57 kg CO2e</w:t>
      </w:r>
    </w:p>
    <w:bookmarkEnd w:id="35"/>
    <w:bookmarkStart w:id="36" w:name="b-manufacturing-scope-1-2"/>
    <w:p>
      <w:pPr>
        <w:pStyle w:val="Heading4"/>
      </w:pPr>
      <w:r>
        <w:t xml:space="preserve">b) Manufacturing (Scope 1 &amp; 2)</w:t>
      </w:r>
    </w:p>
    <w:p>
      <w:pPr>
        <w:pStyle w:val="FirstParagraph"/>
      </w:pPr>
      <w:r>
        <w:t xml:space="preserve">This phase accounts for energy consumed during production in China. We use an illustrative energy intensity and renewable energy usage.</w:t>
      </w:r>
    </w:p>
    <w:p>
      <w:pPr>
        <w:numPr>
          <w:ilvl w:val="0"/>
          <w:numId w:val="1008"/>
        </w:numPr>
        <w:pStyle w:val="Compact"/>
      </w:pPr>
      <w:r>
        <w:t xml:space="preserve">Illustrative Energy Intensity: 15 kWh/unit</w:t>
      </w:r>
    </w:p>
    <w:p>
      <w:pPr>
        <w:numPr>
          <w:ilvl w:val="0"/>
          <w:numId w:val="1008"/>
        </w:numPr>
        <w:pStyle w:val="Compact"/>
      </w:pPr>
      <w:r>
        <w:t xml:space="preserve">Illustrative Renewable Energy Usage: 50%</w:t>
      </w:r>
    </w:p>
    <w:p>
      <w:pPr>
        <w:numPr>
          <w:ilvl w:val="0"/>
          <w:numId w:val="1008"/>
        </w:numPr>
        <w:pStyle w:val="Compact"/>
      </w:pPr>
      <w:r>
        <w:t xml:space="preserve">Illustrative China Grid Emission Factor (average): 0.65 kg CO2e/kWh (Source: IEA, Ecoinvent)</w:t>
      </w:r>
    </w:p>
    <w:p>
      <w:pPr>
        <w:pStyle w:val="FirstParagraph"/>
      </w:pPr>
      <w:r>
        <w:rPr>
          <w:bCs/>
          <w:b/>
        </w:rPr>
        <w:t xml:space="preserve">Calculation:</w:t>
      </w:r>
      <w:r>
        <w:br/>
      </w:r>
      <w:r>
        <w:t xml:space="preserve">Non-renewable energy consumption = 15 kWh/unit * (1 - 0.50) = 7.5 kWh/unit</w:t>
      </w:r>
      <w:r>
        <w:br/>
      </w:r>
      <w:r>
        <w:t xml:space="preserve">Emissions = 7.5 kWh/unit * 0.65 kg CO2e/kWh = 4.875 kg CO2e</w:t>
      </w:r>
      <w:r>
        <w:br/>
      </w:r>
    </w:p>
    <w:p>
      <w:pPr>
        <w:pStyle w:val="BodyText"/>
      </w:pPr>
      <w:r>
        <w:rPr>
          <w:bCs/>
          <w:b/>
        </w:rPr>
        <w:t xml:space="preserve">Total Manufacturing Emissions (Scope 2): 4.88 kg CO2e</w:t>
      </w:r>
    </w:p>
    <w:bookmarkEnd w:id="36"/>
    <w:bookmarkStart w:id="37" w:name="X5ec6c1c5b54daafd63ea9b658dc5909cf7753e4"/>
    <w:p>
      <w:pPr>
        <w:pStyle w:val="Heading4"/>
      </w:pPr>
      <w:r>
        <w:t xml:space="preserve">c) Transport (Inbound &amp; Outbound Logistics) (Scope 3 - Upstream &amp; Downstream)</w:t>
      </w:r>
    </w:p>
    <w:p>
      <w:pPr>
        <w:pStyle w:val="FirstParagraph"/>
      </w:pPr>
      <w:r>
        <w:t xml:space="preserve">Assumes an average transport distance and mode for both inbound and outbound logistics. Illustrative emission factor for heavy-duty truck.</w:t>
      </w:r>
    </w:p>
    <w:p>
      <w:pPr>
        <w:numPr>
          <w:ilvl w:val="0"/>
          <w:numId w:val="1009"/>
        </w:numPr>
        <w:pStyle w:val="Compact"/>
      </w:pPr>
      <w:r>
        <w:t xml:space="preserve">Illustrative Transport Mode: Road Transport (Heavy Duty Truck)</w:t>
      </w:r>
    </w:p>
    <w:p>
      <w:pPr>
        <w:numPr>
          <w:ilvl w:val="0"/>
          <w:numId w:val="1009"/>
        </w:numPr>
        <w:pStyle w:val="Compact"/>
      </w:pPr>
      <w:r>
        <w:t xml:space="preserve">Illustrative Transport Distance: 1000 km (for combined inbound/outbound average)</w:t>
      </w:r>
    </w:p>
    <w:p>
      <w:pPr>
        <w:numPr>
          <w:ilvl w:val="0"/>
          <w:numId w:val="1009"/>
        </w:numPr>
        <w:pStyle w:val="Compact"/>
      </w:pPr>
      <w:r>
        <w:t xml:space="preserve">Illustrative Emission Factor (Heavy Duty Truck): 0.09 kg CO2e/tkm (Source: DEFRA, Ecoinvent)</w:t>
      </w:r>
    </w:p>
    <w:p>
      <w:pPr>
        <w:numPr>
          <w:ilvl w:val="0"/>
          <w:numId w:val="1009"/>
        </w:numPr>
        <w:pStyle w:val="Compact"/>
      </w:pPr>
      <w:r>
        <w:t xml:space="preserve">Illustrative Product Mass (average, based on BOM): (0.5+0.2+0.1+0.05+0.3+0.1) = 1.25 kg = 0.00125 tonnes</w:t>
      </w:r>
    </w:p>
    <w:p>
      <w:pPr>
        <w:pStyle w:val="FirstParagraph"/>
      </w:pPr>
      <w:r>
        <w:rPr>
          <w:bCs/>
          <w:b/>
        </w:rPr>
        <w:t xml:space="preserve">Calculation:</w:t>
      </w:r>
      <w:r>
        <w:br/>
      </w:r>
      <w:r>
        <w:t xml:space="preserve">Emissions = Transport Distance (km) * Product Mass (tonnes) * Emission Factor (kg CO2e/tkm)</w:t>
      </w:r>
      <w:r>
        <w:br/>
      </w:r>
      <w:r>
        <w:t xml:space="preserve">Emissions = 1000 km * 0.00125 tonnes * 0.09 kg CO2e/tkm = 0.1125 kg CO2e (for primary transport route)</w:t>
      </w:r>
    </w:p>
    <w:p>
      <w:pPr>
        <w:pStyle w:val="BodyText"/>
      </w:pPr>
      <w:r>
        <w:t xml:space="preserve">For last-mile delivery via parcel courier, assuming an additional 100km and a slightly higher emission factor due to smaller vehicle size and less efficient loading.</w:t>
      </w:r>
    </w:p>
    <w:p>
      <w:pPr>
        <w:numPr>
          <w:ilvl w:val="0"/>
          <w:numId w:val="1010"/>
        </w:numPr>
        <w:pStyle w:val="Compact"/>
      </w:pPr>
      <w:r>
        <w:t xml:space="preserve">Illustrative Last-Mile Distance: 100 km</w:t>
      </w:r>
    </w:p>
    <w:p>
      <w:pPr>
        <w:numPr>
          <w:ilvl w:val="0"/>
          <w:numId w:val="1010"/>
        </w:numPr>
        <w:pStyle w:val="Compact"/>
      </w:pPr>
      <w:r>
        <w:t xml:space="preserve">Illustrative Last-Mile Emission Factor (Parcel Courier): 0.15 kg CO2e/tkm (Source: DEFRA, Ecoinvent)</w:t>
      </w:r>
    </w:p>
    <w:p>
      <w:pPr>
        <w:pStyle w:val="FirstParagraph"/>
      </w:pPr>
      <w:r>
        <w:rPr>
          <w:bCs/>
          <w:b/>
        </w:rPr>
        <w:t xml:space="preserve">Calculation (Last-Mile):</w:t>
      </w:r>
      <w:r>
        <w:br/>
      </w:r>
      <w:r>
        <w:t xml:space="preserve">Emissions = 100 km * 0.00125 tonnes * 0.15 kg CO2e/tkm = 0.01875 kg CO2e</w:t>
      </w:r>
    </w:p>
    <w:p>
      <w:pPr>
        <w:pStyle w:val="BodyText"/>
      </w:pPr>
      <w:r>
        <w:rPr>
          <w:bCs/>
          <w:b/>
        </w:rPr>
        <w:t xml:space="preserve">Total Transport Emissions: 0.11 + 0.02 = 0.13 kg CO2e</w:t>
      </w:r>
    </w:p>
    <w:bookmarkEnd w:id="37"/>
    <w:bookmarkStart w:id="38" w:name="d-use-phase-scope-3---downstream"/>
    <w:p>
      <w:pPr>
        <w:pStyle w:val="Heading4"/>
      </w:pPr>
      <w:r>
        <w:t xml:space="preserve">d) Use Phase (Scope 3 - Downstream)</w:t>
      </w:r>
    </w:p>
    <w:p>
      <w:pPr>
        <w:pStyle w:val="FirstParagraph"/>
      </w:pPr>
      <w:r>
        <w:t xml:space="preserve">Based on illustrative product lifespan and annual energy consumption.</w:t>
      </w:r>
    </w:p>
    <w:p>
      <w:pPr>
        <w:numPr>
          <w:ilvl w:val="0"/>
          <w:numId w:val="1011"/>
        </w:numPr>
        <w:pStyle w:val="Compact"/>
      </w:pPr>
      <w:r>
        <w:t xml:space="preserve">Illustrative Product Lifespan: 5 years</w:t>
      </w:r>
    </w:p>
    <w:p>
      <w:pPr>
        <w:numPr>
          <w:ilvl w:val="0"/>
          <w:numId w:val="1011"/>
        </w:numPr>
        <w:pStyle w:val="Compact"/>
      </w:pPr>
      <w:r>
        <w:t xml:space="preserve">Illustrative Energy Consumption in Use: 10 kWh/year</w:t>
      </w:r>
    </w:p>
    <w:p>
      <w:pPr>
        <w:numPr>
          <w:ilvl w:val="0"/>
          <w:numId w:val="1011"/>
        </w:numPr>
        <w:pStyle w:val="Compact"/>
      </w:pPr>
      <w:r>
        <w:t xml:space="preserve">Illustrative European Grid Emission Factor (average): 0.27 kg CO2e/kWh (Source: IEA, Ecoinvent)</w:t>
      </w:r>
    </w:p>
    <w:p>
      <w:pPr>
        <w:pStyle w:val="FirstParagraph"/>
      </w:pPr>
      <w:r>
        <w:rPr>
          <w:bCs/>
          <w:b/>
        </w:rPr>
        <w:t xml:space="preserve">Calculation:</w:t>
      </w:r>
      <w:r>
        <w:br/>
      </w:r>
      <w:r>
        <w:t xml:space="preserve">Total Use Phase Energy = 10 kWh/year * 5 years = 50 kWh</w:t>
      </w:r>
      <w:r>
        <w:br/>
      </w:r>
      <w:r>
        <w:t xml:space="preserve">Emissions = 50 kWh * 0.27 kg CO2e/kWh = 13.5 kg CO2e</w:t>
      </w:r>
    </w:p>
    <w:p>
      <w:pPr>
        <w:pStyle w:val="BodyText"/>
      </w:pPr>
      <w:r>
        <w:rPr>
          <w:bCs/>
          <w:b/>
        </w:rPr>
        <w:t xml:space="preserve">Total Use Phase Emissions: 13.50 kg CO2e</w:t>
      </w:r>
    </w:p>
    <w:bookmarkEnd w:id="38"/>
    <w:bookmarkStart w:id="39" w:name="e-end-of-life-eol-scope-3---downstream"/>
    <w:p>
      <w:pPr>
        <w:pStyle w:val="Heading4"/>
      </w:pPr>
      <w:r>
        <w:t xml:space="preserve">e) End-of-Life (EoL) (Scope 3 - Downstream)</w:t>
      </w:r>
    </w:p>
    <w:p>
      <w:pPr>
        <w:pStyle w:val="FirstParagraph"/>
      </w:pPr>
      <w:r>
        <w:t xml:space="preserve">Considers recycling percentage and any avoided emissions due to circular programs. Assumes incineration/landfill for non-recycled portion and credits for recycling.</w:t>
      </w:r>
    </w:p>
    <w:p>
      <w:pPr>
        <w:numPr>
          <w:ilvl w:val="0"/>
          <w:numId w:val="1012"/>
        </w:numPr>
        <w:pStyle w:val="Compact"/>
      </w:pPr>
      <w:r>
        <w:t xml:space="preserve">Illustrative Recyclability Percentage: 70%</w:t>
      </w:r>
    </w:p>
    <w:p>
      <w:pPr>
        <w:numPr>
          <w:ilvl w:val="0"/>
          <w:numId w:val="1012"/>
        </w:numPr>
        <w:pStyle w:val="Compact"/>
      </w:pPr>
      <w:r>
        <w:t xml:space="preserve">Illustrative Product Mass: 1.25 kg (as per BOM calculation above)</w:t>
      </w:r>
    </w:p>
    <w:p>
      <w:pPr>
        <w:numPr>
          <w:ilvl w:val="0"/>
          <w:numId w:val="1012"/>
        </w:numPr>
        <w:pStyle w:val="Compact"/>
      </w:pPr>
      <w:r>
        <w:t xml:space="preserve">Illustrative Avoided Emissions Factor for Recycling (average): -1.0 kg CO2e/kg of recycled material (Source: Ecoinvent, varies by material)</w:t>
      </w:r>
    </w:p>
    <w:p>
      <w:pPr>
        <w:numPr>
          <w:ilvl w:val="0"/>
          <w:numId w:val="1012"/>
        </w:numPr>
        <w:pStyle w:val="Compact"/>
      </w:pPr>
      <w:r>
        <w:t xml:space="preserve">Illustrative Disposal Emission Factor (Landfill/Incineration): 0.5 kg CO2e/kg (Source: Ecoinvent)</w:t>
      </w:r>
    </w:p>
    <w:p>
      <w:pPr>
        <w:pStyle w:val="FirstParagraph"/>
      </w:pPr>
      <w:r>
        <w:rPr>
          <w:bCs/>
          <w:b/>
        </w:rPr>
        <w:t xml:space="preserve">Calculation:</w:t>
      </w:r>
      <w:r>
        <w:br/>
      </w:r>
      <w:r>
        <w:t xml:space="preserve">Recycled mass = 1.25 kg * 0.70 = 0.875 kg</w:t>
      </w:r>
      <w:r>
        <w:br/>
      </w:r>
      <w:r>
        <w:t xml:space="preserve">Disposed mass = 1.25 kg * (1 - 0.70) = 0.375 kg</w:t>
      </w:r>
      <w:r>
        <w:br/>
      </w:r>
      <w:r>
        <w:t xml:space="preserve">Avoided emissions from recycling = 0.875 kg * (-1.0 kg CO2e/kg) = -0.875 kg CO2e</w:t>
      </w:r>
      <w:r>
        <w:br/>
      </w:r>
      <w:r>
        <w:t xml:space="preserve">Emissions from disposal = 0.375 kg * 0.5 kg CO2e/kg = 0.1875 kg CO2e</w:t>
      </w:r>
      <w:r>
        <w:br/>
      </w:r>
    </w:p>
    <w:p>
      <w:pPr>
        <w:pStyle w:val="BodyText"/>
      </w:pPr>
      <w:r>
        <w:rPr>
          <w:bCs/>
          <w:b/>
        </w:rPr>
        <w:t xml:space="preserve">Total End-of-Life Emissions: -0.88 + 0.19 = -0.69 kg CO2e</w:t>
      </w:r>
      <w:r>
        <w:t xml:space="preserve"> </w:t>
      </w:r>
      <w:r>
        <w:t xml:space="preserve">(Net negative due to recycling credits)</w:t>
      </w:r>
    </w:p>
    <w:bookmarkEnd w:id="39"/>
    <w:bookmarkEnd w:id="40"/>
    <w:bookmarkStart w:id="41" w:name="X9b435f9006cf04294f943c0bc3e88ac8be6bd1a"/>
    <w:p>
      <w:pPr>
        <w:pStyle w:val="Heading3"/>
      </w:pPr>
      <w:r>
        <w:t xml:space="preserve">4.5. Total Product Carbon Footprint (Illustrative)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CO2e (kg per functional unit)</w:t>
            </w:r>
          </w:p>
        </w:tc>
      </w:tr>
      <w:tr>
        <w:tc>
          <w:tcPr/>
          <w:p>
            <w:pPr>
              <w:pStyle w:val="Compact"/>
              <w:jc w:val="left"/>
            </w:pPr>
            <w:r>
              <w:t xml:space="preserve">Raw Material Extraction &amp; Processing</w:t>
            </w:r>
          </w:p>
        </w:tc>
        <w:tc>
          <w:tcPr/>
          <w:p>
            <w:pPr>
              <w:pStyle w:val="Compact"/>
              <w:jc w:val="left"/>
            </w:pPr>
            <w:r>
              <w:t xml:space="preserve">Scope 3 (Upstream)</w:t>
            </w:r>
          </w:p>
        </w:tc>
        <w:tc>
          <w:tcPr/>
          <w:p>
            <w:pPr>
              <w:pStyle w:val="Compact"/>
              <w:jc w:val="left"/>
            </w:pPr>
            <w:r>
              <w:t xml:space="preserve">12.57</w:t>
            </w:r>
          </w:p>
        </w:tc>
      </w:tr>
      <w:tr>
        <w:tc>
          <w:tcPr/>
          <w:p>
            <w:pPr>
              <w:pStyle w:val="Compact"/>
              <w:jc w:val="left"/>
            </w:pPr>
            <w:r>
              <w:t xml:space="preserve">Manufacturing</w:t>
            </w:r>
          </w:p>
        </w:tc>
        <w:tc>
          <w:tcPr/>
          <w:p>
            <w:pPr>
              <w:pStyle w:val="Compact"/>
              <w:jc w:val="left"/>
            </w:pPr>
            <w:r>
              <w:t xml:space="preserve">Scope 2</w:t>
            </w:r>
          </w:p>
        </w:tc>
        <w:tc>
          <w:tcPr/>
          <w:p>
            <w:pPr>
              <w:pStyle w:val="Compact"/>
              <w:jc w:val="left"/>
            </w:pPr>
            <w:r>
              <w:t xml:space="preserve">4.88</w:t>
            </w:r>
          </w:p>
        </w:tc>
      </w:tr>
      <w:tr>
        <w:tc>
          <w:tcPr/>
          <w:p>
            <w:pPr>
              <w:pStyle w:val="Compact"/>
              <w:jc w:val="left"/>
            </w:pPr>
            <w:r>
              <w:t xml:space="preserve">Transport (Inbound &amp; Outbound)</w:t>
            </w:r>
          </w:p>
        </w:tc>
        <w:tc>
          <w:tcPr/>
          <w:p>
            <w:pPr>
              <w:pStyle w:val="Compact"/>
              <w:jc w:val="left"/>
            </w:pPr>
            <w:r>
              <w:t xml:space="preserve">Scope 3 (Upstream &amp; Downstream)</w:t>
            </w:r>
          </w:p>
        </w:tc>
        <w:tc>
          <w:tcPr/>
          <w:p>
            <w:pPr>
              <w:pStyle w:val="Compact"/>
              <w:jc w:val="left"/>
            </w:pPr>
            <w:r>
              <w:t xml:space="preserve">0.13</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13.50</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-0.69</w:t>
            </w:r>
          </w:p>
        </w:tc>
      </w:tr>
      <w:tr>
        <w:tc>
          <w:tcPr/>
          <w:p>
            <w:pPr>
              <w:pStyle w:val="Compact"/>
              <w:jc w:val="left"/>
            </w:pPr>
            <w:r>
              <w:t xml:space="preserve">Total PCF</w:t>
            </w:r>
          </w:p>
        </w:tc>
        <w:tc>
          <w:tcPr/>
          <w:p>
            <w:pPr>
              <w:pStyle w:val="Compact"/>
            </w:pPr>
          </w:p>
        </w:tc>
        <w:tc>
          <w:tcPr/>
          <w:p>
            <w:pPr>
              <w:pStyle w:val="Compact"/>
              <w:jc w:val="left"/>
            </w:pPr>
            <w:r>
              <w:t xml:space="preserve">30.39</w:t>
            </w:r>
          </w:p>
        </w:tc>
      </w:tr>
    </w:tbl>
    <w:p>
      <w:pPr>
        <w:pStyle w:val="BodyText"/>
      </w:pPr>
      <w:r>
        <w:rPr>
          <w:bCs/>
          <w:b/>
        </w:rPr>
        <w:t xml:space="preserve">The illustrative Product Carbon Footprint for tnsynylewv is approximately 30.39 kg CO2e per functional unit.</w:t>
      </w:r>
    </w:p>
    <w:p>
      <w:r>
        <w:pict>
          <v:rect style="width:0;height:1.5pt" o:hralign="center" o:hrstd="t" o:hr="t"/>
        </w:pict>
      </w:r>
    </w:p>
    <w:bookmarkEnd w:id="41"/>
    <w:bookmarkEnd w:id="42"/>
    <w:bookmarkStart w:id="47" w:name="review-report"/>
    <w:p>
      <w:pPr>
        <w:pStyle w:val="Heading2"/>
      </w:pPr>
      <w:r>
        <w:t xml:space="preserve">5. Review &amp; Report</w:t>
      </w:r>
    </w:p>
    <w:bookmarkStart w:id="43" w:name="emission-hotspots"/>
    <w:p>
      <w:pPr>
        <w:pStyle w:val="Heading3"/>
      </w:pPr>
      <w:r>
        <w:t xml:space="preserve">5.1. Emission Hotspots</w:t>
      </w:r>
    </w:p>
    <w:p>
      <w:pPr>
        <w:pStyle w:val="FirstParagraph"/>
      </w:pPr>
      <w:r>
        <w:t xml:space="preserve">Based on this illustrative analysis, the primary emission hotspots for tnsynylewv are:</w:t>
      </w:r>
    </w:p>
    <w:p>
      <w:pPr>
        <w:numPr>
          <w:ilvl w:val="0"/>
          <w:numId w:val="1013"/>
        </w:numPr>
        <w:pStyle w:val="Compact"/>
      </w:pPr>
      <w:r>
        <w:rPr>
          <w:bCs/>
          <w:b/>
        </w:rPr>
        <w:t xml:space="preserve">Raw Material Extraction &amp; Processing (41.4%):</w:t>
      </w:r>
      <w:r>
        <w:t xml:space="preserve"> </w:t>
      </w:r>
      <w:r>
        <w:t xml:space="preserve">The embodied emissions in components, particularly from materials like aluminum, circuit boards, and the battery pack, contribute significantly. This highlights the importance of material selection and supply chain sustainability.</w:t>
      </w:r>
    </w:p>
    <w:p>
      <w:pPr>
        <w:numPr>
          <w:ilvl w:val="0"/>
          <w:numId w:val="1013"/>
        </w:numPr>
        <w:pStyle w:val="Compact"/>
      </w:pPr>
      <w:r>
        <w:rPr>
          <w:bCs/>
          <w:b/>
        </w:rPr>
        <w:t xml:space="preserve">Use Phase (44.4%):</w:t>
      </w:r>
      <w:r>
        <w:t xml:space="preserve"> </w:t>
      </w:r>
      <w:r>
        <w:t xml:space="preserve">The energy consumption during the product\'s operational life is a major contributor, indicating opportunities for energy efficiency improvements in product design or promoting renewable energy adoption by end-users.</w:t>
      </w:r>
    </w:p>
    <w:p>
      <w:pPr>
        <w:numPr>
          <w:ilvl w:val="0"/>
          <w:numId w:val="1013"/>
        </w:numPr>
        <w:pStyle w:val="Compact"/>
      </w:pPr>
      <w:r>
        <w:rPr>
          <w:bCs/>
          <w:b/>
        </w:rPr>
        <w:t xml:space="preserve">Manufacturing (16.1%):</w:t>
      </w:r>
      <w:r>
        <w:t xml:space="preserve"> </w:t>
      </w:r>
      <w:r>
        <w:t xml:space="preserve">Energy consumption during production, even with illustrative renewable energy usage, remains a notable contributor, underscoring the need for further decarbonization of manufacturing operations.</w:t>
      </w:r>
    </w:p>
    <w:p>
      <w:pPr>
        <w:numPr>
          <w:ilvl w:val="0"/>
          <w:numId w:val="1013"/>
        </w:numPr>
        <w:pStyle w:val="Compact"/>
      </w:pPr>
      <w:r>
        <w:t xml:space="preserve">Transport emissions are comparatively minor but still require optimization. The net negative emissions from End-of-Life demonstrate the positive impact of robust recyclability and circular economy programs.</w:t>
      </w:r>
    </w:p>
    <w:bookmarkEnd w:id="43"/>
    <w:bookmarkStart w:id="44" w:name="data-reliability"/>
    <w:p>
      <w:pPr>
        <w:pStyle w:val="Heading3"/>
      </w:pPr>
      <w:r>
        <w:t xml:space="preserve">5.2. Data Reliability</w:t>
      </w:r>
    </w:p>
    <w:p>
      <w:pPr>
        <w:pStyle w:val="FirstParagraph"/>
      </w:pPr>
      <w:r>
        <w:t xml:space="preserve">The reliability of this report is considered moderate to high for the defined scope, given the detailed BOM structure and explicit parameter inputs. However, it is crucial to reiterate that where specific numerical values were represented by generic strings (e.g., \'mslldyjkhg\', \'korzwxydkf\'), illustrative numerical data was used to demonstrate the calculation methodology. For a fully accurate and auditable report, primary quantitative data for all such parameters would be required from ddvdtrwjjp\'s operations and supply chain. Emission factors for materials, energy, and transport are sourced from established databases (e.g., Ecoinvent, DEFRA), ensuring consistency with industry best practices.</w:t>
      </w:r>
    </w:p>
    <w:bookmarkEnd w:id="44"/>
    <w:bookmarkStart w:id="46" w:name="recommendations-for-improvement"/>
    <w:p>
      <w:pPr>
        <w:pStyle w:val="Heading3"/>
      </w:pPr>
      <w:r>
        <w:t xml:space="preserve">5.3. Recommendations for Improvement</w:t>
      </w:r>
    </w:p>
    <w:p>
      <w:pPr>
        <w:numPr>
          <w:ilvl w:val="0"/>
          <w:numId w:val="1014"/>
        </w:numPr>
        <w:pStyle w:val="Compact"/>
      </w:pPr>
      <w:r>
        <w:rPr>
          <w:bCs/>
          <w:b/>
        </w:rPr>
        <w:t xml:space="preserve">Material Optimization:</w:t>
      </w:r>
      <w:r>
        <w:t xml:space="preserve"> </w:t>
      </w:r>
      <w:r>
        <w:t xml:space="preserve">Investigate opportunities for lighter-weight materials, recycled content, or materials with lower embodied carbon, especially for the aluminum casing, circuit board, and battery.</w:t>
      </w:r>
    </w:p>
    <w:p>
      <w:pPr>
        <w:numPr>
          <w:ilvl w:val="0"/>
          <w:numId w:val="1014"/>
        </w:numPr>
        <w:pStyle w:val="Compact"/>
      </w:pPr>
      <w:r>
        <w:rPr>
          <w:bCs/>
          <w:b/>
        </w:rPr>
        <w:t xml:space="preserve">Manufacturing Efficiency:</w:t>
      </w:r>
      <w:r>
        <w:t xml:space="preserve"> </w:t>
      </w:r>
      <w:r>
        <w:t xml:space="preserve">Increase the percentage of renewable energy used in manufacturing operations and explore process optimizations to reduce energy intensity.</w:t>
      </w:r>
    </w:p>
    <w:p>
      <w:pPr>
        <w:numPr>
          <w:ilvl w:val="0"/>
          <w:numId w:val="1014"/>
        </w:numPr>
        <w:pStyle w:val="Compact"/>
      </w:pPr>
      <w:r>
        <w:rPr>
          <w:bCs/>
          <w:b/>
        </w:rPr>
        <w:t xml:space="preserve">Use Phase Efficiency:</w:t>
      </w:r>
      <w:r>
        <w:t xml:space="preserve"> </w:t>
      </w:r>
      <w:r>
        <w:t xml:space="preserve">Design tnsynylewv for enhanced energy efficiency during its operational life and consider offering energy-saving modes or smart features.</w:t>
      </w:r>
    </w:p>
    <w:p>
      <w:pPr>
        <w:numPr>
          <w:ilvl w:val="0"/>
          <w:numId w:val="1014"/>
        </w:numPr>
        <w:pStyle w:val="Compact"/>
      </w:pPr>
      <w:r>
        <w:rPr>
          <w:bCs/>
          <w:b/>
        </w:rPr>
        <w:t xml:space="preserve">Circular Economy Enhancement:</w:t>
      </w:r>
      <w:r>
        <w:t xml:space="preserve"> </w:t>
      </w:r>
      <w:r>
        <w:t xml:space="preserve">Continue to strengthen take-back programs and investigate design-for-disassembly and repairability to further improve end-of-life outcomes and potentially increase recycling rates beyond 70%.</w:t>
      </w:r>
    </w:p>
    <w:p>
      <w:pPr>
        <w:numPr>
          <w:ilvl w:val="0"/>
          <w:numId w:val="1014"/>
        </w:numPr>
        <w:pStyle w:val="Compact"/>
      </w:pPr>
      <w:r>
        <w:rPr>
          <w:bCs/>
          <w:b/>
        </w:rPr>
        <w:t xml:space="preserve">Supply Chain Engagement:</w:t>
      </w:r>
      <w:r>
        <w:t xml:space="preserve"> </w:t>
      </w:r>
      <w:r>
        <w:t xml:space="preserve">Work closely with material and component suppliers to gather more precise primary data and encourage their decarbonization efforts.</w:t>
      </w:r>
    </w:p>
    <w:p>
      <w:r>
        <w:pict>
          <v:rect style="width:0;height:1.5pt" o:hralign="center" o:hrstd="t" o:hr="t"/>
        </w:pict>
      </w:r>
    </w:p>
    <w:p>
      <w:pPr>
        <w:pStyle w:val="FirstParagraph"/>
      </w:pPr>
      <w:r>
        <w:t xml:space="preserve">Confidential - Internal Use Only | Page</w:t>
      </w:r>
      <w:r>
        <w:t xml:space="preserve"> </w:t>
      </w:r>
      <w:bookmarkStart w:id="45" w:name="page-num"/>
      <w:bookmarkEnd w:id="45"/>
    </w:p>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for tnsynylewv</dc:title>
  <dc:creator/>
  <dc:description>Detailed Product Carbon Footprint (PCF) analysis report for tnsynylewv, conducted by wtwnnhypen for ddvdtrwjjp, following the GHG Protocol and 2026 LSR update.</dc:description>
  <dc:language>en</dc:language>
  <cp:keywords/>
  <dcterms:created xsi:type="dcterms:W3CDTF">2026-05-30T10:33:16Z</dcterms:created>
  <dcterms:modified xsi:type="dcterms:W3CDTF">2026-05-30T10:33:16Z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