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tgsmvizqil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tgsmvizqil</w:t>
      </w:r>
    </w:p>
    <w:p>
      <w:pPr>
        <w:pStyle w:val="BodyText"/>
      </w:pPr>
      <w:r>
        <w:t xml:space="preserve">Company: hwfhmqsuwn</w:t>
      </w:r>
    </w:p>
    <w:p>
      <w:pPr>
        <w:pStyle w:val="BodyText"/>
      </w:pPr>
      <w:r>
        <w:t xml:space="preserve">Senior Sustainability Consultant: loktojpfme</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specific conditions and evolving methodologies may lead to variations in results. This analysis provides a high-level assessment for strategic decision-making.</w:t>
      </w:r>
    </w:p>
    <w:bookmarkEnd w:id="20"/>
    <w:bookmarkStart w:id="43" w:name="Xdc150b29262b0cd16da596b7c08a4c2c77035fa"/>
    <w:p>
      <w:pPr>
        <w:pStyle w:val="Heading1"/>
      </w:pPr>
      <w:r>
        <w:t xml:space="preserve">Product Carbon Footprint Analysis for tgsmvizqil</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tgsmvizqil</w:t>
      </w:r>
      <w:r>
        <w:t xml:space="preserve">, manufactured by</w:t>
      </w:r>
      <w:r>
        <w:t xml:space="preserve"> </w:t>
      </w:r>
      <w:r>
        <w:rPr>
          <w:bCs/>
          <w:b/>
        </w:rPr>
        <w:t xml:space="preserve">hwfhmqsuwn</w:t>
      </w:r>
      <w:r>
        <w:t xml:space="preserve">. Conducted by Senior Sustainability Consultant</w:t>
      </w:r>
      <w:r>
        <w:t xml:space="preserve"> </w:t>
      </w:r>
      <w:r>
        <w:rPr>
          <w:bCs/>
          <w:b/>
        </w:rPr>
        <w:t xml:space="preserve">loktojpfme</w:t>
      </w:r>
      <w:r>
        <w:t xml:space="preserve">, this analysis adheres strictly to the GHG Protocol accounting standard, including the 2026 Land Sector and Removals (LSR) Update and ensuring at least 95% Scope 3 coverage. The assessment covers the full lifecycle from raw material acquisition to end-of-life, providing a comprehensive understanding of the product\'s environmental impact. Key emission hotspots have been identified to guide future decarbonization strategies.</w:t>
      </w:r>
    </w:p>
    <w:p>
      <w:r>
        <w:pict>
          <v:rect style="width:0;height:1.5pt" o:hralign="center" o:hrstd="t" o:hr="t"/>
        </w:pict>
      </w:r>
    </w:p>
    <w:bookmarkEnd w:id="21"/>
    <w:bookmarkStart w:id="27" w:name="methodology"/>
    <w:p>
      <w:pPr>
        <w:pStyle w:val="Heading2"/>
      </w:pPr>
      <w:r>
        <w:t xml:space="preserve">2. Methodology</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tgsmvizqil. This unit defines the quantified performance of the product for which the PCF is calculated, ensuring a consistent basis for comparison.</w:t>
      </w:r>
    </w:p>
    <w:p>
      <w:pPr>
        <w:numPr>
          <w:ilvl w:val="0"/>
          <w:numId w:val="1001"/>
        </w:numPr>
        <w:pStyle w:val="Compact"/>
      </w:pPr>
      <w:r>
        <w:rPr>
          <w:bCs/>
          <w:b/>
        </w:rPr>
        <w:t xml:space="preserve">System Boundary:</w:t>
      </w:r>
      <w:r>
        <w:t xml:space="preserve"> </w:t>
      </w:r>
      <w:r>
        <w:t xml:space="preserve">factory_gate. This boundary typically includes raw material extraction, manufacturing, and transport to the factory gate. However, for a complete lifecycle assessment, this report expands beyond the strict "factory_gate" definition to include upstream and downstream Scope 3 emissions in line with GHG Protocol requirements for comprehensive PCF.</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primary regional emission factors used for manufacturing and supply chain logistics.</w:t>
      </w:r>
    </w:p>
    <w:p>
      <w:pPr>
        <w:numPr>
          <w:ilvl w:val="0"/>
          <w:numId w:val="1001"/>
        </w:numPr>
        <w:pStyle w:val="Compact"/>
      </w:pPr>
      <w:r>
        <w:rPr>
          <w:bCs/>
          <w:b/>
        </w:rPr>
        <w:t xml:space="preserve">Accounting Standard:</w:t>
      </w:r>
      <w:r>
        <w:t xml:space="preserve"> </w:t>
      </w:r>
      <w:r>
        <w:t xml:space="preserve">GHG Protocol. This standard provides a comprehensive, global, standardized framework for measuring and managing greenhouse gas emissions. The analysis aligns with the Corporate Value Chain (Scope 3) Standard for comprehensive supply chain emissions.</w:t>
      </w:r>
    </w:p>
    <w:p>
      <w:pPr>
        <w:numPr>
          <w:ilvl w:val="0"/>
          <w:numId w:val="1001"/>
        </w:numPr>
        <w:pStyle w:val="Compact"/>
      </w:pPr>
      <w:r>
        <w:rPr>
          <w:bCs/>
          <w:b/>
        </w:rPr>
        <w:t xml:space="preserve">Allocation:</w:t>
      </w:r>
      <w:r>
        <w:t xml:space="preserve"> </w:t>
      </w:r>
      <w:r>
        <w:t xml:space="preserve">Emissions are directly allocated to the functional unit. For shared processes, where applicable, allocation is based on relevant physical parameters (e.g., mass, energy content).</w:t>
      </w:r>
    </w:p>
    <w:bookmarkEnd w:id="22"/>
    <w:bookmarkStart w:id="23" w:name="map-lifecycle-lci-inventory-stages"/>
    <w:p>
      <w:pPr>
        <w:pStyle w:val="Heading3"/>
      </w:pPr>
      <w:r>
        <w:t xml:space="preserve">2.2. Map Lifecycle (LCI Inventory Stages)</w:t>
      </w:r>
    </w:p>
    <w:p>
      <w:pPr>
        <w:pStyle w:val="FirstParagraph"/>
      </w:pPr>
      <w:r>
        <w:t xml:space="preserve">The lifecycle of tgsmvizqil is mapped across the following stages, encompassing all relevant GHG emissions:</w:t>
      </w:r>
    </w:p>
    <w:p>
      <w:pPr>
        <w:numPr>
          <w:ilvl w:val="0"/>
          <w:numId w:val="1002"/>
        </w:numPr>
        <w:pStyle w:val="Compact"/>
      </w:pPr>
      <w:r>
        <w:rPr>
          <w:bCs/>
          <w:b/>
        </w:rPr>
        <w:t xml:space="preserve">Raw Material Acquisition &amp; Processing:</w:t>
      </w:r>
      <w:r>
        <w:t xml:space="preserve"> </w:t>
      </w:r>
      <w:r>
        <w:t xml:space="preserve">Emissions associated with extracting, producing, and processing all input materials as detailed in the Bill of Materials (BOM). (GHG Protocol Scope 3, Category 1: Purchased Goods and Services)</w:t>
      </w:r>
    </w:p>
    <w:p>
      <w:pPr>
        <w:numPr>
          <w:ilvl w:val="0"/>
          <w:numId w:val="1002"/>
        </w:numPr>
        <w:pStyle w:val="Compact"/>
      </w:pPr>
      <w:r>
        <w:rPr>
          <w:bCs/>
          <w:b/>
        </w:rPr>
        <w:t xml:space="preserve">Manufacturing:</w:t>
      </w:r>
      <w:r>
        <w:t xml:space="preserve"> </w:t>
      </w:r>
      <w:r>
        <w:t xml:space="preserve">Emissions from the energy consumption and direct processes at hwfhmqsuwn\'s production facilities. (GHG Protocol Scope 1: Direct Emissions, Scope 2: Energy Indirect Emissions)</w:t>
      </w:r>
    </w:p>
    <w:p>
      <w:pPr>
        <w:numPr>
          <w:ilvl w:val="0"/>
          <w:numId w:val="1002"/>
        </w:numPr>
        <w:pStyle w:val="Compact"/>
      </w:pPr>
      <w:r>
        <w:rPr>
          <w:bCs/>
          <w:b/>
        </w:rPr>
        <w:t xml:space="preserve">Transport (Inbound &amp; Outbound):</w:t>
      </w:r>
      <w:r>
        <w:t xml:space="preserve"> </w:t>
      </w:r>
      <w:r>
        <w:t xml:space="preserve">Emissions from the transportation of raw materials to the manufacturing facility (inbound) and finished products to the customer/distribution hub (outbound), including last-mile delivery. (GHG Protocol Scope 3, Category 4: Upstream Transportation and Distribution; Category 9: Downstream Transportation and Distribution)</w:t>
      </w:r>
    </w:p>
    <w:p>
      <w:pPr>
        <w:numPr>
          <w:ilvl w:val="0"/>
          <w:numId w:val="1002"/>
        </w:numPr>
        <w:pStyle w:val="Compact"/>
      </w:pPr>
      <w:r>
        <w:rPr>
          <w:bCs/>
          <w:b/>
        </w:rPr>
        <w:t xml:space="preserve">Use Phase:</w:t>
      </w:r>
      <w:r>
        <w:t xml:space="preserve"> </w:t>
      </w:r>
      <w:r>
        <w:t xml:space="preserve">Emissions resulting from the product\'s energy consumption during its lifespan by the end-user. (GHG Protocol Scope 3, Category 11: Use of Sold Products)</w:t>
      </w:r>
    </w:p>
    <w:p>
      <w:pPr>
        <w:numPr>
          <w:ilvl w:val="0"/>
          <w:numId w:val="1002"/>
        </w:numPr>
        <w:pStyle w:val="Compact"/>
      </w:pPr>
      <w:r>
        <w:rPr>
          <w:bCs/>
          <w:b/>
        </w:rPr>
        <w:t xml:space="preserve">End-of-Life (EoL):</w:t>
      </w:r>
      <w:r>
        <w:t xml:space="preserve"> </w:t>
      </w:r>
      <w:r>
        <w:t xml:space="preserve">Emissions or avoided emissions associated with the disposal or recycling of the product at the end of its useful life. (GHG Protocol Scope 3, Category 12: End-of-Life Treatment of Sold Products)</w:t>
      </w:r>
    </w:p>
    <w:bookmarkEnd w:id="23"/>
    <w:bookmarkStart w:id="24" w:name="Xb57f50a89bf1f3f1837369be949d9d60d6c1272"/>
    <w:p>
      <w:pPr>
        <w:pStyle w:val="Heading3"/>
      </w:pPr>
      <w:r>
        <w:t xml:space="preserve">2.3. Collect Data (Primary/Secondary Data Points)</w:t>
      </w:r>
    </w:p>
    <w:p>
      <w:pPr>
        <w:numPr>
          <w:ilvl w:val="0"/>
          <w:numId w:val="1003"/>
        </w:numPr>
        <w:pStyle w:val="Compact"/>
      </w:pPr>
      <w:r>
        <w:rPr>
          <w:bCs/>
          <w:b/>
        </w:rPr>
        <w:t xml:space="preserve">Primary Data:</w:t>
      </w:r>
      <w:r>
        <w:t xml:space="preserve"> </w:t>
      </w:r>
      <w:r>
        <w:t xml:space="preserve">Provided detailed Bill of Materials (BOM: jjrgvxji), specific transport distances (wvmnekymtw), energy intensity (kmuovvxrkr), renewable energy usage (pmjlemqykp), product lifespan (qjmqwkphpm), energy consumption in use (pzloolinxh), recyclability percentage (rlrvmywevu), and information on circular/take-back programs (yxrkjesedi).</w:t>
      </w:r>
    </w:p>
    <w:p>
      <w:pPr>
        <w:numPr>
          <w:ilvl w:val="0"/>
          <w:numId w:val="1003"/>
        </w:numPr>
        <w:pStyle w:val="Compact"/>
      </w:pPr>
      <w:r>
        <w:rPr>
          <w:bCs/>
          <w:b/>
        </w:rPr>
        <w:t xml:space="preserve">Secondary Data:</w:t>
      </w:r>
      <w:r>
        <w:t xml:space="preserve"> </w:t>
      </w:r>
      <w:r>
        <w:t xml:space="preserve">Industry-standard emission factors were sourced from reputable databases like DEFRA, Ecoinvent, and other peer-reviewed publications.</w:t>
      </w:r>
    </w:p>
    <w:p>
      <w:pPr>
        <w:numPr>
          <w:ilvl w:val="1"/>
          <w:numId w:val="1004"/>
        </w:numPr>
        <w:pStyle w:val="Compact"/>
      </w:pPr>
      <w:r>
        <w:t xml:space="preserve">China Electricity Grid Emission Factor (for production): 0.577 kg CO2e/kWh.</w:t>
      </w:r>
    </w:p>
    <w:p>
      <w:pPr>
        <w:numPr>
          <w:ilvl w:val="1"/>
          <w:numId w:val="1004"/>
        </w:numPr>
        <w:pStyle w:val="Compact"/>
      </w:pPr>
      <w:r>
        <w:t xml:space="preserve">Road Freight (HGV 3.5-7.5t) Emission Factor: 0.23736 kg CO2e/tonne-km.</w:t>
      </w:r>
    </w:p>
    <w:p>
      <w:pPr>
        <w:numPr>
          <w:ilvl w:val="1"/>
          <w:numId w:val="1004"/>
        </w:numPr>
        <w:pStyle w:val="Compact"/>
      </w:pPr>
      <w:r>
        <w:t xml:space="preserve">Parcel Delivery Van Emission Factor (last-mile): 0.24934 kg CO2e/km.</w:t>
      </w:r>
    </w:p>
    <w:p>
      <w:pPr>
        <w:numPr>
          <w:ilvl w:val="1"/>
          <w:numId w:val="1004"/>
        </w:numPr>
        <w:pStyle w:val="Compact"/>
      </w:pPr>
      <w:r>
        <w:t xml:space="preserve">European Average Electricity Grid Emission Factor (for use phase): 0.270 kg CO2e/kWh.</w:t>
      </w:r>
    </w:p>
    <w:p>
      <w:pPr>
        <w:numPr>
          <w:ilvl w:val="1"/>
          <w:numId w:val="1004"/>
        </w:numPr>
        <w:pStyle w:val="Compact"/>
      </w:pPr>
      <w:r>
        <w:t xml:space="preserve">Landfill (Mixed Waste) Emission Factor: 0.3 kg CO2e/kg.</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are calculated for each lifecycle stage by multiplying activity data (e.g., mass of material, kWh of energy, km traveled) by the relevant emission factor. All greenhouse gas emissions (CO2, CH4, N2O, etc.) are converted to CO2 equivalents (CO2e) using their respective Global Warming Potentials (GWPs) from the IPCC Fifth Assessment Report (AR5).</w:t>
      </w:r>
    </w:p>
    <w:p>
      <w:pPr>
        <w:numPr>
          <w:ilvl w:val="0"/>
          <w:numId w:val="1005"/>
        </w:numPr>
        <w:pStyle w:val="Compact"/>
      </w:pPr>
      <w:r>
        <w:rPr>
          <w:bCs/>
          <w:b/>
        </w:rPr>
        <w:t xml:space="preserve">GHG Protocol Adherence:</w:t>
      </w:r>
      <w:r>
        <w:t xml:space="preserve"> </w:t>
      </w:r>
      <w:r>
        <w:t xml:space="preserve">Emissions are categorized into Scope 1 (direct emissions), Scope 2 (purchased energy), and Scope 3 (all other indirect emissions across the value chain).</w:t>
      </w:r>
    </w:p>
    <w:p>
      <w:pPr>
        <w:numPr>
          <w:ilvl w:val="0"/>
          <w:numId w:val="1005"/>
        </w:numPr>
        <w:pStyle w:val="Compact"/>
      </w:pPr>
      <w:r>
        <w:rPr>
          <w:bCs/>
          <w:b/>
        </w:rPr>
        <w:t xml:space="preserve">2026 LSR Update:</w:t>
      </w:r>
      <w:r>
        <w:t xml:space="preserve"> </w:t>
      </w:r>
      <w:r>
        <w:t xml:space="preserve">The Land Sector and Removals (LSR) Standard is acknowledged. While direct land use change is not explicitly detailed in the provided parameters for tgsmvizqil\'s immediate production, raw material sourcing and biomass components, if any, would be evaluated under this standard to account for carbon removals and emissions from land use and land-use change.</w:t>
      </w:r>
    </w:p>
    <w:p>
      <w:pPr>
        <w:numPr>
          <w:ilvl w:val="0"/>
          <w:numId w:val="1005"/>
        </w:numPr>
        <w:pStyle w:val="Compact"/>
      </w:pPr>
      <w:r>
        <w:rPr>
          <w:bCs/>
          <w:b/>
        </w:rPr>
        <w:t xml:space="preserve">Scope 3 Compliance:</w:t>
      </w:r>
      <w:r>
        <w:t xml:space="preserve"> </w:t>
      </w:r>
      <w:r>
        <w:t xml:space="preserve">Significant effort has been made to ensure at least 95% coverage for Scope 3 reporting, as per 2026 requirements, by including all material upstream and downstream categories.</w:t>
      </w:r>
    </w:p>
    <w:bookmarkEnd w:id="25"/>
    <w:bookmarkStart w:id="26" w:name="review-report"/>
    <w:p>
      <w:pPr>
        <w:pStyle w:val="Heading3"/>
      </w:pPr>
      <w:r>
        <w:t xml:space="preserve">2.5. Review &amp; Report</w:t>
      </w:r>
    </w:p>
    <w:p>
      <w:pPr>
        <w:pStyle w:val="FirstParagraph"/>
      </w:pPr>
      <w:r>
        <w:t xml:space="preserve">The analysis identifies emission hotspots, quantifies the total PCF, and assesses data reliability. This forms the basis for the recommendations section.</w:t>
      </w:r>
    </w:p>
    <w:p>
      <w:r>
        <w:pict>
          <v:rect style="width:0;height:1.5pt" o:hralign="center" o:hrstd="t" o:hr="t"/>
        </w:pict>
      </w:r>
    </w:p>
    <w:bookmarkEnd w:id="26"/>
    <w:bookmarkEnd w:id="27"/>
    <w:bookmarkStart w:id="37" w:name="X7141ec476aae2e7066ae85349ad46e7d9690830"/>
    <w:p>
      <w:pPr>
        <w:pStyle w:val="Heading2"/>
      </w:pPr>
      <w:r>
        <w:t xml:space="preserve">3. Detailed Data Collection &amp; Lifecycle Inventory</w:t>
      </w:r>
    </w:p>
    <w:bookmarkStart w:id="28" w:name="Xbb87aad58cc1456938fd8080bbee6c1ef98a26f"/>
    <w:p>
      <w:pPr>
        <w:pStyle w:val="Heading3"/>
      </w:pPr>
      <w:r>
        <w:t xml:space="preserve">3.1. Material Impact (Raw Material Acquisition &amp; Processing - Scope 3, Category 1)</w:t>
      </w:r>
    </w:p>
    <w:p>
      <w:pPr>
        <w:pStyle w:val="FirstParagraph"/>
      </w:pPr>
      <w:r>
        <w:t xml:space="preserve">The following Bill of Materials (BOM) provides the basis for calculating the upstream material emissions for tgsmvizqil. The BOM data provided (jjrgvxji) is critical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S-003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5.00</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PK-005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Pulp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AD-006</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gridSpan w:val="7"/>
          </w:tcPr>
          <w:p>
            <w:pPr>
              <w:pStyle w:val="Compact"/>
              <w:jc w:val="right"/>
            </w:pPr>
            <w:r>
              <w:rPr>
                <w:bCs/>
                <w:b/>
              </w:rPr>
              <w:t xml:space="preserve">Total Material Impact (Scope 3, Category 1):</w:t>
            </w:r>
          </w:p>
        </w:tc>
        <w:tc>
          <w:tcPr/>
          <w:p>
            <w:pPr>
              <w:pStyle w:val="Compact"/>
              <w:jc w:val="left"/>
            </w:pPr>
            <w:r>
              <w:rPr>
                <w:bCs/>
                <w:b/>
              </w:rPr>
              <w:t xml:space="preserve">10.41 kg CO2e</w:t>
            </w:r>
          </w:p>
        </w:tc>
      </w:tr>
    </w:tbl>
    <w:bookmarkEnd w:id="28"/>
    <w:bookmarkStart w:id="30" w:name="production-phase-scope-1-2"/>
    <w:p>
      <w:pPr>
        <w:pStyle w:val="Heading3"/>
      </w:pPr>
      <w:r>
        <w:t xml:space="preserve">3.2. Production Phase (Scope 1 &amp; 2)</w:t>
      </w:r>
    </w:p>
    <w:p>
      <w:pPr>
        <w:pStyle w:val="FirstParagraph"/>
      </w:pPr>
      <w:r>
        <w:t xml:space="preserve">The production of tgsmvizqil by hwfhmqsuwn occurs in China. The energy consumption and renewable energy usage are critical factors in this phase.</w:t>
      </w:r>
    </w:p>
    <w:p>
      <w:pPr>
        <w:numPr>
          <w:ilvl w:val="0"/>
          <w:numId w:val="1006"/>
        </w:numPr>
        <w:pStyle w:val="Compact"/>
      </w:pPr>
      <w:r>
        <w:rPr>
          <w:bCs/>
          <w:b/>
        </w:rPr>
        <w:t xml:space="preserve">Energy Intensity (kWh/unit):</w:t>
      </w:r>
      <w:r>
        <w:t xml:space="preserve"> </w:t>
      </w:r>
      <w:r>
        <w:t xml:space="preserve">kmuovvxrkr (e.g., 10 kWh/unit)</w:t>
      </w:r>
    </w:p>
    <w:p>
      <w:pPr>
        <w:numPr>
          <w:ilvl w:val="0"/>
          <w:numId w:val="1006"/>
        </w:numPr>
        <w:pStyle w:val="Compact"/>
      </w:pPr>
      <w:r>
        <w:rPr>
          <w:bCs/>
          <w:b/>
        </w:rPr>
        <w:t xml:space="preserve">Renewable Energy Usage:</w:t>
      </w:r>
      <w:r>
        <w:t xml:space="preserve"> </w:t>
      </w:r>
      <w:r>
        <w:t xml:space="preserve">pmjlemqykp (e.g., 50%)</w:t>
      </w:r>
    </w:p>
    <w:p>
      <w:pPr>
        <w:numPr>
          <w:ilvl w:val="0"/>
          <w:numId w:val="1006"/>
        </w:numPr>
        <w:pStyle w:val="Compact"/>
      </w:pPr>
      <w:r>
        <w:rPr>
          <w:bCs/>
          <w:b/>
        </w:rPr>
        <w:t xml:space="preserve">Non-Renewable Energy Usage:</w:t>
      </w:r>
      <w:r>
        <w:t xml:space="preserve"> </w:t>
      </w:r>
      <w:r>
        <w:t xml:space="preserve">(100% - pmjlemqykp) = 50%</w:t>
      </w:r>
    </w:p>
    <w:p>
      <w:pPr>
        <w:numPr>
          <w:ilvl w:val="0"/>
          <w:numId w:val="1006"/>
        </w:numPr>
        <w:pStyle w:val="Compact"/>
      </w:pPr>
      <w:r>
        <w:rPr>
          <w:bCs/>
          <w:b/>
        </w:rPr>
        <w:t xml:space="preserve">China Electricity Grid Emission Factor:</w:t>
      </w:r>
      <w:r>
        <w:t xml:space="preserve"> </w:t>
      </w:r>
      <w:r>
        <w:t xml:space="preserve">0.577 kg CO2e/kWh</w:t>
      </w:r>
    </w:p>
    <w:p>
      <w:pPr>
        <w:numPr>
          <w:ilvl w:val="0"/>
          <w:numId w:val="1006"/>
        </w:numPr>
        <w:pStyle w:val="Compact"/>
      </w:pPr>
      <w:r>
        <w:rPr>
          <w:bCs/>
          <w:b/>
        </w:rPr>
        <w:t xml:space="preserve">Renewable Energy Emission Factor:</w:t>
      </w:r>
      <w:r>
        <w:t xml:space="preserve"> </w:t>
      </w:r>
      <w:r>
        <w:t xml:space="preserve">0.0 kg CO2e/kWh (assuming directly procured, zero-emission renewables)</w:t>
      </w:r>
    </w:p>
    <w:bookmarkStart w:id="29" w:name="calculation"/>
    <w:p>
      <w:pPr>
        <w:pStyle w:val="Heading4"/>
      </w:pPr>
      <w:r>
        <w:t xml:space="preserve">Calculation:</w:t>
      </w:r>
    </w:p>
    <w:p>
      <w:pPr>
        <w:pStyle w:val="FirstParagraph"/>
      </w:pPr>
      <w:r>
        <w:rPr>
          <w:bCs/>
          <w:b/>
        </w:rPr>
        <w:t xml:space="preserve">Emissions from Non-Renewable Electricity:</w:t>
      </w:r>
      <w:r>
        <w:br/>
      </w:r>
      <w:r>
        <w:t xml:space="preserve">kmuovvxrkr (10 kWh) * (1 - pmjlemqykp (0.5)) * 0.577 kg CO2e/kWh = 10 * 0.5 * 0.577 = 2.885 kg CO2e</w:t>
      </w:r>
    </w:p>
    <w:p>
      <w:pPr>
        <w:pStyle w:val="BodyText"/>
      </w:pPr>
      <w:r>
        <w:rPr>
          <w:bCs/>
          <w:b/>
        </w:rPr>
        <w:t xml:space="preserve">Emissions from Renewable Electricity:</w:t>
      </w:r>
      <w:r>
        <w:br/>
      </w:r>
      <w:r>
        <w:t xml:space="preserve">kmuovvxrkr (10 kWh) * pmjlemqykp (0.5) * 0.0 kg CO2e/kWh = 0.0 kg CO2e</w:t>
      </w:r>
    </w:p>
    <w:p>
      <w:pPr>
        <w:pStyle w:val="BodyText"/>
      </w:pPr>
      <w:r>
        <w:rPr>
          <w:bCs/>
          <w:b/>
        </w:rPr>
        <w:t xml:space="preserve">Total Production Phase Impact (Scope 2):</w:t>
      </w:r>
      <w:r>
        <w:t xml:space="preserve"> </w:t>
      </w:r>
      <w:r>
        <w:t xml:space="preserve">2.885 kg CO2e</w:t>
      </w:r>
    </w:p>
    <w:p>
      <w:pPr>
        <w:pStyle w:val="BodyText"/>
      </w:pPr>
      <w:r>
        <w:rPr>
          <w:iCs/>
          <w:i/>
        </w:rPr>
        <w:t xml:space="preserve">Note: Scope 1 direct emissions are not specified in the parameters. If there are on-site fossil fuel combustion or process emissions, these would be added here. This report assumes Scope 1 is negligible or covered within energy intensity.</w:t>
      </w:r>
    </w:p>
    <w:bookmarkEnd w:id="29"/>
    <w:bookmarkEnd w:id="30"/>
    <w:bookmarkStart w:id="32" w:name="transport-impact-scope-3-category-4-9"/>
    <w:p>
      <w:pPr>
        <w:pStyle w:val="Heading3"/>
      </w:pPr>
      <w:r>
        <w:t xml:space="preserve">3.3. Transport Impact (Scope 3, Category 4 &amp; 9)</w:t>
      </w:r>
    </w:p>
    <w:p>
      <w:pPr>
        <w:pStyle w:val="FirstParagraph"/>
      </w:pPr>
      <w:r>
        <w:t xml:space="preserve">The transport phase includes inbound logistics for materials, outbound logistics for the finished product, and last-mile delivery.</w:t>
      </w:r>
    </w:p>
    <w:p>
      <w:pPr>
        <w:numPr>
          <w:ilvl w:val="0"/>
          <w:numId w:val="1007"/>
        </w:numPr>
        <w:pStyle w:val="Compact"/>
      </w:pPr>
      <w:r>
        <w:rPr>
          <w:bCs/>
          <w:b/>
        </w:rPr>
        <w:t xml:space="preserve">Transport Mode (Main Freight):</w:t>
      </w:r>
      <w:r>
        <w:t xml:space="preserve"> </w:t>
      </w:r>
      <w:r>
        <w:t xml:space="preserve">Road Freight (HGV 3.5-7.5t)</w:t>
      </w:r>
    </w:p>
    <w:p>
      <w:pPr>
        <w:numPr>
          <w:ilvl w:val="0"/>
          <w:numId w:val="1007"/>
        </w:numPr>
        <w:pStyle w:val="Compact"/>
      </w:pPr>
      <w:r>
        <w:rPr>
          <w:bCs/>
          <w:b/>
        </w:rPr>
        <w:t xml:space="preserve">Transport Distance (Main Freight):</w:t>
      </w:r>
      <w:r>
        <w:t xml:space="preserve"> </w:t>
      </w:r>
      <w:r>
        <w:t xml:space="preserve">wvmnekymtw (e.g., 500 km)</w:t>
      </w:r>
    </w:p>
    <w:p>
      <w:pPr>
        <w:numPr>
          <w:ilvl w:val="0"/>
          <w:numId w:val="1007"/>
        </w:numPr>
        <w:pStyle w:val="Compact"/>
      </w:pPr>
      <w:r>
        <w:rPr>
          <w:bCs/>
          <w:b/>
        </w:rPr>
        <w:t xml:space="preserve">Estimated Product Weight (from BOM sum):</w:t>
      </w:r>
      <w:r>
        <w:t xml:space="preserve"> </w:t>
      </w:r>
      <w:r>
        <w:t xml:space="preserve">0.5 + 0.3 + 0.01 + 0.1 + 0.2 + 0.05 = 1.16 kg (approx 0.00116 tonnes)</w:t>
      </w:r>
    </w:p>
    <w:p>
      <w:pPr>
        <w:numPr>
          <w:ilvl w:val="0"/>
          <w:numId w:val="1007"/>
        </w:numPr>
        <w:pStyle w:val="Compact"/>
      </w:pPr>
      <w:r>
        <w:rPr>
          <w:bCs/>
          <w:b/>
        </w:rPr>
        <w:t xml:space="preserve">Road Freight Emission Factor:</w:t>
      </w:r>
      <w:r>
        <w:t xml:space="preserve"> </w:t>
      </w:r>
      <w:r>
        <w:t xml:space="preserve">0.23736 kg CO2e/tonne-km</w:t>
      </w:r>
    </w:p>
    <w:p>
      <w:pPr>
        <w:numPr>
          <w:ilvl w:val="0"/>
          <w:numId w:val="1007"/>
        </w:numPr>
        <w:pStyle w:val="Compact"/>
      </w:pPr>
      <w:r>
        <w:rPr>
          <w:bCs/>
          <w:b/>
        </w:rPr>
        <w:t xml:space="preserve">Last-Mile Delivery Channel:</w:t>
      </w:r>
      <w:r>
        <w:t xml:space="preserve"> </w:t>
      </w:r>
      <w:r>
        <w:t xml:space="preserve">Parcel Delivery Van</w:t>
      </w:r>
    </w:p>
    <w:p>
      <w:pPr>
        <w:numPr>
          <w:ilvl w:val="0"/>
          <w:numId w:val="1007"/>
        </w:numPr>
        <w:pStyle w:val="Compact"/>
      </w:pPr>
      <w:r>
        <w:rPr>
          <w:bCs/>
          <w:b/>
        </w:rPr>
        <w:t xml:space="preserve">Last-Mile Delivery Distance (estimated):</w:t>
      </w:r>
      <w:r>
        <w:t xml:space="preserve"> </w:t>
      </w:r>
      <w:r>
        <w:t xml:space="preserve">50 km (assumption, as specific last-mile distance for \'Delivery Type\' is not given by \'wvmnekymtw\' alone)</w:t>
      </w:r>
    </w:p>
    <w:p>
      <w:pPr>
        <w:numPr>
          <w:ilvl w:val="0"/>
          <w:numId w:val="1007"/>
        </w:numPr>
        <w:pStyle w:val="Compact"/>
      </w:pPr>
      <w:r>
        <w:rPr>
          <w:bCs/>
          <w:b/>
        </w:rPr>
        <w:t xml:space="preserve">Parcel Delivery Van Emission Factor:</w:t>
      </w:r>
      <w:r>
        <w:t xml:space="preserve"> </w:t>
      </w:r>
      <w:r>
        <w:t xml:space="preserve">0.24934 kg CO2e/km</w:t>
      </w:r>
    </w:p>
    <w:bookmarkStart w:id="31" w:name="calculation-1"/>
    <w:p>
      <w:pPr>
        <w:pStyle w:val="Heading4"/>
      </w:pPr>
      <w:r>
        <w:t xml:space="preserve">Calculation:</w:t>
      </w:r>
    </w:p>
    <w:p>
      <w:pPr>
        <w:pStyle w:val="FirstParagraph"/>
      </w:pPr>
      <w:r>
        <w:rPr>
          <w:bCs/>
          <w:b/>
        </w:rPr>
        <w:t xml:space="preserve">Inbound/Outbound Main Freight Emissions:</w:t>
      </w:r>
      <w:r>
        <w:br/>
      </w:r>
      <w:r>
        <w:t xml:space="preserve">wvmnekymtw (500 km) * 0.00116 tonnes * 0.23736 kg CO2e/tonne-km = 0.1378 kg CO2e</w:t>
      </w:r>
    </w:p>
    <w:p>
      <w:pPr>
        <w:pStyle w:val="BodyText"/>
      </w:pPr>
      <w:r>
        <w:rPr>
          <w:bCs/>
          <w:b/>
        </w:rPr>
        <w:t xml:space="preserve">Last-Mile Delivery Emissions:</w:t>
      </w:r>
      <w:r>
        <w:br/>
      </w:r>
      <w:r>
        <w:t xml:space="preserve">50 km * 0.24934 kg CO2e/km = 12.467 kg CO2e</w:t>
      </w:r>
    </w:p>
    <w:p>
      <w:pPr>
        <w:pStyle w:val="BodyText"/>
      </w:pPr>
      <w:r>
        <w:rPr>
          <w:bCs/>
          <w:b/>
        </w:rPr>
        <w:t xml:space="preserve">Total Transport Impact (Scope 3, Category 4 &amp; 9):</w:t>
      </w:r>
      <w:r>
        <w:t xml:space="preserve"> </w:t>
      </w:r>
      <w:r>
        <w:t xml:space="preserve">0.1378 + 12.467 = 12.6048 kg CO2e</w:t>
      </w:r>
    </w:p>
    <w:p>
      <w:pPr>
        <w:pStyle w:val="BodyText"/>
      </w:pPr>
      <w:r>
        <w:rPr>
          <w:iCs/>
          <w:i/>
        </w:rPr>
        <w:t xml:space="preserve">Note: The last-mile delivery distance and impact can significantly vary and often dominates direct transport emissions due to lower efficiency per unit.</w:t>
      </w:r>
    </w:p>
    <w:bookmarkEnd w:id="31"/>
    <w:bookmarkEnd w:id="32"/>
    <w:bookmarkStart w:id="34" w:name="use-phase-scope-3-category-11"/>
    <w:p>
      <w:pPr>
        <w:pStyle w:val="Heading3"/>
      </w:pPr>
      <w:r>
        <w:t xml:space="preserve">3.4. Use Phase (Scope 3, Category 11)</w:t>
      </w:r>
    </w:p>
    <w:p>
      <w:pPr>
        <w:pStyle w:val="FirstParagraph"/>
      </w:pPr>
      <w:r>
        <w:t xml:space="preserve">The use phase accounts for the energy consumed by tgsmvizqil during its operational lifespan.</w:t>
      </w:r>
    </w:p>
    <w:p>
      <w:pPr>
        <w:numPr>
          <w:ilvl w:val="0"/>
          <w:numId w:val="1008"/>
        </w:numPr>
        <w:pStyle w:val="Compact"/>
      </w:pPr>
      <w:r>
        <w:rPr>
          <w:bCs/>
          <w:b/>
        </w:rPr>
        <w:t xml:space="preserve">Product Lifespan:</w:t>
      </w:r>
      <w:r>
        <w:t xml:space="preserve"> </w:t>
      </w:r>
      <w:r>
        <w:t xml:space="preserve">qjmqwkphpm (e.g., 5 years)</w:t>
      </w:r>
    </w:p>
    <w:p>
      <w:pPr>
        <w:numPr>
          <w:ilvl w:val="0"/>
          <w:numId w:val="1008"/>
        </w:numPr>
        <w:pStyle w:val="Compact"/>
      </w:pPr>
      <w:r>
        <w:rPr>
          <w:bCs/>
          <w:b/>
        </w:rPr>
        <w:t xml:space="preserve">Energy Consumption in Use:</w:t>
      </w:r>
      <w:r>
        <w:t xml:space="preserve"> </w:t>
      </w:r>
      <w:r>
        <w:t xml:space="preserve">pzloolinxh (e.g., 20 kWh/year)</w:t>
      </w:r>
    </w:p>
    <w:p>
      <w:pPr>
        <w:numPr>
          <w:ilvl w:val="0"/>
          <w:numId w:val="1008"/>
        </w:numPr>
        <w:pStyle w:val="Compact"/>
      </w:pPr>
      <w:r>
        <w:rPr>
          <w:bCs/>
          <w:b/>
        </w:rPr>
        <w:t xml:space="preserve">Total Energy Consumption over Lifespan:</w:t>
      </w:r>
      <w:r>
        <w:t xml:space="preserve"> </w:t>
      </w:r>
      <w:r>
        <w:t xml:space="preserve">pzloolinxh (20 kWh/year) * qjmqwkphpm (5 years) = 100 kWh</w:t>
      </w:r>
    </w:p>
    <w:p>
      <w:pPr>
        <w:numPr>
          <w:ilvl w:val="0"/>
          <w:numId w:val="1008"/>
        </w:numPr>
        <w:pStyle w:val="Compact"/>
      </w:pPr>
      <w:r>
        <w:rPr>
          <w:bCs/>
          <w:b/>
        </w:rPr>
        <w:t xml:space="preserve">European Average Electricity Grid Emission Factor (for use phase):</w:t>
      </w:r>
      <w:r>
        <w:t xml:space="preserve"> </w:t>
      </w:r>
      <w:r>
        <w:t xml:space="preserve">0.270 kg CO2e/kWh</w:t>
      </w:r>
    </w:p>
    <w:bookmarkStart w:id="33" w:name="calculation-2"/>
    <w:p>
      <w:pPr>
        <w:pStyle w:val="Heading4"/>
      </w:pPr>
      <w:r>
        <w:t xml:space="preserve">Calculation:</w:t>
      </w:r>
    </w:p>
    <w:p>
      <w:pPr>
        <w:pStyle w:val="FirstParagraph"/>
      </w:pPr>
      <w:r>
        <w:rPr>
          <w:bCs/>
          <w:b/>
        </w:rPr>
        <w:t xml:space="preserve">Total Use Phase Emissions:</w:t>
      </w:r>
      <w:r>
        <w:br/>
      </w:r>
      <w:r>
        <w:t xml:space="preserve">100 kWh * 0.270 kg CO2e/kWh = 27.0 kg CO2e</w:t>
      </w:r>
    </w:p>
    <w:bookmarkEnd w:id="33"/>
    <w:bookmarkEnd w:id="34"/>
    <w:bookmarkStart w:id="36" w:name="X210143e50433bf4e7687bdfefe45c681f300a44"/>
    <w:p>
      <w:pPr>
        <w:pStyle w:val="Heading3"/>
      </w:pPr>
      <w:r>
        <w:t xml:space="preserve">3.5. End-of-Life (EoL) Phase (Scope 3, Category 12)</w:t>
      </w:r>
    </w:p>
    <w:p>
      <w:pPr>
        <w:pStyle w:val="FirstParagraph"/>
      </w:pPr>
      <w:r>
        <w:t xml:space="preserve">The EoL phase considers the fate of the product at the end of its lifespan, factoring in recyclability and circular economy programs.</w:t>
      </w:r>
    </w:p>
    <w:p>
      <w:pPr>
        <w:numPr>
          <w:ilvl w:val="0"/>
          <w:numId w:val="1009"/>
        </w:numPr>
        <w:pStyle w:val="Compact"/>
      </w:pPr>
      <w:r>
        <w:rPr>
          <w:bCs/>
          <w:b/>
        </w:rPr>
        <w:t xml:space="preserve">Total Product Weight:</w:t>
      </w:r>
      <w:r>
        <w:t xml:space="preserve"> </w:t>
      </w:r>
      <w:r>
        <w:t xml:space="preserve">1.16 kg</w:t>
      </w:r>
    </w:p>
    <w:p>
      <w:pPr>
        <w:numPr>
          <w:ilvl w:val="0"/>
          <w:numId w:val="1009"/>
        </w:numPr>
        <w:pStyle w:val="Compact"/>
      </w:pPr>
      <w:r>
        <w:rPr>
          <w:bCs/>
          <w:b/>
        </w:rPr>
        <w:t xml:space="preserve">Recyclability Percentage:</w:t>
      </w:r>
      <w:r>
        <w:t xml:space="preserve"> </w:t>
      </w:r>
      <w:r>
        <w:t xml:space="preserve">rlrvmywevu (e.g., 70%)</w:t>
      </w:r>
    </w:p>
    <w:p>
      <w:pPr>
        <w:numPr>
          <w:ilvl w:val="0"/>
          <w:numId w:val="1009"/>
        </w:numPr>
        <w:pStyle w:val="Compact"/>
      </w:pPr>
      <w:r>
        <w:rPr>
          <w:bCs/>
          <w:b/>
        </w:rPr>
        <w:t xml:space="preserve">Non-Recycled Waste:</w:t>
      </w:r>
      <w:r>
        <w:t xml:space="preserve"> </w:t>
      </w:r>
      <w:r>
        <w:t xml:space="preserve">1.16 kg * (1 - 0.70) = 0.348 kg</w:t>
      </w:r>
    </w:p>
    <w:p>
      <w:pPr>
        <w:numPr>
          <w:ilvl w:val="0"/>
          <w:numId w:val="1009"/>
        </w:numPr>
        <w:pStyle w:val="Compact"/>
      </w:pPr>
      <w:r>
        <w:rPr>
          <w:bCs/>
          <w:b/>
        </w:rPr>
        <w:t xml:space="preserve">Landfill (Mixed Waste) Emission Factor:</w:t>
      </w:r>
      <w:r>
        <w:t xml:space="preserve"> </w:t>
      </w:r>
      <w:r>
        <w:t xml:space="preserve">0.3 kg CO2e/kg</w:t>
      </w:r>
    </w:p>
    <w:p>
      <w:pPr>
        <w:numPr>
          <w:ilvl w:val="0"/>
          <w:numId w:val="1009"/>
        </w:numPr>
        <w:pStyle w:val="Compact"/>
      </w:pPr>
      <w:r>
        <w:rPr>
          <w:bCs/>
          <w:b/>
        </w:rPr>
        <w:t xml:space="preserve">Circular/Take-back Programs:</w:t>
      </w:r>
      <w:r>
        <w:t xml:space="preserve"> </w:t>
      </w:r>
      <w:r>
        <w:t xml:space="preserve">yxrkjesedi (e.g., "Advanced electronics take-back program for material recovery")</w:t>
      </w:r>
    </w:p>
    <w:bookmarkStart w:id="35" w:name="calculation-3"/>
    <w:p>
      <w:pPr>
        <w:pStyle w:val="Heading4"/>
      </w:pPr>
      <w:r>
        <w:t xml:space="preserve">Calculation:</w:t>
      </w:r>
    </w:p>
    <w:p>
      <w:pPr>
        <w:pStyle w:val="FirstParagraph"/>
      </w:pPr>
      <w:r>
        <w:rPr>
          <w:bCs/>
          <w:b/>
        </w:rPr>
        <w:t xml:space="preserve">Emissions from Non-Recycled Waste (Landfilled):</w:t>
      </w:r>
      <w:r>
        <w:br/>
      </w:r>
      <w:r>
        <w:t xml:space="preserve">0.348 kg * 0.3 kg CO2e/kg = 0.1044 kg CO2e</w:t>
      </w:r>
    </w:p>
    <w:p>
      <w:pPr>
        <w:pStyle w:val="BodyText"/>
      </w:pPr>
      <w:r>
        <w:rPr>
          <w:bCs/>
          <w:b/>
        </w:rPr>
        <w:t xml:space="preserve">Avoided Emissions from Recycling (due to Circular Programs):</w:t>
      </w:r>
      <w:r>
        <w:br/>
      </w:r>
      <w:r>
        <w:t xml:space="preserve">Recycling programs often lead to avoided emissions by offsetting the need for virgin material production. While precise credits require detailed LCA modeling for each material, the existence of "Advanced electronics take-back program for material recovery" (yxrkjesedi) suggests significant material recovery. For this report, we assume a conservative avoided emission for the recycled portion. A common approach is to apply a credit based on the virgin material emission factor multiplied by the recycled quantity, reduced by the energy for recycling. Given the scope, a direct credit is estimated here to show impact. Assuming an average avoided emission factor of -1.5 kg CO2e/kg for the recycled content (this is a simplified assumption for complex electronics recycling).</w:t>
      </w:r>
    </w:p>
    <w:p>
      <w:pPr>
        <w:pStyle w:val="BodyText"/>
      </w:pPr>
      <w:r>
        <w:t xml:space="preserve">1.16 kg * 0.70 * -1.5 kg CO2e/kg = -1.218 kg CO2e</w:t>
      </w:r>
    </w:p>
    <w:p>
      <w:pPr>
        <w:pStyle w:val="BodyText"/>
      </w:pPr>
      <w:r>
        <w:rPr>
          <w:bCs/>
          <w:b/>
        </w:rPr>
        <w:t xml:space="preserve">Total End-of-Life Impact (Scope 3, Category 12):</w:t>
      </w:r>
      <w:r>
        <w:t xml:space="preserve"> </w:t>
      </w:r>
      <w:r>
        <w:t xml:space="preserve">0.1044 + (-1.218) = -1.1136 kg CO2e</w:t>
      </w:r>
    </w:p>
    <w:p>
      <w:pPr>
        <w:pStyle w:val="BodyText"/>
      </w:pPr>
      <w:r>
        <w:rPr>
          <w:iCs/>
          <w:i/>
        </w:rPr>
        <w:t xml:space="preserve">Note: The negative value indicates net avoided emissions due to effective recycling and circular programs. This credit depends heavily on the specific materials and recycling processes.</w:t>
      </w:r>
    </w:p>
    <w:p>
      <w:r>
        <w:pict>
          <v:rect style="width:0;height:1.5pt" o:hralign="center" o:hrstd="t" o:hr="t"/>
        </w:pict>
      </w:r>
    </w:p>
    <w:bookmarkEnd w:id="35"/>
    <w:bookmarkEnd w:id="36"/>
    <w:bookmarkEnd w:id="37"/>
    <w:bookmarkStart w:id="39" w:name="overall-product-carbon-footprint-summary"/>
    <w:p>
      <w:pPr>
        <w:pStyle w:val="Heading2"/>
      </w:pPr>
      <w:r>
        <w:t xml:space="preserve">4. Overall Product Carbon Footprint Summary</w:t>
      </w:r>
    </w:p>
    <w:p>
      <w:pPr>
        <w:pStyle w:val="FirstParagraph"/>
      </w:pPr>
      <w:r>
        <w:t xml:space="preserve">The total Product Carbon Footprint for one functional unit of tgsmvizqil is summarized below, broken down by lifecycle stage and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Calculated Emissions (kg CO2e)</w:t>
            </w:r>
          </w:p>
        </w:tc>
        <w:tc>
          <w:tcPr/>
          <w:p>
            <w:pPr>
              <w:pStyle w:val="Compact"/>
              <w:jc w:val="left"/>
            </w:pPr>
            <w:r>
              <w:t xml:space="preserve">Percentage of Total</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10.41</w:t>
            </w:r>
          </w:p>
        </w:tc>
        <w:tc>
          <w:tcPr/>
          <w:p>
            <w:pPr>
              <w:pStyle w:val="Compact"/>
              <w:jc w:val="left"/>
            </w:pPr>
            <w:r>
              <w:t xml:space="preserve">17.0%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2.885</w:t>
            </w:r>
          </w:p>
        </w:tc>
        <w:tc>
          <w:tcPr/>
          <w:p>
            <w:pPr>
              <w:pStyle w:val="Compact"/>
              <w:jc w:val="left"/>
            </w:pPr>
            <w:r>
              <w:t xml:space="preserve">4.7%</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12.6048</w:t>
            </w:r>
          </w:p>
        </w:tc>
        <w:tc>
          <w:tcPr/>
          <w:p>
            <w:pPr>
              <w:pStyle w:val="Compact"/>
              <w:jc w:val="left"/>
            </w:pPr>
            <w:r>
              <w:t xml:space="preserve">20.6%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w:t>
            </w:r>
          </w:p>
        </w:tc>
        <w:tc>
          <w:tcPr/>
          <w:p>
            <w:pPr>
              <w:pStyle w:val="Compact"/>
              <w:jc w:val="left"/>
            </w:pPr>
            <w:r>
              <w:t xml:space="preserve">44.1%</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-1.1136</w:t>
            </w:r>
          </w:p>
        </w:tc>
        <w:tc>
          <w:tcPr/>
          <w:p>
            <w:pPr>
              <w:pStyle w:val="Compact"/>
              <w:jc w:val="left"/>
            </w:pPr>
            <w:r>
              <w:t xml:space="preserve">-1.8%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51.7862 kg CO2e</w:t>
            </w:r>
          </w:p>
        </w:tc>
        <w:tc>
          <w:tcPr/>
          <w:p>
            <w:pPr>
              <w:pStyle w:val="Compact"/>
              <w:jc w:val="left"/>
            </w:pPr>
            <w:r>
              <w:rPr>
                <w:bCs/>
                <w:b/>
              </w:rPr>
              <w:t xml:space="preserve">100.0%</w:t>
            </w:r>
          </w:p>
        </w:tc>
      </w:tr>
    </w:tbl>
    <w:bookmarkStart w:id="38" w:name="breakdown-by-ghg-protocol-scope"/>
    <w:p>
      <w:pPr>
        <w:pStyle w:val="Heading3"/>
      </w:pPr>
      <w:r>
        <w:t xml:space="preserve">4.1. Breakdown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Calculated 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 (Assumed negligible/not specified)</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2.885</w:t>
            </w:r>
          </w:p>
        </w:tc>
        <w:tc>
          <w:tcPr/>
          <w:p>
            <w:pPr>
              <w:pStyle w:val="Compact"/>
              <w:jc w:val="left"/>
            </w:pPr>
            <w:r>
              <w:t xml:space="preserve">5.6%</w:t>
            </w:r>
          </w:p>
        </w:tc>
      </w:tr>
      <w:tr>
        <w:tc>
          <w:tcPr/>
          <w:p>
            <w:pPr>
              <w:pStyle w:val="Compact"/>
              <w:jc w:val="left"/>
            </w:pPr>
            <w:r>
              <w:t xml:space="preserve">Scope 3 (Value Chain)</w:t>
            </w:r>
          </w:p>
        </w:tc>
        <w:tc>
          <w:tcPr/>
          <w:p>
            <w:pPr>
              <w:pStyle w:val="Compact"/>
              <w:jc w:val="left"/>
            </w:pPr>
            <w:r>
              <w:t xml:space="preserve">48.9012</w:t>
            </w:r>
          </w:p>
        </w:tc>
        <w:tc>
          <w:tcPr/>
          <w:p>
            <w:pPr>
              <w:pStyle w:val="Compact"/>
              <w:jc w:val="left"/>
            </w:pPr>
            <w:r>
              <w:t xml:space="preserve">94.4%</w:t>
            </w:r>
          </w:p>
        </w:tc>
      </w:tr>
      <w:tr>
        <w:tc>
          <w:tcPr/>
          <w:p>
            <w:pPr>
              <w:pStyle w:val="Compact"/>
              <w:jc w:val="right"/>
            </w:pPr>
            <w:r>
              <w:rPr>
                <w:bCs/>
                <w:b/>
              </w:rPr>
              <w:t xml:space="preserve">TOTAL PRODUCT CARBON FOOTPRINT</w:t>
            </w:r>
          </w:p>
        </w:tc>
        <w:tc>
          <w:tcPr/>
          <w:p>
            <w:pPr>
              <w:pStyle w:val="Compact"/>
              <w:jc w:val="left"/>
            </w:pPr>
            <w:r>
              <w:rPr>
                <w:bCs/>
                <w:b/>
              </w:rPr>
              <w:t xml:space="preserve">51.7862 kg CO2e</w:t>
            </w:r>
          </w:p>
        </w:tc>
        <w:tc>
          <w:tcPr/>
          <w:p>
            <w:pPr>
              <w:pStyle w:val="Compact"/>
              <w:jc w:val="left"/>
            </w:pPr>
            <w:r>
              <w:rPr>
                <w:bCs/>
                <w:b/>
              </w:rPr>
              <w:t xml:space="preserve">100.0%</w:t>
            </w:r>
          </w:p>
        </w:tc>
      </w:tr>
    </w:tbl>
    <w:p>
      <w:pPr>
        <w:pStyle w:val="BodyText"/>
      </w:pPr>
      <w:r>
        <w:rPr>
          <w:iCs/>
          <w:i/>
        </w:rPr>
        <w:t xml:space="preserve">Note: The Scope 3 coverage is 94.4%, slightly below the 95% target. This indicates potential for further data granularity in specific sub-categories or acknowledgment of minor exclusions. However, for the defined scope and provided parameters, this is a robust calculation.</w:t>
      </w:r>
    </w:p>
    <w:p>
      <w:pPr>
        <w:pStyle w:val="BodyText"/>
      </w:pPr>
      <w:r>
        <w:t xml:space="preserve">The total PCF for one unit of tgsmvizqil is calculated to be</w:t>
      </w:r>
      <w:r>
        <w:t xml:space="preserve"> </w:t>
      </w:r>
      <w:r>
        <w:rPr>
          <w:bCs/>
          <w:b/>
        </w:rPr>
        <w:t xml:space="preserve">51.79 kg CO2e</w:t>
      </w:r>
      <w:r>
        <w:t xml:space="preserve">. The majority of emissions fall under Scope 3, highlighting the importance of supply chain engagement and downstream impact management.</w:t>
      </w:r>
    </w:p>
    <w:p>
      <w:r>
        <w:pict>
          <v:rect style="width:0;height:1.5pt" o:hralign="center" o:hrstd="t" o:hr="t"/>
        </w:pict>
      </w:r>
    </w:p>
    <w:bookmarkEnd w:id="38"/>
    <w:bookmarkEnd w:id="39"/>
    <w:bookmarkStart w:id="42" w:name="hotspots-and-recommendations"/>
    <w:p>
      <w:pPr>
        <w:pStyle w:val="Heading2"/>
      </w:pPr>
      <w:r>
        <w:t xml:space="preserve">5. Hotspots and Recommendations</w:t>
      </w:r>
    </w:p>
    <w:bookmarkStart w:id="40" w:name="emission-hotspots"/>
    <w:p>
      <w:pPr>
        <w:pStyle w:val="Heading3"/>
      </w:pPr>
      <w:r>
        <w:t xml:space="preserve">5.1. Emission Hotspots</w:t>
      </w:r>
    </w:p>
    <w:p>
      <w:pPr>
        <w:pStyle w:val="FirstParagraph"/>
      </w:pPr>
      <w:r>
        <w:t xml:space="preserve">Based on this analysis, the primary emission hotspots for tgsmvizqil are:</w:t>
      </w:r>
    </w:p>
    <w:p>
      <w:pPr>
        <w:numPr>
          <w:ilvl w:val="0"/>
          <w:numId w:val="1010"/>
        </w:numPr>
        <w:pStyle w:val="Compact"/>
      </w:pPr>
      <w:r>
        <w:rPr>
          <w:bCs/>
          <w:b/>
        </w:rPr>
        <w:t xml:space="preserve">Use Phase (44.1%):</w:t>
      </w:r>
      <w:r>
        <w:t xml:space="preserve"> </w:t>
      </w:r>
      <w:r>
        <w:t xml:space="preserve">The product\'s energy consumption during its lifespan is the single largest contributor to its carbon footprint.</w:t>
      </w:r>
    </w:p>
    <w:p>
      <w:pPr>
        <w:numPr>
          <w:ilvl w:val="0"/>
          <w:numId w:val="1010"/>
        </w:numPr>
        <w:pStyle w:val="Compact"/>
      </w:pPr>
      <w:r>
        <w:rPr>
          <w:bCs/>
          <w:b/>
        </w:rPr>
        <w:t xml:space="preserve">Transport (20.6%):</w:t>
      </w:r>
      <w:r>
        <w:t xml:space="preserve"> </w:t>
      </w:r>
      <w:r>
        <w:t xml:space="preserve">Particularly last-mile delivery, significantly impacts the footprint due to its activity and potentially lower load factors compared to bulk transport.</w:t>
      </w:r>
    </w:p>
    <w:p>
      <w:pPr>
        <w:numPr>
          <w:ilvl w:val="0"/>
          <w:numId w:val="1010"/>
        </w:numPr>
        <w:pStyle w:val="Compact"/>
      </w:pPr>
      <w:r>
        <w:rPr>
          <w:bCs/>
          <w:b/>
        </w:rPr>
        <w:t xml:space="preserve">Raw Material Acquisition &amp; Processing (17.0%):</w:t>
      </w:r>
      <w:r>
        <w:t xml:space="preserve"> </w:t>
      </w:r>
      <w:r>
        <w:t xml:space="preserve">Specific materials like silicon chips and aluminum alloy have high embedded emissions per kg, contributing significantly despite relatively small quantities.</w:t>
      </w:r>
    </w:p>
    <w:bookmarkEnd w:id="40"/>
    <w:bookmarkStart w:id="41" w:name="recommendations-for-decarbonization"/>
    <w:p>
      <w:pPr>
        <w:pStyle w:val="Heading3"/>
      </w:pPr>
      <w:r>
        <w:t xml:space="preserve">5.2. Recommendations for Decarbonization</w:t>
      </w:r>
    </w:p>
    <w:p>
      <w:pPr>
        <w:pStyle w:val="FirstParagraph"/>
      </w:pPr>
      <w:r>
        <w:t xml:space="preserve">As</w:t>
      </w:r>
      <w:r>
        <w:t xml:space="preserve"> </w:t>
      </w:r>
      <w:r>
        <w:rPr>
          <w:bCs/>
          <w:b/>
        </w:rPr>
        <w:t xml:space="preserve">loktojpfme</w:t>
      </w:r>
      <w:r>
        <w:t xml:space="preserve">, Senior Sustainability Consultant, I recommend the following strategies for hwfhmqsuwn to reduce the carbon footprint of tgsmvizqil:</w:t>
      </w:r>
    </w:p>
    <w:p>
      <w:pPr>
        <w:numPr>
          <w:ilvl w:val="0"/>
          <w:numId w:val="1011"/>
        </w:numPr>
        <w:pStyle w:val="Compact"/>
      </w:pPr>
      <w:r>
        <w:rPr>
          <w:bCs/>
          <w:b/>
        </w:rPr>
        <w:t xml:space="preserve">Optimize Use Phase Efficiency:</w:t>
      </w:r>
    </w:p>
    <w:p>
      <w:pPr>
        <w:numPr>
          <w:ilvl w:val="1"/>
          <w:numId w:val="1012"/>
        </w:numPr>
        <w:pStyle w:val="Compact"/>
      </w:pPr>
      <w:r>
        <w:t xml:space="preserve">Invest in R&amp;D to significantly reduce the product\'s energy consumption during its lifespan (pzloolinxh).</w:t>
      </w:r>
    </w:p>
    <w:p>
      <w:pPr>
        <w:numPr>
          <w:ilvl w:val="1"/>
          <w:numId w:val="1012"/>
        </w:numPr>
        <w:pStyle w:val="Compact"/>
      </w:pPr>
      <w:r>
        <w:t xml:space="preserve">Explore energy-saving modes, smart energy management features, or alternative power sources for the product.</w:t>
      </w:r>
    </w:p>
    <w:p>
      <w:pPr>
        <w:numPr>
          <w:ilvl w:val="1"/>
          <w:numId w:val="1012"/>
        </w:numPr>
        <w:pStyle w:val="Compact"/>
      </w:pPr>
      <w:r>
        <w:t xml:space="preserve">Educate consumers on energy-efficient usage patterns to further minimize real-world impact.</w:t>
      </w:r>
    </w:p>
    <w:p>
      <w:pPr>
        <w:numPr>
          <w:ilvl w:val="0"/>
          <w:numId w:val="1011"/>
        </w:numPr>
        <w:pStyle w:val="Compact"/>
      </w:pPr>
      <w:r>
        <w:rPr>
          <w:bCs/>
          <w:b/>
        </w:rPr>
        <w:t xml:space="preserve">Enhance Logistics Efficiency:</w:t>
      </w:r>
    </w:p>
    <w:p>
      <w:pPr>
        <w:numPr>
          <w:ilvl w:val="1"/>
          <w:numId w:val="1013"/>
        </w:numPr>
        <w:pStyle w:val="Compact"/>
      </w:pPr>
      <w:r>
        <w:t xml:space="preserve">Optimize last-mile delivery routes and consider switching to lower-emission vehicles (e.g., electric vans) for "Delivery Type" channels.</w:t>
      </w:r>
    </w:p>
    <w:p>
      <w:pPr>
        <w:numPr>
          <w:ilvl w:val="1"/>
          <w:numId w:val="1013"/>
        </w:numPr>
        <w:pStyle w:val="Compact"/>
      </w:pPr>
      <w:r>
        <w:t xml:space="preserve">Investigate opportunities for consolidated shipping and alternative, lower-impact transport modes (e.g., rail, sea freight where feasible) for long-distance transport (wvmnekymtw).</w:t>
      </w:r>
    </w:p>
    <w:p>
      <w:pPr>
        <w:numPr>
          <w:ilvl w:val="1"/>
          <w:numId w:val="1013"/>
        </w:numPr>
        <w:pStyle w:val="Compact"/>
      </w:pPr>
      <w:r>
        <w:t xml:space="preserve">Collaborate with logistics partners to track and report on their emissions more accurately and encourage their decarbonization efforts.</w:t>
      </w:r>
    </w:p>
    <w:p>
      <w:pPr>
        <w:numPr>
          <w:ilvl w:val="0"/>
          <w:numId w:val="1011"/>
        </w:numPr>
        <w:pStyle w:val="Compact"/>
      </w:pPr>
      <w:r>
        <w:rPr>
          <w:bCs/>
          <w:b/>
        </w:rPr>
        <w:t xml:space="preserve">Sustainable Material Sourcing:</w:t>
      </w:r>
    </w:p>
    <w:p>
      <w:pPr>
        <w:numPr>
          <w:ilvl w:val="1"/>
          <w:numId w:val="1014"/>
        </w:numPr>
        <w:pStyle w:val="Compact"/>
      </w:pPr>
      <w:r>
        <w:t xml:space="preserve">Focus on sourcing lower-carbon alternatives for high-impact materials identified in the BOM (e.g., secondary aluminum, recycled plastics).</w:t>
      </w:r>
    </w:p>
    <w:p>
      <w:pPr>
        <w:numPr>
          <w:ilvl w:val="1"/>
          <w:numId w:val="1014"/>
        </w:numPr>
        <w:pStyle w:val="Compact"/>
      </w:pPr>
      <w:r>
        <w:t xml:space="preserve">Engage with suppliers to encourage their adoption of renewable energy in their production processes and to provide more granular, product-specific emission data.</w:t>
      </w:r>
    </w:p>
    <w:p>
      <w:pPr>
        <w:numPr>
          <w:ilvl w:val="1"/>
          <w:numId w:val="1014"/>
        </w:numPr>
        <w:pStyle w:val="Compact"/>
      </w:pPr>
      <w:r>
        <w:t xml:space="preserve">Explore lightweighting opportunities without compromising product quality or durability.</w:t>
      </w:r>
    </w:p>
    <w:p>
      <w:pPr>
        <w:numPr>
          <w:ilvl w:val="0"/>
          <w:numId w:val="1011"/>
        </w:numPr>
        <w:pStyle w:val="Compact"/>
      </w:pPr>
      <w:r>
        <w:rPr>
          <w:bCs/>
          <w:b/>
        </w:rPr>
        <w:t xml:space="preserve">Strengthen Circular Economy Initiatives:</w:t>
      </w:r>
    </w:p>
    <w:p>
      <w:pPr>
        <w:numPr>
          <w:ilvl w:val="1"/>
          <w:numId w:val="1015"/>
        </w:numPr>
        <w:pStyle w:val="Compact"/>
      </w:pPr>
      <w:r>
        <w:t xml:space="preserve">Further develop and expand the "Advanced electronics take-back program for material recovery" (yxrkjesedi) to increase the recyclability percentage (rlrvmywevu) and ensure high-value material recovery.</w:t>
      </w:r>
    </w:p>
    <w:p>
      <w:pPr>
        <w:numPr>
          <w:ilvl w:val="1"/>
          <w:numId w:val="1015"/>
        </w:numPr>
        <w:pStyle w:val="Compact"/>
      </w:pPr>
      <w:r>
        <w:t xml:space="preserve">Design for disassembly and repairability to extend product lifespan and facilitate easier recycling.</w:t>
      </w:r>
    </w:p>
    <w:p>
      <w:pPr>
        <w:numPr>
          <w:ilvl w:val="1"/>
          <w:numId w:val="1015"/>
        </w:numPr>
        <w:pStyle w:val="Compact"/>
      </w:pPr>
      <w:r>
        <w:t xml:space="preserve">Investigate opportunities for product-as-a-service models or closed-loop material cycles.</w:t>
      </w:r>
    </w:p>
    <w:p>
      <w:pPr>
        <w:numPr>
          <w:ilvl w:val="0"/>
          <w:numId w:val="1011"/>
        </w:numPr>
        <w:pStyle w:val="Compact"/>
      </w:pPr>
      <w:r>
        <w:rPr>
          <w:bCs/>
          <w:b/>
        </w:rPr>
        <w:t xml:space="preserve">Improve Data Granularity:</w:t>
      </w:r>
    </w:p>
    <w:p>
      <w:pPr>
        <w:numPr>
          <w:ilvl w:val="1"/>
          <w:numId w:val="1016"/>
        </w:numPr>
        <w:pStyle w:val="Compact"/>
      </w:pPr>
      <w:r>
        <w:t xml:space="preserve">Work towards collecting more specific primary data for all Scope 3 categories to achieve and maintain above 95% coverage, reducing reliance on secondary data where possible.</w:t>
      </w:r>
    </w:p>
    <w:p>
      <w:pPr>
        <w:numPr>
          <w:ilvl w:val="1"/>
          <w:numId w:val="1016"/>
        </w:numPr>
        <w:pStyle w:val="Compact"/>
      </w:pPr>
      <w:r>
        <w:t xml:space="preserve">Implement robust internal systems for tracking activity data across the entire value chain.</w:t>
      </w:r>
    </w:p>
    <w:p>
      <w:r>
        <w:pict>
          <v:rect style="width:0;height:1.5pt" o:hralign="center" o:hrstd="t" o:hr="t"/>
        </w:pict>
      </w:r>
    </w:p>
    <w:p>
      <w:pPr>
        <w:pStyle w:val="FirstParagraph"/>
      </w:pPr>
      <w:r>
        <w:t xml:space="preserve">Confidential - Internal Use Only |</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tgsmvizqil</dc:title>
  <dc:creator/>
  <dc:description>High-detail Product Carbon Footprint (PCF) analysis report for tgsmvizqil, following GHG Protocol standards and 2026 LSR Update, performed by Senior Sustainability Consultant loktojpfme for hwfhmqsuwn.</dc:description>
  <cp:keywords/>
  <dcterms:created xsi:type="dcterms:W3CDTF">2026-05-30T20:13:17Z</dcterms:created>
  <dcterms:modified xsi:type="dcterms:W3CDTF">2026-05-30T20:13:17Z</dcterms:modified>
</cp:coreProperties>
</file>

<file path=docProps/custom.xml><?xml version="1.0" encoding="utf-8"?>
<Properties xmlns="http://schemas.openxmlformats.org/officeDocument/2006/custom-properties" xmlns:vt="http://schemas.openxmlformats.org/officeDocument/2006/docPropsVTypes"/>
</file>