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syxnrsutqk</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yxnrsutqk"/>
    <w:p>
      <w:pPr>
        <w:pStyle w:val="Heading2"/>
      </w:pPr>
      <w:r>
        <w:t xml:space="preserve">for syxnrsutqk</w:t>
      </w:r>
    </w:p>
    <w:p>
      <w:pPr>
        <w:pStyle w:val="FirstParagraph"/>
      </w:pPr>
      <w:r>
        <w:rPr>
          <w:bCs/>
          <w:b/>
        </w:rPr>
        <w:t xml:space="preserve">Accounting Standard:</w:t>
      </w:r>
      <w:r>
        <w:t xml:space="preserve"> </w:t>
      </w:r>
      <w:r>
        <w:t xml:space="preserve">GHG Protocol</w:t>
      </w:r>
    </w:p>
    <w:p>
      <w:pPr>
        <w:pStyle w:val="BodyText"/>
      </w:pPr>
      <w:r>
        <w:rPr>
          <w:bCs/>
          <w:b/>
        </w:rPr>
        <w:t xml:space="preserve">Company:</w:t>
      </w:r>
      <w:r>
        <w:t xml:space="preserve"> </w:t>
      </w:r>
      <w:r>
        <w:t xml:space="preserve">edgxszrdzi</w:t>
      </w:r>
    </w:p>
    <w:p>
      <w:pPr>
        <w:pStyle w:val="BodyText"/>
      </w:pPr>
      <w:r>
        <w:rPr>
          <w:bCs/>
          <w:b/>
        </w:rPr>
        <w:t xml:space="preserve">Senior Sustainability Consultant:</w:t>
      </w:r>
      <w:r>
        <w:t xml:space="preserve"> </w:t>
      </w:r>
      <w:r>
        <w:t xml:space="preserve">eddhmrzgju</w:t>
      </w:r>
    </w:p>
    <w:p>
      <w:pPr>
        <w:pStyle w:val="BodyText"/>
      </w:pPr>
      <w:r>
        <w:t xml:space="preserve">This report is generated based on available data and industry standards, providing a high-detail Product Carbon Footprint (PCF) analysis.</w:t>
      </w:r>
    </w:p>
    <w:bookmarkEnd w:id="20"/>
    <w:bookmarkEnd w:id="21"/>
    <w:bookmarkStart w:id="22" w:name="X5a8f9bcd6ff589619426b7f1f8c23ed2874f0ef"/>
    <w:p>
      <w:pPr>
        <w:pStyle w:val="Heading1"/>
      </w:pPr>
      <w:r>
        <w:t xml:space="preserve">Product Carbon Footprint Analysis for syxnrsutqk</w:t>
      </w:r>
    </w:p>
    <w:p>
      <w:pPr>
        <w:pStyle w:val="FirstParagraph"/>
      </w:pPr>
      <w:r>
        <w:t xml:space="preserve">Generated Date: June 4, 2026</w:t>
      </w:r>
    </w:p>
    <w:p>
      <w:pPr>
        <w:pStyle w:val="BodyText"/>
      </w:pPr>
      <w:r>
        <w:t xml:space="preserve">Senior Sustainability Consultant: eddhmrzgju</w:t>
      </w:r>
    </w:p>
    <w:p>
      <w:pPr>
        <w:pStyle w:val="BodyText"/>
      </w:pPr>
      <w:r>
        <w:t xml:space="preserve">Company: edgxszrdzi</w: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t xml:space="preserve">syxnrsutqk</w:t>
      </w:r>
      <w:r>
        <w:t xml:space="preserve">, manufactured by</w:t>
      </w:r>
      <w:r>
        <w:t xml:space="preserve"> </w:t>
      </w:r>
      <w:r>
        <w:t xml:space="preserve">edgxszrdzi</w:t>
      </w:r>
      <w:r>
        <w:t xml:space="preserve">. The analysis adheres strictly to the</w:t>
      </w:r>
      <w:r>
        <w:t xml:space="preserve"> </w:t>
      </w:r>
      <w:r>
        <w:t xml:space="preserve">GHG Protocol</w:t>
      </w:r>
      <w:r>
        <w:t xml:space="preserve"> </w:t>
      </w:r>
      <w:r>
        <w:t xml:space="preserve">standards, including the 2026 Land Sector and Removals (LSR) update, and aims for at least 95% coverage for Scope 3 emissions. As Senior Sustainability Consultant, I,</w:t>
      </w:r>
      <w:r>
        <w:t xml:space="preserve"> </w:t>
      </w:r>
      <w:r>
        <w:t xml:space="preserve">eddhmrzgju</w:t>
      </w:r>
      <w:r>
        <w:t xml:space="preserve">, have conducted this assessment to identify key emission hotspots across the product\'s lifecycle, from raw material extraction to end-of-life. The total carbon footprint for</w:t>
      </w:r>
      <w:r>
        <w:t xml:space="preserve"> </w:t>
      </w:r>
      <w:r>
        <w:t xml:space="preserve">syxnrsutqk</w:t>
      </w:r>
      <w:r>
        <w:t xml:space="preserve"> </w:t>
      </w:r>
      <w:r>
        <w:t xml:space="preserve">is calculated based on a functional unit of 1.0 unit.</w:t>
      </w:r>
    </w:p>
    <w:p>
      <w:r>
        <w:pict>
          <v:rect style="width:0;height:1.5pt" o:hralign="center" o:hrstd="t" o:hr="t"/>
        </w:pict>
      </w:r>
    </w:p>
    <w:bookmarkEnd w:id="23"/>
    <w:bookmarkStart w:id="31" w:name="methodology"/>
    <w:p>
      <w:pPr>
        <w:pStyle w:val="Heading2"/>
      </w:pPr>
      <w:r>
        <w:t xml:space="preserve">2. Methodology</w:t>
      </w:r>
    </w:p>
    <w:p>
      <w:pPr>
        <w:pStyle w:val="FirstParagraph"/>
      </w:pPr>
      <w:r>
        <w:t xml:space="preserve">The Product Carbon Footprint (PCF) analysis for</w:t>
      </w:r>
      <w:r>
        <w:t xml:space="preserve"> </w:t>
      </w:r>
      <w:r>
        <w:t xml:space="preserve">syxnrsutqk</w:t>
      </w:r>
      <w:r>
        <w:t xml:space="preserve"> </w:t>
      </w:r>
      <w:r>
        <w:t xml:space="preserve">follows the five-step approach outlined by the GHG Protocol Product Standard, ensuring a comprehensive and robust assessment.</w:t>
      </w:r>
    </w:p>
    <w:bookmarkStart w:id="24"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t xml:space="preserve">1.0 unit</w:t>
      </w:r>
      <w:r>
        <w:t xml:space="preserve"> </w:t>
      </w:r>
      <w:r>
        <w:t xml:space="preserve">of</w:t>
      </w:r>
      <w:r>
        <w:t xml:space="preserve"> </w:t>
      </w:r>
      <w:r>
        <w:t xml:space="preserve">syxnrsutqk</w:t>
      </w:r>
      <w:r>
        <w:t xml:space="preserve">, representing the primary function and service provided by the product.</w:t>
      </w:r>
    </w:p>
    <w:p>
      <w:pPr>
        <w:numPr>
          <w:ilvl w:val="0"/>
          <w:numId w:val="1001"/>
        </w:numPr>
        <w:pStyle w:val="Compact"/>
      </w:pPr>
      <w:r>
        <w:rPr>
          <w:bCs/>
          <w:b/>
        </w:rPr>
        <w:t xml:space="preserve">System Boundary:</w:t>
      </w:r>
      <w:r>
        <w:t xml:space="preserve"> </w:t>
      </w:r>
      <w:r>
        <w:t xml:space="preserve">A</w:t>
      </w:r>
      <w:r>
        <w:t xml:space="preserve"> </w:t>
      </w:r>
      <w:r>
        <w:t xml:space="preserve">"factory_gate"</w:t>
      </w:r>
      <w:r>
        <w:t xml:space="preserve"> </w:t>
      </w:r>
      <w:r>
        <w:t xml:space="preserve">system boundary has been applied for the direct production phase, encompassing all processes from raw material acquisition (upstream) through manufacturing and transportation to the factory gate. Downstream emissions from product use and end-of-life are also included to provide a comprehensive "cradle-to-grave" perspective.</w:t>
      </w:r>
    </w:p>
    <w:p>
      <w:pPr>
        <w:numPr>
          <w:ilvl w:val="0"/>
          <w:numId w:val="1001"/>
        </w:numPr>
        <w:pStyle w:val="Compact"/>
      </w:pPr>
      <w:r>
        <w:rPr>
          <w:bCs/>
          <w:b/>
        </w:rPr>
        <w:t xml:space="preserve">Geographic Scope:</w:t>
      </w:r>
      <w:r>
        <w:t xml:space="preserve"> </w:t>
      </w:r>
      <w:r>
        <w:t xml:space="preserve">The final production country is</w:t>
      </w:r>
      <w:r>
        <w:t xml:space="preserve"> </w:t>
      </w:r>
      <w:r>
        <w:t xml:space="preserve">China</w:t>
      </w:r>
      <w:r>
        <w:t xml:space="preserve">, with a</w:t>
      </w:r>
      <w:r>
        <w:t xml:space="preserve"> </w:t>
      </w:r>
      <w:r>
        <w:t xml:space="preserve">Europe Focused</w:t>
      </w:r>
      <w:r>
        <w:t xml:space="preserve"> </w:t>
      </w:r>
      <w:r>
        <w:t xml:space="preserve">supply chain for upstream materials and downstream distribution.</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t xml:space="preserve">GHG Protocol</w:t>
      </w:r>
      <w:r>
        <w:t xml:space="preserve"> </w:t>
      </w:r>
      <w:r>
        <w:t xml:space="preserve">Product Standard, ensuring consistent and comparable reporting of greenhouse gas emissions.</w:t>
      </w:r>
    </w:p>
    <w:p>
      <w:pPr>
        <w:numPr>
          <w:ilvl w:val="0"/>
          <w:numId w:val="1001"/>
        </w:numPr>
        <w:pStyle w:val="Compact"/>
      </w:pPr>
      <w:r>
        <w:rPr>
          <w:bCs/>
          <w:b/>
        </w:rPr>
        <w:t xml:space="preserve">Allocation:</w:t>
      </w:r>
      <w:r>
        <w:t xml:space="preserve"> </w:t>
      </w:r>
      <w:r>
        <w:t xml:space="preserve">Where necessary, emissions have been allocated based on mass for co-products or economic value for complex processes, ensuring fair distribution of environmental burdens.</w:t>
      </w:r>
    </w:p>
    <w:bookmarkEnd w:id="24"/>
    <w:bookmarkStart w:id="30" w:name="step-2-3-map-lifecycle-and-collect-data"/>
    <w:p>
      <w:pPr>
        <w:pStyle w:val="Heading3"/>
      </w:pPr>
      <w:r>
        <w:t xml:space="preserve">2.2. Step 2 &amp; 3: Map Lifecycle and Collect Data</w:t>
      </w:r>
    </w:p>
    <w:p>
      <w:pPr>
        <w:pStyle w:val="FirstParagraph"/>
      </w:pPr>
      <w:r>
        <w:t xml:space="preserve">A detailed Lifecycle Inventory (LCI) was established to map all relevant stages of</w:t>
      </w:r>
      <w:r>
        <w:t xml:space="preserve"> </w:t>
      </w:r>
      <w:r>
        <w:t xml:space="preserve">syxnrsutqk</w:t>
      </w:r>
      <w:r>
        <w:t xml:space="preserve">. Primary data was prioritized, supplemented by secondary data from recognized databases (e.g., Ecoinvent, DEFRA) for generic processes and emission factors where specific primary data was unavailable.</w:t>
      </w:r>
    </w:p>
    <w:bookmarkStart w:id="25" w:name="X1428ec1d1885feb992205144a5c6ed055eb01cb"/>
    <w:p>
      <w:pPr>
        <w:pStyle w:val="Heading4"/>
      </w:pPr>
      <w:r>
        <w:t xml:space="preserve">Material Inputs (Detailed Bill of Materials - BOM):</w:t>
      </w:r>
    </w:p>
    <w:p>
      <w:pPr>
        <w:pStyle w:val="FirstParagraph"/>
      </w:pPr>
      <w:r>
        <w:t xml:space="preserve">The following Bill of Materials (BOM) for</w:t>
      </w:r>
      <w:r>
        <w:t xml:space="preserve"> </w:t>
      </w:r>
      <w:r>
        <w:t xml:space="preserve">syxnrsutqk</w:t>
      </w:r>
      <w:r>
        <w:t xml:space="preserve"> </w:t>
      </w:r>
      <w:r>
        <w:t xml:space="preserve">was used for high-accuracy material impact calculation. The "Total Carbon (kgCO2e)" column represents the pre-calculated cradle-to-gate emissions for each material based on its quantity and specified emission factor. These emissions are categorized under</w:t>
      </w:r>
      <w:r>
        <w:t xml:space="preserve"> </w:t>
      </w:r>
      <w:r>
        <w:t xml:space="preserve">Scope 3 (Upstream)</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M4</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M6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bl>
    <w:p>
      <w:pPr>
        <w:pStyle w:val="BodyText"/>
      </w:pPr>
      <w:r>
        <w:rPr>
          <w:bCs/>
          <w:b/>
        </w:rPr>
        <w:t xml:space="preserve">Total Material Emissions (Scope 3 Upstream):</w:t>
      </w:r>
      <w:r>
        <w:t xml:space="preserve"> </w:t>
      </w:r>
      <w:r>
        <w:t xml:space="preserve">7.69 kgCO2e/unit</w:t>
      </w:r>
    </w:p>
    <w:bookmarkEnd w:id="25"/>
    <w:bookmarkStart w:id="26" w:name="energy-inputs-production-phase"/>
    <w:p>
      <w:pPr>
        <w:pStyle w:val="Heading4"/>
      </w:pPr>
      <w:r>
        <w:t xml:space="preserve">Energy Inputs (Production Phase):</w:t>
      </w:r>
    </w:p>
    <w:p>
      <w:pPr>
        <w:numPr>
          <w:ilvl w:val="0"/>
          <w:numId w:val="1002"/>
        </w:numPr>
        <w:pStyle w:val="Compact"/>
      </w:pPr>
      <w:r>
        <w:rPr>
          <w:bCs/>
          <w:b/>
        </w:rPr>
        <w:t xml:space="preserve">Energy Intensity:</w:t>
      </w:r>
      <w:r>
        <w:t xml:space="preserve"> </w:t>
      </w:r>
      <w:r>
        <w:t xml:space="preserve">fjnhwzgesj</w:t>
      </w:r>
      <w:r>
        <w:t xml:space="preserve"> </w:t>
      </w:r>
      <w:r>
        <w:t xml:space="preserve">kWh/unit (e.g., 2.8 kWh/unit)</w:t>
      </w:r>
    </w:p>
    <w:p>
      <w:pPr>
        <w:numPr>
          <w:ilvl w:val="0"/>
          <w:numId w:val="1002"/>
        </w:numPr>
        <w:pStyle w:val="Compact"/>
      </w:pPr>
      <w:r>
        <w:rPr>
          <w:bCs/>
          <w:b/>
        </w:rPr>
        <w:t xml:space="preserve">Renewable Energy Usage:</w:t>
      </w:r>
      <w:r>
        <w:t xml:space="preserve"> </w:t>
      </w:r>
      <w:r>
        <w:t xml:space="preserve">ghthhwdenq</w:t>
      </w:r>
      <w:r>
        <w:t xml:space="preserve"> </w:t>
      </w:r>
      <w:r>
        <w:t xml:space="preserve">(e.g., 60%)</w:t>
      </w:r>
    </w:p>
    <w:p>
      <w:pPr>
        <w:numPr>
          <w:ilvl w:val="0"/>
          <w:numId w:val="1002"/>
        </w:numPr>
        <w:pStyle w:val="Compact"/>
      </w:pPr>
      <w:r>
        <w:rPr>
          <w:bCs/>
          <w:b/>
        </w:rPr>
        <w:t xml:space="preserve">Non-Renewable Energy Share:</w:t>
      </w:r>
      <w:r>
        <w:t xml:space="preserve"> </w:t>
      </w:r>
      <w:r>
        <w:t xml:space="preserve">100% -</w:t>
      </w:r>
      <w:r>
        <w:t xml:space="preserve"> </w:t>
      </w:r>
      <w:r>
        <w:t xml:space="preserve">ghthhwdenq</w:t>
      </w:r>
      <w:r>
        <w:t xml:space="preserve"> </w:t>
      </w:r>
      <w:r>
        <w:t xml:space="preserve">= (e.g., 40%)</w:t>
      </w:r>
    </w:p>
    <w:p>
      <w:pPr>
        <w:numPr>
          <w:ilvl w:val="0"/>
          <w:numId w:val="1002"/>
        </w:numPr>
        <w:pStyle w:val="Compact"/>
      </w:pPr>
      <w:r>
        <w:rPr>
          <w:bCs/>
          <w:b/>
        </w:rPr>
        <w:t xml:space="preserve">Grid Emission Factor (China, assumed average):</w:t>
      </w:r>
      <w:r>
        <w:t xml:space="preserve"> </w:t>
      </w:r>
      <w:r>
        <w:t xml:space="preserve">0.6 kgCO2e/kWh</w:t>
      </w:r>
    </w:p>
    <w:bookmarkEnd w:id="26"/>
    <w:bookmarkStart w:id="27" w:name="logistics-data-supply-chain-analysis"/>
    <w:p>
      <w:pPr>
        <w:pStyle w:val="Heading4"/>
      </w:pPr>
      <w:r>
        <w:t xml:space="preserve">Logistics Data (Supply Chain Analysis):</w:t>
      </w:r>
    </w:p>
    <w:p>
      <w:pPr>
        <w:numPr>
          <w:ilvl w:val="0"/>
          <w:numId w:val="1003"/>
        </w:numPr>
        <w:pStyle w:val="Compact"/>
      </w:pPr>
      <w:r>
        <w:rPr>
          <w:bCs/>
          <w:b/>
        </w:rPr>
        <w:t xml:space="preserve">Main Transport Mode:</w:t>
      </w:r>
      <w:r>
        <w:t xml:space="preserve"> </w:t>
      </w:r>
      <w:r>
        <w:t xml:space="preserve">Select Mode</w:t>
      </w:r>
      <w:r>
        <w:t xml:space="preserve"> </w:t>
      </w:r>
      <w:r>
        <w:t xml:space="preserve">(e.g., Ocean Freight)</w:t>
      </w:r>
    </w:p>
    <w:p>
      <w:pPr>
        <w:numPr>
          <w:ilvl w:val="0"/>
          <w:numId w:val="1003"/>
        </w:numPr>
        <w:pStyle w:val="Compact"/>
      </w:pPr>
      <w:r>
        <w:rPr>
          <w:bCs/>
          <w:b/>
        </w:rPr>
        <w:t xml:space="preserve">Transport Distance (Upstream to Factory, e.g., for key components):</w:t>
      </w:r>
      <w:r>
        <w:t xml:space="preserve"> </w:t>
      </w:r>
      <w:r>
        <w:t xml:space="preserve">swiwhqppse</w:t>
      </w:r>
      <w:r>
        <w:t xml:space="preserve"> </w:t>
      </w:r>
      <w:r>
        <w:t xml:space="preserve">(e.g., 12,000 km)</w:t>
      </w:r>
    </w:p>
    <w:p>
      <w:pPr>
        <w:numPr>
          <w:ilvl w:val="0"/>
          <w:numId w:val="1003"/>
        </w:numPr>
        <w:pStyle w:val="Compact"/>
      </w:pPr>
      <w:r>
        <w:rPr>
          <w:bCs/>
          <w:b/>
        </w:rPr>
        <w:t xml:space="preserve">Transport Mode (Road, to Factory):</w:t>
      </w:r>
      <w:r>
        <w:t xml:space="preserve"> </w:t>
      </w:r>
      <w:r>
        <w:t xml:space="preserve">Heavy-Duty Truck</w:t>
      </w:r>
    </w:p>
    <w:p>
      <w:pPr>
        <w:numPr>
          <w:ilvl w:val="0"/>
          <w:numId w:val="1003"/>
        </w:numPr>
        <w:pStyle w:val="Compact"/>
      </w:pPr>
      <w:r>
        <w:rPr>
          <w:bCs/>
          <w:b/>
        </w:rPr>
        <w:t xml:space="preserve">Transport Distance (Road, to Factory):</w:t>
      </w:r>
      <w:r>
        <w:t xml:space="preserve"> </w:t>
      </w:r>
      <w:r>
        <w:t xml:space="preserve">500 km</w:t>
      </w:r>
    </w:p>
    <w:p>
      <w:pPr>
        <w:numPr>
          <w:ilvl w:val="0"/>
          <w:numId w:val="1003"/>
        </w:numPr>
        <w:pStyle w:val="Compact"/>
      </w:pPr>
      <w:r>
        <w:rPr>
          <w:bCs/>
          <w:b/>
        </w:rPr>
        <w:t xml:space="preserve">Last-Mile Delivery Channel:</w:t>
      </w:r>
      <w:r>
        <w:t xml:space="preserve"> </w:t>
      </w:r>
      <w:r>
        <w:t xml:space="preserve">Delivery Type</w:t>
      </w:r>
      <w:r>
        <w:t xml:space="preserve"> </w:t>
      </w:r>
      <w:r>
        <w:t xml:space="preserve">(e.g., Road, Light Commercial Vehicle (LCV))</w:t>
      </w:r>
    </w:p>
    <w:p>
      <w:pPr>
        <w:numPr>
          <w:ilvl w:val="0"/>
          <w:numId w:val="1003"/>
        </w:numPr>
        <w:pStyle w:val="Compact"/>
      </w:pPr>
      <w:r>
        <w:rPr>
          <w:bCs/>
          <w:b/>
        </w:rPr>
        <w:t xml:space="preserve">Last-Mile Delivery Distance (Assumed average):</w:t>
      </w:r>
      <w:r>
        <w:t xml:space="preserve"> </w:t>
      </w:r>
      <w:r>
        <w:t xml:space="preserve">100 km</w:t>
      </w:r>
    </w:p>
    <w:p>
      <w:pPr>
        <w:numPr>
          <w:ilvl w:val="0"/>
          <w:numId w:val="1003"/>
        </w:numPr>
        <w:pStyle w:val="Compact"/>
      </w:pPr>
      <w:r>
        <w:rPr>
          <w:bCs/>
          <w:b/>
        </w:rPr>
        <w:t xml:space="preserve">Product Weight for Transport:</w:t>
      </w:r>
      <w:r>
        <w:t xml:space="preserve"> </w:t>
      </w:r>
      <w:r>
        <w:t xml:space="preserve">Approximately 2.5 kg (including packaging).</w:t>
      </w:r>
    </w:p>
    <w:bookmarkEnd w:id="27"/>
    <w:bookmarkStart w:id="28"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zfyojueuph</w:t>
      </w:r>
      <w:r>
        <w:t xml:space="preserve"> </w:t>
      </w:r>
      <w:r>
        <w:t xml:space="preserve">(e.g., 7 years)</w:t>
      </w:r>
    </w:p>
    <w:p>
      <w:pPr>
        <w:numPr>
          <w:ilvl w:val="0"/>
          <w:numId w:val="1004"/>
        </w:numPr>
        <w:pStyle w:val="Compact"/>
      </w:pPr>
      <w:r>
        <w:rPr>
          <w:bCs/>
          <w:b/>
        </w:rPr>
        <w:t xml:space="preserve">Energy Consumption in Use:</w:t>
      </w:r>
      <w:r>
        <w:t xml:space="preserve"> </w:t>
      </w:r>
      <w:r>
        <w:t xml:space="preserve">imwwhvnllv</w:t>
      </w:r>
      <w:r>
        <w:t xml:space="preserve"> </w:t>
      </w:r>
      <w:r>
        <w:t xml:space="preserve">(e.g., 15 kWh/year)</w:t>
      </w:r>
    </w:p>
    <w:p>
      <w:pPr>
        <w:numPr>
          <w:ilvl w:val="0"/>
          <w:numId w:val="1004"/>
        </w:numPr>
        <w:pStyle w:val="Compact"/>
      </w:pPr>
      <w:r>
        <w:rPr>
          <w:bCs/>
          <w:b/>
        </w:rPr>
        <w:t xml:space="preserve">Assumed Electricity Grid Emission Factor (Europe, average):</w:t>
      </w:r>
      <w:r>
        <w:t xml:space="preserve"> </w:t>
      </w:r>
      <w:r>
        <w:t xml:space="preserve">0.25 kgCO2e/kWh</w:t>
      </w:r>
    </w:p>
    <w:bookmarkEnd w:id="28"/>
    <w:bookmarkStart w:id="29"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hgmmhtffgp</w:t>
      </w:r>
      <w:r>
        <w:t xml:space="preserve"> </w:t>
      </w:r>
      <w:r>
        <w:t xml:space="preserve">(e.g., 85%)</w:t>
      </w:r>
    </w:p>
    <w:p>
      <w:pPr>
        <w:numPr>
          <w:ilvl w:val="0"/>
          <w:numId w:val="1005"/>
        </w:numPr>
        <w:pStyle w:val="Compact"/>
      </w:pPr>
      <w:r>
        <w:rPr>
          <w:bCs/>
          <w:b/>
        </w:rPr>
        <w:t xml:space="preserve">Circular/Take-back Programs:</w:t>
      </w:r>
      <w:r>
        <w:t xml:space="preserve"> </w:t>
      </w:r>
      <w:r>
        <w:t xml:space="preserve">hgijphxxdi</w:t>
      </w:r>
      <w:r>
        <w:t xml:space="preserve"> </w:t>
      </w:r>
      <w:r>
        <w:t xml:space="preserve">(e.g., Comprehensive product buy-back and refurbishment program available)</w:t>
      </w:r>
    </w:p>
    <w:p>
      <w:pPr>
        <w:numPr>
          <w:ilvl w:val="0"/>
          <w:numId w:val="1005"/>
        </w:numPr>
        <w:pStyle w:val="Compact"/>
      </w:pPr>
      <w:r>
        <w:rPr>
          <w:bCs/>
          <w:b/>
        </w:rPr>
        <w:t xml:space="preserve">Assumed Landfill Emission Factor (for non-recycled waste):</w:t>
      </w:r>
      <w:r>
        <w:t xml:space="preserve"> </w:t>
      </w:r>
      <w:r>
        <w:t xml:space="preserve">0.5 kgCO2e/kg (simplified)</w:t>
      </w:r>
    </w:p>
    <w:p>
      <w:r>
        <w:pict>
          <v:rect style="width:0;height:1.5pt" o:hralign="center" o:hrstd="t" o:hr="t"/>
        </w:pict>
      </w:r>
    </w:p>
    <w:bookmarkEnd w:id="29"/>
    <w:bookmarkEnd w:id="30"/>
    <w:bookmarkEnd w:id="31"/>
    <w:bookmarkStart w:id="39" w:name="X2c62247db19834934c44c209ad423fe06ba5c64"/>
    <w:p>
      <w:pPr>
        <w:pStyle w:val="Heading2"/>
      </w:pPr>
      <w:r>
        <w:t xml:space="preserve">3. Calculation of Emissions (Activity * Emission Factor = CO2e)</w:t>
      </w:r>
    </w:p>
    <w:p>
      <w:pPr>
        <w:pStyle w:val="FirstParagraph"/>
      </w:pPr>
      <w:r>
        <w:t xml:space="preserve">Emissions are categorized into Scope 1 (Direct), Scope 2 (Purchased Energy), and Scope 3 (Value Chain) as per the GHG Protocol.</w:t>
      </w:r>
    </w:p>
    <w:bookmarkStart w:id="32" w:name="scope-1-direct-emissions"/>
    <w:p>
      <w:pPr>
        <w:pStyle w:val="Heading3"/>
      </w:pPr>
      <w:r>
        <w:t xml:space="preserve">3.1. Scope 1: Direct Emissions</w:t>
      </w:r>
    </w:p>
    <w:p>
      <w:pPr>
        <w:pStyle w:val="FirstParagraph"/>
      </w:pPr>
      <w:r>
        <w:t xml:space="preserve">For a "factory_gate" system boundary and given parameters focusing on purchased energy and upstream/downstream activities, direct (Scope 1) emissions from on-site fuel combustion (e.g., company-owned boilers, vehicles at the factory) are assumed to be negligible or outside the primary data collection scope for this product-level analysis, unless specifically included in the \'Process\' emissions of the BOM. Therefore,</w:t>
      </w:r>
      <w:r>
        <w:t xml:space="preserve"> </w:t>
      </w:r>
      <w:r>
        <w:t xml:space="preserve">Scope 1 emissions are considered 0.00 kgCO2e/unit</w:t>
      </w:r>
      <w:r>
        <w:t xml:space="preserve"> </w:t>
      </w:r>
      <w:r>
        <w:t xml:space="preserve">for this assessment, awaiting further specific operational data if required for a corporate-level inventory.</w:t>
      </w:r>
    </w:p>
    <w:bookmarkEnd w:id="32"/>
    <w:bookmarkStart w:id="33" w:name="Xb723199ec699a00f8e69a8c739729ec15ed31a7"/>
    <w:p>
      <w:pPr>
        <w:pStyle w:val="Heading3"/>
      </w:pPr>
      <w:r>
        <w:t xml:space="preserve">3.2. Scope 2: Purchased Energy Emissions (Production)</w:t>
      </w:r>
    </w:p>
    <w:p>
      <w:pPr>
        <w:pStyle w:val="FirstParagraph"/>
      </w:pPr>
      <w:r>
        <w:t xml:space="preserve">These emissions arise from the generation of purchased electricity consumed during the product\'s manufacturing in China.</w:t>
      </w:r>
    </w:p>
    <w:p>
      <w:pPr>
        <w:numPr>
          <w:ilvl w:val="0"/>
          <w:numId w:val="1006"/>
        </w:numPr>
        <w:pStyle w:val="Compact"/>
      </w:pPr>
      <w:r>
        <w:t xml:space="preserve">Total Energy Intensity: 2.8 kWh/unit</w:t>
      </w:r>
    </w:p>
    <w:p>
      <w:pPr>
        <w:numPr>
          <w:ilvl w:val="0"/>
          <w:numId w:val="1006"/>
        </w:numPr>
        <w:pStyle w:val="Compact"/>
      </w:pPr>
      <w:r>
        <w:t xml:space="preserve">Renewable Energy Usage: 60%</w:t>
      </w:r>
    </w:p>
    <w:p>
      <w:pPr>
        <w:numPr>
          <w:ilvl w:val="0"/>
          <w:numId w:val="1006"/>
        </w:numPr>
        <w:pStyle w:val="Compact"/>
      </w:pPr>
      <w:r>
        <w:t xml:space="preserve">Non-Renewable Energy from Grid: 2.8 kWh/unit * (1 - 0.60) = 1.12 kWh/unit</w:t>
      </w:r>
    </w:p>
    <w:p>
      <w:pPr>
        <w:numPr>
          <w:ilvl w:val="0"/>
          <w:numId w:val="1006"/>
        </w:numPr>
        <w:pStyle w:val="Compact"/>
      </w:pPr>
      <w:r>
        <w:t xml:space="preserve">Chinese Grid Emission Factor (average): 0.6 kgCO2e/kWh (Assumed based on current energy mix in China)</w:t>
      </w:r>
    </w:p>
    <w:p>
      <w:pPr>
        <w:numPr>
          <w:ilvl w:val="0"/>
          <w:numId w:val="1006"/>
        </w:numPr>
        <w:pStyle w:val="Compact"/>
      </w:pPr>
      <w:r>
        <w:rPr>
          <w:bCs/>
          <w:b/>
        </w:rPr>
        <w:t xml:space="preserve">Scope 2 Emissions:</w:t>
      </w:r>
      <w:r>
        <w:t xml:space="preserve"> </w:t>
      </w:r>
      <w:r>
        <w:t xml:space="preserve">1.12 kWh/unit * 0.6 kgCO2e/kWh = 0.67 kgCO2e/unit</w:t>
      </w:r>
    </w:p>
    <w:bookmarkEnd w:id="33"/>
    <w:bookmarkStart w:id="36" w:name="scope-3-value-chain-emissions"/>
    <w:p>
      <w:pPr>
        <w:pStyle w:val="Heading3"/>
      </w:pPr>
      <w:r>
        <w:t xml:space="preserve">3.3. Scope 3: Value Chain Emissions</w:t>
      </w:r>
    </w:p>
    <w:p>
      <w:pPr>
        <w:pStyle w:val="FirstParagraph"/>
      </w:pPr>
      <w:r>
        <w:t xml:space="preserve">Scope 3 emissions represent the most significant portion of the product\'s carbon footprint, encompassing both upstream (material acquisition, transport to factory) and downstream (use phase, end-of-life) activities. A rigorous approach was taken to achieve the</w:t>
      </w:r>
      <w:r>
        <w:t xml:space="preserve"> </w:t>
      </w:r>
      <w:r>
        <w:t xml:space="preserve">95% coverage requirement for Scope 3 reporting (2026 requirements)</w:t>
      </w:r>
      <w:r>
        <w:t xml:space="preserve">.</w:t>
      </w:r>
    </w:p>
    <w:bookmarkStart w:id="34" w:name="upstream-emissions"/>
    <w:p>
      <w:pPr>
        <w:pStyle w:val="Heading4"/>
      </w:pPr>
      <w:r>
        <w:t xml:space="preserve">3.3.1. Upstream Emissions</w:t>
      </w:r>
    </w:p>
    <w:p>
      <w:pPr>
        <w:numPr>
          <w:ilvl w:val="0"/>
          <w:numId w:val="1007"/>
        </w:numPr>
        <w:pStyle w:val="Compact"/>
      </w:pPr>
      <w:r>
        <w:rPr>
          <w:bCs/>
          <w:b/>
        </w:rPr>
        <w:t xml:space="preserve">Materials Acquisition &amp; Processing (Category 1):</w:t>
      </w:r>
    </w:p>
    <w:p>
      <w:pPr>
        <w:numPr>
          <w:ilvl w:val="1"/>
          <w:numId w:val="1008"/>
        </w:numPr>
        <w:pStyle w:val="Compact"/>
      </w:pPr>
      <w:r>
        <w:t xml:space="preserve">Total Carbon from BOM (sum of "Total Carbon" column): 3.75 + 0.90 + 0.80 + 1.50 + 0.24 + 0.50 = 7.69 kgCO2e/unit</w:t>
      </w:r>
    </w:p>
    <w:p>
      <w:pPr>
        <w:numPr>
          <w:ilvl w:val="1"/>
          <w:numId w:val="1008"/>
        </w:numPr>
        <w:pStyle w:val="Compact"/>
      </w:pPr>
      <w:r>
        <w:rPr>
          <w:bCs/>
          <w:b/>
        </w:rPr>
        <w:t xml:space="preserve">Material Emissions: 7.69 kgCO2e/unit</w:t>
      </w:r>
    </w:p>
    <w:p>
      <w:pPr>
        <w:numPr>
          <w:ilvl w:val="0"/>
          <w:numId w:val="1007"/>
        </w:numPr>
        <w:pStyle w:val="Compact"/>
      </w:pPr>
      <w:r>
        <w:rPr>
          <w:bCs/>
          <w:b/>
        </w:rPr>
        <w:t xml:space="preserve">Upstream Transportation &amp; Distribution (Category 4):</w:t>
      </w:r>
    </w:p>
    <w:p>
      <w:pPr>
        <w:numPr>
          <w:ilvl w:val="1"/>
          <w:numId w:val="1009"/>
        </w:numPr>
        <w:pStyle w:val="Compact"/>
      </w:pPr>
      <w:r>
        <w:t xml:space="preserve">Product Weight for Transport: 2.5 kg</w:t>
      </w:r>
    </w:p>
    <w:p>
      <w:pPr>
        <w:numPr>
          <w:ilvl w:val="1"/>
          <w:numId w:val="1009"/>
        </w:numPr>
        <w:pStyle w:val="Compact"/>
      </w:pPr>
      <w:r>
        <w:rPr>
          <w:bCs/>
          <w:b/>
        </w:rPr>
        <w:t xml:space="preserve">Ocean Freight (Main Components):</w:t>
      </w:r>
    </w:p>
    <w:p>
      <w:pPr>
        <w:numPr>
          <w:ilvl w:val="2"/>
          <w:numId w:val="1010"/>
        </w:numPr>
        <w:pStyle w:val="Compact"/>
      </w:pPr>
      <w:r>
        <w:t xml:space="preserve">Distance: 12,000 km</w:t>
      </w:r>
    </w:p>
    <w:p>
      <w:pPr>
        <w:numPr>
          <w:ilvl w:val="2"/>
          <w:numId w:val="1010"/>
        </w:numPr>
        <w:pStyle w:val="Compact"/>
      </w:pPr>
      <w:r>
        <w:t xml:space="preserve">Emission Factor (Ocean Freight, assumed average for container ship): 0.010 kgCO2e/tonne-km</w:t>
      </w:r>
    </w:p>
    <w:p>
      <w:pPr>
        <w:numPr>
          <w:ilvl w:val="2"/>
          <w:numId w:val="1010"/>
        </w:numPr>
        <w:pStyle w:val="Compact"/>
      </w:pPr>
      <w:r>
        <w:t xml:space="preserve">Emissions: (2.5 kg / 1000 kg/tonne) * 12,000 km * 0.010 kgCO2e/tonne-km = 0.30 kgCO2e/unit</w:t>
      </w:r>
    </w:p>
    <w:p>
      <w:pPr>
        <w:numPr>
          <w:ilvl w:val="1"/>
          <w:numId w:val="1009"/>
        </w:numPr>
        <w:pStyle w:val="Compact"/>
      </w:pPr>
      <w:r>
        <w:rPr>
          <w:bCs/>
          <w:b/>
        </w:rPr>
        <w:t xml:space="preserve">Road Freight (First-mile to Factory):</w:t>
      </w:r>
    </w:p>
    <w:p>
      <w:pPr>
        <w:numPr>
          <w:ilvl w:val="2"/>
          <w:numId w:val="1011"/>
        </w:numPr>
        <w:pStyle w:val="Compact"/>
      </w:pPr>
      <w:r>
        <w:t xml:space="preserve">Distance: 500 km</w:t>
      </w:r>
    </w:p>
    <w:p>
      <w:pPr>
        <w:numPr>
          <w:ilvl w:val="2"/>
          <w:numId w:val="1011"/>
        </w:numPr>
        <w:pStyle w:val="Compact"/>
      </w:pPr>
      <w:r>
        <w:t xml:space="preserve">Emission Factor (Heavy-Duty Truck, assumed average): 0.080 kgCO2e/tonne-km</w:t>
      </w:r>
    </w:p>
    <w:p>
      <w:pPr>
        <w:numPr>
          <w:ilvl w:val="2"/>
          <w:numId w:val="1011"/>
        </w:numPr>
        <w:pStyle w:val="Compact"/>
      </w:pPr>
      <w:r>
        <w:t xml:space="preserve">Emissions: (2.5 kg / 1000 kg/tonne) * 500 km * 0.080 kgCO2e/tonne-km = 0.10 kgCO2e/unit</w:t>
      </w:r>
    </w:p>
    <w:p>
      <w:pPr>
        <w:numPr>
          <w:ilvl w:val="1"/>
          <w:numId w:val="1009"/>
        </w:numPr>
        <w:pStyle w:val="Compact"/>
      </w:pPr>
      <w:r>
        <w:rPr>
          <w:bCs/>
          <w:b/>
        </w:rPr>
        <w:t xml:space="preserve">Total Upstream Transport Emissions: 0.30 + 0.10 = 0.40 kgCO2e/unit</w:t>
      </w:r>
    </w:p>
    <w:p>
      <w:pPr>
        <w:pStyle w:val="FirstParagraph"/>
      </w:pPr>
      <w:r>
        <w:rPr>
          <w:bCs/>
          <w:b/>
        </w:rPr>
        <w:t xml:space="preserve">Total Upstream Scope 3 Emissions:</w:t>
      </w:r>
      <w:r>
        <w:t xml:space="preserve"> </w:t>
      </w:r>
      <w:r>
        <w:t xml:space="preserve">7.69 + 0.40 = 8.09 kgCO2e/unit</w:t>
      </w:r>
    </w:p>
    <w:bookmarkEnd w:id="34"/>
    <w:bookmarkStart w:id="35" w:name="downstream-emissions"/>
    <w:p>
      <w:pPr>
        <w:pStyle w:val="Heading4"/>
      </w:pPr>
      <w:r>
        <w:t xml:space="preserve">3.3.2. Downstream Emissions</w:t>
      </w:r>
    </w:p>
    <w:p>
      <w:pPr>
        <w:numPr>
          <w:ilvl w:val="0"/>
          <w:numId w:val="1012"/>
        </w:numPr>
        <w:pStyle w:val="Compact"/>
      </w:pPr>
      <w:r>
        <w:rPr>
          <w:bCs/>
          <w:b/>
        </w:rPr>
        <w:t xml:space="preserve">Use of Sold Products (Category 11):</w:t>
      </w:r>
    </w:p>
    <w:p>
      <w:pPr>
        <w:numPr>
          <w:ilvl w:val="1"/>
          <w:numId w:val="1013"/>
        </w:numPr>
        <w:pStyle w:val="Compact"/>
      </w:pPr>
      <w:r>
        <w:t xml:space="preserve">Product Lifespan: 7 years</w:t>
      </w:r>
    </w:p>
    <w:p>
      <w:pPr>
        <w:numPr>
          <w:ilvl w:val="1"/>
          <w:numId w:val="1013"/>
        </w:numPr>
        <w:pStyle w:val="Compact"/>
      </w:pPr>
      <w:r>
        <w:t xml:space="preserve">Energy Consumption in Use: 15 kWh/year</w:t>
      </w:r>
    </w:p>
    <w:p>
      <w:pPr>
        <w:numPr>
          <w:ilvl w:val="1"/>
          <w:numId w:val="1013"/>
        </w:numPr>
        <w:pStyle w:val="Compact"/>
      </w:pPr>
      <w:r>
        <w:t xml:space="preserve">Total Use Phase Energy: 7 years * 15 kWh/year = 105 kWh/unit</w:t>
      </w:r>
    </w:p>
    <w:p>
      <w:pPr>
        <w:numPr>
          <w:ilvl w:val="1"/>
          <w:numId w:val="1013"/>
        </w:numPr>
        <w:pStyle w:val="Compact"/>
      </w:pPr>
      <w:r>
        <w:t xml:space="preserve">Assumed European Grid Emission Factor (average): 0.25 kgCO2e/kWh</w:t>
      </w:r>
    </w:p>
    <w:p>
      <w:pPr>
        <w:numPr>
          <w:ilvl w:val="1"/>
          <w:numId w:val="1013"/>
        </w:numPr>
        <w:pStyle w:val="Compact"/>
      </w:pPr>
      <w:r>
        <w:rPr>
          <w:bCs/>
          <w:b/>
        </w:rPr>
        <w:t xml:space="preserve">Use Phase Emissions:</w:t>
      </w:r>
      <w:r>
        <w:t xml:space="preserve"> </w:t>
      </w:r>
      <w:r>
        <w:t xml:space="preserve">105 kWh/unit * 0.25 kgCO2e/kWh = 26.25 kgCO2e/unit</w:t>
      </w:r>
    </w:p>
    <w:p>
      <w:pPr>
        <w:numPr>
          <w:ilvl w:val="0"/>
          <w:numId w:val="1012"/>
        </w:numPr>
        <w:pStyle w:val="Compact"/>
      </w:pPr>
      <w:r>
        <w:rPr>
          <w:bCs/>
          <w:b/>
        </w:rPr>
        <w:t xml:space="preserve">End-of-Life Treatment of Sold Products (Category 12):</w:t>
      </w:r>
    </w:p>
    <w:p>
      <w:pPr>
        <w:numPr>
          <w:ilvl w:val="1"/>
          <w:numId w:val="1014"/>
        </w:numPr>
        <w:pStyle w:val="Compact"/>
      </w:pPr>
      <w:r>
        <w:t xml:space="preserve">Recyclability Percentage: 85%</w:t>
      </w:r>
    </w:p>
    <w:p>
      <w:pPr>
        <w:numPr>
          <w:ilvl w:val="1"/>
          <w:numId w:val="1014"/>
        </w:numPr>
        <w:pStyle w:val="Compact"/>
      </w:pPr>
      <w:r>
        <w:t xml:space="preserve">Non-Recyclable Portion: 1 - 0.85 = 0.15</w:t>
      </w:r>
    </w:p>
    <w:p>
      <w:pPr>
        <w:numPr>
          <w:ilvl w:val="1"/>
          <w:numId w:val="1014"/>
        </w:numPr>
        <w:pStyle w:val="Compact"/>
      </w:pPr>
      <w:r>
        <w:t xml:space="preserve">Product Weight for Disposal: 2.5 kg</w:t>
      </w:r>
    </w:p>
    <w:p>
      <w:pPr>
        <w:numPr>
          <w:ilvl w:val="1"/>
          <w:numId w:val="1014"/>
        </w:numPr>
        <w:pStyle w:val="Compact"/>
      </w:pPr>
      <w:r>
        <w:t xml:space="preserve">Assumed Landfill Emission Factor (for non-recycled waste): 0.5 kgCO2e/kg</w:t>
      </w:r>
    </w:p>
    <w:p>
      <w:pPr>
        <w:numPr>
          <w:ilvl w:val="1"/>
          <w:numId w:val="1014"/>
        </w:numPr>
        <w:pStyle w:val="Compact"/>
      </w:pPr>
      <w:r>
        <w:rPr>
          <w:bCs/>
          <w:b/>
        </w:rPr>
        <w:t xml:space="preserve">End-of-Life Disposal Emissions:</w:t>
      </w:r>
      <w:r>
        <w:t xml:space="preserve"> </w:t>
      </w:r>
      <w:r>
        <w:t xml:space="preserve">0.15 * 2.5 kg * 0.5 kgCO2e/kg = 0.19 kgCO2e/unit</w:t>
      </w:r>
    </w:p>
    <w:p>
      <w:pPr>
        <w:numPr>
          <w:ilvl w:val="1"/>
          <w:numId w:val="1014"/>
        </w:numPr>
        <w:pStyle w:val="Compact"/>
      </w:pPr>
      <w:r>
        <w:rPr>
          <w:bCs/>
          <w:b/>
        </w:rPr>
        <w:t xml:space="preserve">Circular/Take-back Programs:</w:t>
      </w:r>
      <w:r>
        <w:t xml:space="preserve"> </w:t>
      </w:r>
      <w:r>
        <w:t xml:space="preserve">The existence of a</w:t>
      </w:r>
      <w:r>
        <w:t xml:space="preserve"> </w:t>
      </w:r>
      <w:r>
        <w:t xml:space="preserve">"Comprehensive product buy-back and refurbishment program"</w:t>
      </w:r>
      <w:r>
        <w:t xml:space="preserve"> </w:t>
      </w:r>
      <w:r>
        <w:t xml:space="preserve">indicates potential for significant avoided emissions not fully captured in the direct EoL calculation. These programs extend product lifespan and reduce the need for new production, offering substantial carbon benefits beyond simple recycling. While not explicitly quantified as negative emissions in this PCF due to data limitations, their positive impact is acknowledged.</w:t>
      </w:r>
    </w:p>
    <w:p>
      <w:pPr>
        <w:numPr>
          <w:ilvl w:val="0"/>
          <w:numId w:val="1012"/>
        </w:numPr>
        <w:pStyle w:val="Compact"/>
      </w:pPr>
      <w:r>
        <w:rPr>
          <w:bCs/>
          <w:b/>
        </w:rPr>
        <w:t xml:space="preserve">Downstream Transportation &amp; Distribution (Category 9 - Last-Mile):</w:t>
      </w:r>
    </w:p>
    <w:p>
      <w:pPr>
        <w:numPr>
          <w:ilvl w:val="1"/>
          <w:numId w:val="1015"/>
        </w:numPr>
        <w:pStyle w:val="Compact"/>
      </w:pPr>
      <w:r>
        <w:t xml:space="preserve">Last-Mile Delivery Type: Road, LCV</w:t>
      </w:r>
    </w:p>
    <w:p>
      <w:pPr>
        <w:numPr>
          <w:ilvl w:val="1"/>
          <w:numId w:val="1015"/>
        </w:numPr>
        <w:pStyle w:val="Compact"/>
      </w:pPr>
      <w:r>
        <w:t xml:space="preserve">Last-Mile Delivery Distance: 100 km</w:t>
      </w:r>
    </w:p>
    <w:p>
      <w:pPr>
        <w:numPr>
          <w:ilvl w:val="1"/>
          <w:numId w:val="1015"/>
        </w:numPr>
        <w:pStyle w:val="Compact"/>
      </w:pPr>
      <w:r>
        <w:t xml:space="preserve">Emission Factor (LCV, assumed average): 0.200 kgCO2e/tonne-km</w:t>
      </w:r>
    </w:p>
    <w:p>
      <w:pPr>
        <w:numPr>
          <w:ilvl w:val="1"/>
          <w:numId w:val="1015"/>
        </w:numPr>
        <w:pStyle w:val="Compact"/>
      </w:pPr>
      <w:r>
        <w:t xml:space="preserve">Emissions: (2.5 kg / 1000 kg/tonne) * 100 km * 0.200 kgCO2e/tonne-km = 0.05 kgCO2e/unit</w:t>
      </w:r>
    </w:p>
    <w:p>
      <w:pPr>
        <w:numPr>
          <w:ilvl w:val="1"/>
          <w:numId w:val="1015"/>
        </w:numPr>
        <w:pStyle w:val="Compact"/>
      </w:pPr>
      <w:r>
        <w:rPr>
          <w:bCs/>
          <w:b/>
        </w:rPr>
        <w:t xml:space="preserve">Last-Mile Delivery Emissions: 0.05 kgCO2e/unit</w:t>
      </w:r>
    </w:p>
    <w:p>
      <w:pPr>
        <w:pStyle w:val="FirstParagraph"/>
      </w:pPr>
      <w:r>
        <w:rPr>
          <w:bCs/>
          <w:b/>
        </w:rPr>
        <w:t xml:space="preserve">Total Downstream Scope 3 Emissions:</w:t>
      </w:r>
      <w:r>
        <w:t xml:space="preserve"> </w:t>
      </w:r>
      <w:r>
        <w:t xml:space="preserve">26.25 + 0.19 + 0.05 = 26.49 kgCO2e/unit</w:t>
      </w:r>
    </w:p>
    <w:bookmarkEnd w:id="35"/>
    <w:bookmarkEnd w:id="36"/>
    <w:bookmarkStart w:id="37" w:name="total-product-carbon-footprint"/>
    <w:p>
      <w:pPr>
        <w:pStyle w:val="Heading3"/>
      </w:pPr>
      <w:r>
        <w:t xml:space="preserve">3.4. Total Product Carbon Footprint</w:t>
      </w:r>
    </w:p>
    <w:p>
      <w:pPr>
        <w:pStyle w:val="FirstParagraph"/>
      </w:pPr>
      <w:r>
        <w:t xml:space="preserve">Summing up emissions from all relevant scopes:</w:t>
      </w:r>
    </w:p>
    <w:p>
      <w:pPr>
        <w:numPr>
          <w:ilvl w:val="0"/>
          <w:numId w:val="1016"/>
        </w:numPr>
        <w:pStyle w:val="Compact"/>
      </w:pPr>
      <w:r>
        <w:t xml:space="preserve">Scope 1 Emissions: 0.00 kgCO2e/unit</w:t>
      </w:r>
    </w:p>
    <w:p>
      <w:pPr>
        <w:numPr>
          <w:ilvl w:val="0"/>
          <w:numId w:val="1016"/>
        </w:numPr>
        <w:pStyle w:val="Compact"/>
      </w:pPr>
      <w:r>
        <w:t xml:space="preserve">Scope 2 Emissions: 0.67 kgCO2e/unit</w:t>
      </w:r>
    </w:p>
    <w:p>
      <w:pPr>
        <w:numPr>
          <w:ilvl w:val="0"/>
          <w:numId w:val="1016"/>
        </w:numPr>
        <w:pStyle w:val="Compact"/>
      </w:pPr>
      <w:r>
        <w:t xml:space="preserve">Scope 3 Upstream Emissions: 8.09 kgCO2e/unit</w:t>
      </w:r>
    </w:p>
    <w:p>
      <w:pPr>
        <w:numPr>
          <w:ilvl w:val="0"/>
          <w:numId w:val="1016"/>
        </w:numPr>
        <w:pStyle w:val="Compact"/>
      </w:pPr>
      <w:r>
        <w:t xml:space="preserve">Scope 3 Downstream Emissions: 26.49 kgCO2e/unit</w:t>
      </w:r>
    </w:p>
    <w:p>
      <w:pPr>
        <w:pStyle w:val="FirstParagraph"/>
      </w:pPr>
      <w:r>
        <w:rPr>
          <w:bCs/>
          <w:b/>
        </w:rPr>
        <w:t xml:space="preserve">Total Product Carbon Footprint for 1.0 unit of syxnrsutqk:</w:t>
      </w:r>
      <w:r>
        <w:t xml:space="preserve"> </w:t>
      </w:r>
      <w:r>
        <w:t xml:space="preserve">0.00 + 0.67 + 8.09 + 26.49 =</w:t>
      </w:r>
      <w:r>
        <w:t xml:space="preserve"> </w:t>
      </w:r>
      <w:r>
        <w:rPr>
          <w:bCs/>
          <w:b/>
        </w:rPr>
        <w:t xml:space="preserve">35.25 kgCO2e/unit</w:t>
      </w:r>
    </w:p>
    <w:bookmarkEnd w:id="37"/>
    <w:bookmarkStart w:id="38" w:name="lsr-update-land-sector-and-removals"/>
    <w:p>
      <w:pPr>
        <w:pStyle w:val="Heading3"/>
      </w:pPr>
      <w:r>
        <w:t xml:space="preserve">3.5. 2026 LSR Update (Land Sector and Removals)</w:t>
      </w:r>
    </w:p>
    <w:p>
      <w:pPr>
        <w:pStyle w:val="FirstParagraph"/>
      </w:pPr>
      <w:r>
        <w:t xml:space="preserve">The 2026 Land Sector and Removals (LSR) Standard is acknowledged as crucial for comprehensive GHG accounting. For this specific PCF, direct land-use change or biogenic carbon removals associated with the materials and processes in the provided BOM were not explicitly quantified, nor were specific data points for these provided. Therefore, the LSR impact is not numerically represented in the total PCF calculation. However,</w:t>
      </w:r>
      <w:r>
        <w:t xml:space="preserve"> </w:t>
      </w:r>
      <w:r>
        <w:t xml:space="preserve">edgxszrdzi</w:t>
      </w:r>
      <w:r>
        <w:t xml:space="preserve"> </w:t>
      </w:r>
      <w:r>
        <w:t xml:space="preserve">is encouraged to integrate specific land-use impact data and biogenic carbon flows into future assessments to fully comply with the LSR standard for products containing biomass or impacting land use directly.</w:t>
      </w:r>
    </w:p>
    <w:p>
      <w:r>
        <w:pict>
          <v:rect style="width:0;height:1.5pt" o:hralign="center" o:hrstd="t" o:hr="t"/>
        </w:pict>
      </w:r>
    </w:p>
    <w:bookmarkEnd w:id="38"/>
    <w:bookmarkEnd w:id="39"/>
    <w:bookmarkStart w:id="43" w:name="review-report"/>
    <w:p>
      <w:pPr>
        <w:pStyle w:val="Heading2"/>
      </w:pPr>
      <w:r>
        <w:t xml:space="preserve">4. Review &amp; Report</w:t>
      </w:r>
    </w:p>
    <w:bookmarkStart w:id="40" w:name="emission-hotspots"/>
    <w:p>
      <w:pPr>
        <w:pStyle w:val="Heading3"/>
      </w:pPr>
      <w:r>
        <w:t xml:space="preserve">4.1. Emission Hotspots</w:t>
      </w:r>
    </w:p>
    <w:p>
      <w:pPr>
        <w:pStyle w:val="FirstParagraph"/>
      </w:pPr>
      <w:r>
        <w:t xml:space="preserve">The analysis identifies the following primary emission hotspots for</w:t>
      </w:r>
      <w:r>
        <w:t xml:space="preserve"> </w:t>
      </w:r>
      <w:r>
        <w:t xml:space="preserve">syxnrsutqk</w:t>
      </w:r>
      <w:r>
        <w:t xml:space="preserve">:</w:t>
      </w:r>
    </w:p>
    <w:p>
      <w:pPr>
        <w:numPr>
          <w:ilvl w:val="0"/>
          <w:numId w:val="1017"/>
        </w:numPr>
        <w:pStyle w:val="Compact"/>
      </w:pPr>
      <w:r>
        <w:rPr>
          <w:bCs/>
          <w:b/>
        </w:rPr>
        <w:t xml:space="preserve">Use Phase (26.25 kgCO2e/unit, approx. 74.5% of total PCF):</w:t>
      </w:r>
      <w:r>
        <w:t xml:space="preserve"> </w:t>
      </w:r>
      <w:r>
        <w:t xml:space="preserve">This is by far the largest contributor due to the product\'s lifespan (</w:t>
      </w:r>
      <w:r>
        <w:t xml:space="preserve">7 years</w:t>
      </w:r>
      <w:r>
        <w:t xml:space="preserve">) and its continuous energy consumption (</w:t>
      </w:r>
      <w:r>
        <w:t xml:space="preserve">15 kWh/year</w:t>
      </w:r>
      <w:r>
        <w:t xml:space="preserve">). This highlights the critical importance of energy efficiency during product operation.</w:t>
      </w:r>
    </w:p>
    <w:p>
      <w:pPr>
        <w:numPr>
          <w:ilvl w:val="0"/>
          <w:numId w:val="1017"/>
        </w:numPr>
        <w:pStyle w:val="Compact"/>
      </w:pPr>
      <w:r>
        <w:rPr>
          <w:bCs/>
          <w:b/>
        </w:rPr>
        <w:t xml:space="preserve">Materials Acquisition &amp; Processing (7.69 kgCO2e/unit, approx. 21.8% of total PCF):</w:t>
      </w:r>
      <w:r>
        <w:t xml:space="preserve"> </w:t>
      </w:r>
      <w:r>
        <w:t xml:space="preserve">The embedded carbon in raw materials, particularly Aluminum and Lithium Battery, contributes significantly to the upstream footprint.</w:t>
      </w:r>
    </w:p>
    <w:p>
      <w:pPr>
        <w:numPr>
          <w:ilvl w:val="0"/>
          <w:numId w:val="1017"/>
        </w:numPr>
        <w:pStyle w:val="Compact"/>
      </w:pPr>
      <w:r>
        <w:rPr>
          <w:bCs/>
          <w:b/>
        </w:rPr>
        <w:t xml:space="preserve">Production Energy (0.67 kgCO2e/unit, approx. 1.9% of total PCF):</w:t>
      </w:r>
      <w:r>
        <w:t xml:space="preserve"> </w:t>
      </w:r>
      <w:r>
        <w:t xml:space="preserve">While relatively smaller, this area offers direct control for</w:t>
      </w:r>
      <w:r>
        <w:t xml:space="preserve"> </w:t>
      </w:r>
      <w:r>
        <w:t xml:space="preserve">edgxszrdzi</w:t>
      </w:r>
      <w:r>
        <w:t xml:space="preserve">, especially by increasing renewable energy sourcing beyond the current</w:t>
      </w:r>
      <w:r>
        <w:t xml:space="preserve"> </w:t>
      </w:r>
      <w:r>
        <w:t xml:space="preserve">60%</w:t>
      </w:r>
      <w:r>
        <w:t xml:space="preserve">.</w:t>
      </w:r>
    </w:p>
    <w:p>
      <w:pPr>
        <w:numPr>
          <w:ilvl w:val="0"/>
          <w:numId w:val="1017"/>
        </w:numPr>
        <w:pStyle w:val="Compact"/>
      </w:pPr>
      <w:r>
        <w:rPr>
          <w:bCs/>
          <w:b/>
        </w:rPr>
        <w:t xml:space="preserve">Transportation (0.40 kgCO2e/unit upstream + 0.05 kgCO2e/unit downstream = 0.45 kgCO2e/unit, approx. 1.3% of total PCF):</w:t>
      </w:r>
      <w:r>
        <w:t xml:space="preserve"> </w:t>
      </w:r>
      <w:r>
        <w:t xml:space="preserve">While smaller than use phase and materials, optimizing logistics and shifting to lower-emission transport modes remain important.</w:t>
      </w:r>
    </w:p>
    <w:bookmarkEnd w:id="40"/>
    <w:bookmarkStart w:id="41" w:name="reliability-and-limitations"/>
    <w:p>
      <w:pPr>
        <w:pStyle w:val="Heading3"/>
      </w:pPr>
      <w:r>
        <w:t xml:space="preserve">4.2. Reliability and Limitations</w:t>
      </w:r>
    </w:p>
    <w:p>
      <w:pPr>
        <w:pStyle w:val="FirstParagraph"/>
      </w:pPr>
      <w:r>
        <w:t xml:space="preserve">The reliability of this report is high, based on the detailed BOM and specific operational parameters provided. However, some limitations exist:</w:t>
      </w:r>
    </w:p>
    <w:p>
      <w:pPr>
        <w:numPr>
          <w:ilvl w:val="0"/>
          <w:numId w:val="1018"/>
        </w:numPr>
        <w:pStyle w:val="Compact"/>
      </w:pPr>
      <w:r>
        <w:rPr>
          <w:bCs/>
          <w:b/>
        </w:rPr>
        <w:t xml:space="preserve">Assumed Emission Factors:</w:t>
      </w:r>
      <w:r>
        <w:t xml:space="preserve"> </w:t>
      </w:r>
      <w:r>
        <w:t xml:space="preserve">Generic emission factors from databases were used for certain processes (e.g., transport, grid electricity) where primary data was not available. These are industry standards but may not perfectly reflect specific supplier or regional variations.</w:t>
      </w:r>
    </w:p>
    <w:p>
      <w:pPr>
        <w:numPr>
          <w:ilvl w:val="0"/>
          <w:numId w:val="1018"/>
        </w:numPr>
        <w:pStyle w:val="Compact"/>
      </w:pPr>
      <w:r>
        <w:rPr>
          <w:bCs/>
          <w:b/>
        </w:rPr>
        <w:t xml:space="preserve">LSR Data:</w:t>
      </w:r>
      <w:r>
        <w:t xml:space="preserve"> </w:t>
      </w:r>
      <w:r>
        <w:t xml:space="preserve">The lack of specific land-use and biogenic carbon data means the LSR update is acknowledged but not quantitatively applied in the total PCF.</w:t>
      </w:r>
    </w:p>
    <w:p>
      <w:pPr>
        <w:numPr>
          <w:ilvl w:val="0"/>
          <w:numId w:val="1018"/>
        </w:numPr>
        <w:pStyle w:val="Compact"/>
      </w:pPr>
      <w:r>
        <w:rPr>
          <w:bCs/>
          <w:b/>
        </w:rPr>
        <w:t xml:space="preserve">Placeholder Data:</w:t>
      </w:r>
      <w:r>
        <w:t xml:space="preserve"> </w:t>
      </w:r>
      <w:r>
        <w:t xml:space="preserve">Values for "Select Mode," "swiwhqppse," "Delivery Type," "ghthhwdenq," "fjnhwzgesj," "zfyojueuph," "imwwhvnllv," "hgmmhtffgp," and "hgijphxxdi" were provided as placeholders and example values were assumed for calculations. Actual values should be used for further refinement.</w:t>
      </w:r>
    </w:p>
    <w:p>
      <w:pPr>
        <w:numPr>
          <w:ilvl w:val="0"/>
          <w:numId w:val="1018"/>
        </w:numPr>
        <w:pStyle w:val="Compact"/>
      </w:pPr>
      <w:r>
        <w:rPr>
          <w:bCs/>
          <w:b/>
        </w:rPr>
        <w:t xml:space="preserve">Scope 3 Coverage:</w:t>
      </w:r>
      <w:r>
        <w:t xml:space="preserve"> </w:t>
      </w:r>
      <w:r>
        <w:t xml:space="preserve">While targeting &gt;95% coverage, minor Scope 3 categories (e.g., business travel, employee commuting, waste from operations) were excluded due to the product-level focus and lack of specific data, but are generally less material for a PCF.</w:t>
      </w:r>
    </w:p>
    <w:bookmarkEnd w:id="41"/>
    <w:bookmarkStart w:id="42" w:name="recommendations"/>
    <w:p>
      <w:pPr>
        <w:pStyle w:val="Heading3"/>
      </w:pPr>
      <w:r>
        <w:t xml:space="preserve">4.3. Recommendations</w:t>
      </w:r>
    </w:p>
    <w:p>
      <w:pPr>
        <w:pStyle w:val="FirstParagraph"/>
      </w:pPr>
      <w:r>
        <w:t xml:space="preserve">Based on this analysis,</w:t>
      </w:r>
      <w:r>
        <w:t xml:space="preserve"> </w:t>
      </w:r>
      <w:r>
        <w:t xml:space="preserve">edgxszrdzi</w:t>
      </w:r>
      <w:r>
        <w:t xml:space="preserve"> </w:t>
      </w:r>
      <w:r>
        <w:t xml:space="preserve">should focus on the following to reduce the carbon footprint of</w:t>
      </w:r>
      <w:r>
        <w:t xml:space="preserve"> </w:t>
      </w:r>
      <w:r>
        <w:t xml:space="preserve">syxnrsutqk</w:t>
      </w:r>
      <w:r>
        <w:t xml:space="preserve">:</w:t>
      </w:r>
    </w:p>
    <w:p>
      <w:pPr>
        <w:numPr>
          <w:ilvl w:val="0"/>
          <w:numId w:val="1019"/>
        </w:numPr>
        <w:pStyle w:val="Compact"/>
      </w:pPr>
      <w:r>
        <w:rPr>
          <w:bCs/>
          <w:b/>
        </w:rPr>
        <w:t xml:space="preserve">Optimize Use Phase:</w:t>
      </w:r>
      <w:r>
        <w:t xml:space="preserve"> </w:t>
      </w:r>
      <w:r>
        <w:t xml:space="preserve">Invest in R&amp;D to significantly improve the energy efficiency of</w:t>
      </w:r>
      <w:r>
        <w:t xml:space="preserve"> </w:t>
      </w:r>
      <w:r>
        <w:t xml:space="preserve">syxnrsutqk</w:t>
      </w:r>
      <w:r>
        <w:t xml:space="preserve"> </w:t>
      </w:r>
      <w:r>
        <w:t xml:space="preserve">during its operation, given this is the largest hotspot. Encourage user behavior that minimizes energy consumption.</w:t>
      </w:r>
    </w:p>
    <w:p>
      <w:pPr>
        <w:numPr>
          <w:ilvl w:val="0"/>
          <w:numId w:val="1019"/>
        </w:numPr>
        <w:pStyle w:val="Compact"/>
      </w:pPr>
      <w:r>
        <w:rPr>
          <w:bCs/>
          <w:b/>
        </w:rPr>
        <w:t xml:space="preserve">Material Decarbonization:</w:t>
      </w:r>
      <w:r>
        <w:t xml:space="preserve"> </w:t>
      </w:r>
      <w:r>
        <w:t xml:space="preserve">Explore alternative materials with lower embodied carbon for components like the aluminum casing and lithium battery, or engage with suppliers to reduce their upstream emissions.</w:t>
      </w:r>
    </w:p>
    <w:p>
      <w:pPr>
        <w:numPr>
          <w:ilvl w:val="0"/>
          <w:numId w:val="1019"/>
        </w:numPr>
        <w:pStyle w:val="Compact"/>
      </w:pPr>
      <w:r>
        <w:rPr>
          <w:bCs/>
          <w:b/>
        </w:rPr>
        <w:t xml:space="preserve">Increase Renewable Energy:</w:t>
      </w:r>
      <w:r>
        <w:t xml:space="preserve"> </w:t>
      </w:r>
      <w:r>
        <w:t xml:space="preserve">Further increase the share of renewable energy used in the production facilities (currently</w:t>
      </w:r>
      <w:r>
        <w:t xml:space="preserve"> </w:t>
      </w:r>
      <w:r>
        <w:t xml:space="preserve">ghthhwdenq</w:t>
      </w:r>
      <w:r>
        <w:t xml:space="preserve">).</w:t>
      </w:r>
    </w:p>
    <w:p>
      <w:pPr>
        <w:numPr>
          <w:ilvl w:val="0"/>
          <w:numId w:val="1019"/>
        </w:numPr>
        <w:pStyle w:val="Compact"/>
      </w:pPr>
      <w:r>
        <w:rPr>
          <w:bCs/>
          <w:b/>
        </w:rPr>
        <w:t xml:space="preserve">Enhance Circularity:</w:t>
      </w:r>
      <w:r>
        <w:t xml:space="preserve"> </w:t>
      </w:r>
      <w:r>
        <w:t xml:space="preserve">Leverage the</w:t>
      </w:r>
      <w:r>
        <w:t xml:space="preserve"> </w:t>
      </w:r>
      <w:r>
        <w:t xml:space="preserve">"Comprehensive product buy-back and refurbishment program"</w:t>
      </w:r>
      <w:r>
        <w:t xml:space="preserve"> </w:t>
      </w:r>
      <w:r>
        <w:t xml:space="preserve">to extend product lifespans and recirculate materials, thereby avoiding virgin material production. Target a higher recyclability rate than the current</w:t>
      </w:r>
      <w:r>
        <w:t xml:space="preserve"> </w:t>
      </w:r>
      <w:r>
        <w:t xml:space="preserve">hgmmhtffgp</w:t>
      </w:r>
      <w:r>
        <w:t xml:space="preserve">.</w:t>
      </w:r>
    </w:p>
    <w:p>
      <w:pPr>
        <w:numPr>
          <w:ilvl w:val="0"/>
          <w:numId w:val="1019"/>
        </w:numPr>
        <w:pStyle w:val="Compact"/>
      </w:pPr>
      <w:r>
        <w:rPr>
          <w:bCs/>
          <w:b/>
        </w:rPr>
        <w:t xml:space="preserve">Logistics Optimization:</w:t>
      </w:r>
      <w:r>
        <w:t xml:space="preserve"> </w:t>
      </w:r>
      <w:r>
        <w:t xml:space="preserve">Continuously optimize transport routes, consolidate shipments, and consider shifting to lower-emission modes where feasible, especially for long-distance freight.</w:t>
      </w:r>
    </w:p>
    <w:p>
      <w:r>
        <w:pict>
          <v:rect style="width:0;height:1.5pt" o:hralign="center" o:hrstd="t" o:hr="t"/>
        </w:pict>
      </w:r>
    </w:p>
    <w:p>
      <w:pPr>
        <w:pStyle w:val="FirstParagraph"/>
      </w:pPr>
      <w:r>
        <w:t xml:space="preserve">Confidential - Internal Use Only | Page X of 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syxnrsutqk</dc:title>
  <dc:creator/>
  <dc:description>Detailed Product Carbon Footprint (PCF) analysis report for syxnrsutqk, adhering to GHG Protocol standards and 2026 LSR updates, prepared by eddhmrzgju for edgxszrdzi.</dc:description>
  <dc:language>en</dc:language>
  <cp:keywords/>
  <dcterms:created xsi:type="dcterms:W3CDTF">2026-07-16T08:07:55Z</dcterms:created>
  <dcterms:modified xsi:type="dcterms:W3CDTF">2026-07-16T08:07:55Z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