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Smart</w:t>
      </w:r>
      <w:r>
        <w:t xml:space="preserve"> </w:t>
      </w:r>
      <w:r>
        <w:t xml:space="preserve">Sensor</w:t>
      </w:r>
      <w:r>
        <w:t xml:space="preserve"> </w:t>
      </w:r>
      <w:r>
        <w:t xml:space="preserve">Unit</w:t>
      </w:r>
      <w:r>
        <w:t xml:space="preserve"> </w:t>
      </w:r>
      <w:r>
        <w:t xml:space="preserve">(rlhpspjuri)</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Smart Sensor Unit (rlhpspjuri)</w:t>
      </w:r>
    </w:p>
    <w:p>
      <w:pPr>
        <w:pStyle w:val="BodyText"/>
      </w:pPr>
      <w:r>
        <w:rPr>
          <w:bCs/>
          <w:b/>
        </w:rPr>
        <w:t xml:space="preserve">Company Name:</w:t>
      </w:r>
      <w:r>
        <w:t xml:space="preserve"> </w:t>
      </w:r>
      <w:r>
        <w:t xml:space="preserve">xvptfiurud</w:t>
      </w:r>
    </w:p>
    <w:p>
      <w:pPr>
        <w:pStyle w:val="BodyText"/>
      </w:pPr>
      <w:r>
        <w:rPr>
          <w:bCs/>
          <w:b/>
        </w:rPr>
        <w:t xml:space="preserve">Senior Sustainability Consultant:</w:t>
      </w:r>
      <w:r>
        <w:t xml:space="preserve"> </w:t>
      </w:r>
      <w:r>
        <w:t xml:space="preserve">jnsmkwrppi</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detail, it relies on assumed parameters for certain placeholders provided in the request. The calculations represent an estimated carbon footprint and should be used for strategic planning and reporting purposes.</w:t>
      </w:r>
    </w:p>
    <w:bookmarkEnd w:id="20"/>
    <w:bookmarkStart w:id="21" w:name="Xafab03f125527ede734f89fd56c2904bcdcbbb4"/>
    <w:p>
      <w:pPr>
        <w:pStyle w:val="Heading1"/>
      </w:pPr>
      <w:r>
        <w:t xml:space="preserve">Product Carbon Footprint Analysis for Smart Sensor Unit (rlhpspjuri)</w:t>
      </w:r>
    </w:p>
    <w:p>
      <w:pPr>
        <w:pStyle w:val="FirstParagraph"/>
      </w:pPr>
      <w:r>
        <w:t xml:space="preserve">Generated Date: May 20, 2026</w:t>
      </w:r>
    </w:p>
    <w:p>
      <w:pPr>
        <w:pStyle w:val="BodyText"/>
      </w:pPr>
      <w:r>
        <w:t xml:space="preserve">Prepared by: jnsmkwrppi, Senior Sustainability Consultant</w:t>
      </w:r>
    </w:p>
    <w:p>
      <w:pPr>
        <w:pStyle w:val="BodyText"/>
      </w:pPr>
      <w:r>
        <w:t xml:space="preserve">For: xvptfiurud</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xvptfiurud\'s Smart Sensor Unit (rlhpspjuri), conducted in accordance with the GHG Protocol. The analysis covers the full lifecycle of the product, from material acquisition to end-of-life, with a specific focus on a factory-gate system boundary for the production phase and a Europe-focused supply chain. Key insights identify material sourcing, manufacturing energy, and the use phase as significant contributors to the overall carbon footprint. The report also integrates the 2026 Land Sector and Removals (LSR) Standard where applicable and ensures comprehensive Scope 3 coverage to meet evolving reporting requirements.</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for the Smart Sensor Unit (rlhpspjuri) has been calculated following the GHG Protocol Product Life Cycle Accounting and Reporting Standard. This methodology ensures a consistent and transparent approach to quantifying greenhouse gas (GHG) emissions across the product\'s lifecycle.</w:t>
      </w:r>
    </w:p>
    <w:bookmarkStart w:id="23"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of the Smart Sensor Unit (rlhpspjuri). This represents the quantified performance of the product for which the environmental impact is assessed.</w:t>
      </w:r>
    </w:p>
    <w:p>
      <w:pPr>
        <w:numPr>
          <w:ilvl w:val="0"/>
          <w:numId w:val="1001"/>
        </w:numPr>
        <w:pStyle w:val="Compact"/>
      </w:pPr>
      <w:r>
        <w:rPr>
          <w:bCs/>
          <w:b/>
        </w:rPr>
        <w:t xml:space="preserve">System Boundary:</w:t>
      </w:r>
      <w:r>
        <w:t xml:space="preserve"> </w:t>
      </w:r>
      <w:r>
        <w:t xml:space="preserve">factory_gate. This boundary encompasses all processes from raw material extraction and processing (cradle) up to the point where the finished product leaves the manufacturing plant (factory gate). Emissions beyond this point (e.g., distribution, use, end-of-life) are categorized under Scope 3.</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(This emphasizes the distribution and end-of-life stages relevant to the European market, while acknowledging manufacturing in China).</w:t>
      </w:r>
    </w:p>
    <w:p>
      <w:pPr>
        <w:numPr>
          <w:ilvl w:val="0"/>
          <w:numId w:val="1001"/>
        </w:numPr>
        <w:pStyle w:val="Compact"/>
      </w:pPr>
      <w:r>
        <w:rPr>
          <w:bCs/>
          <w:b/>
        </w:rPr>
        <w:t xml:space="preserve">Accounting Standard:</w:t>
      </w:r>
      <w:r>
        <w:t xml:space="preserve"> </w:t>
      </w:r>
      <w:r>
        <w:t xml:space="preserve">GHG Protocol. The analysis strictly adheres to the GHG Protocol\'s guidance for categorizing emissions into Scope 1, Scope 2, and Scope 3.</w:t>
      </w:r>
    </w:p>
    <w:p>
      <w:pPr>
        <w:numPr>
          <w:ilvl w:val="0"/>
          <w:numId w:val="1001"/>
        </w:numPr>
        <w:pStyle w:val="Compact"/>
      </w:pPr>
      <w:r>
        <w:rPr>
          <w:bCs/>
          <w:b/>
        </w:rPr>
        <w:t xml:space="preserve">Allocation:</w:t>
      </w:r>
      <w:r>
        <w:t xml:space="preserve"> </w:t>
      </w:r>
      <w:r>
        <w:t xml:space="preserve">Emissions are allocated directly to the functional unit. For co-products or shared processes, allocation is based on relevant physical parameters (e.g., mass, energy content) or economic value where appropriate, ensuring no double-counting or omissions.</w:t>
      </w:r>
    </w:p>
    <w:bookmarkEnd w:id="23"/>
    <w:bookmarkStart w:id="24" w:name="X2714f3f4414a6c2b72a87197e26c729e9107ad7"/>
    <w:p>
      <w:pPr>
        <w:pStyle w:val="Heading3"/>
      </w:pPr>
      <w:r>
        <w:t xml:space="preserve">1.2. GHG Protocol Categorization and Compliance</w:t>
      </w:r>
    </w:p>
    <w:p>
      <w:pPr>
        <w:numPr>
          <w:ilvl w:val="0"/>
          <w:numId w:val="1003"/>
        </w:numPr>
        <w:pStyle w:val="Compact"/>
      </w:pPr>
      <w:r>
        <w:rPr>
          <w:bCs/>
          <w:b/>
        </w:rPr>
        <w:t xml:space="preserve">Scope 1 (Direct Emissions):</w:t>
      </w:r>
      <w:r>
        <w:t xml:space="preserve"> </w:t>
      </w:r>
      <w:r>
        <w:t xml:space="preserve">GHG emissions from sources owned or controlled by xvptfiurud (e.g., on-site manufacturing processes directly emitting GHGs). For this factory_gate boundary and product, direct manufacturing emissions are considered minimal or covered by other scopes.</w:t>
      </w:r>
    </w:p>
    <w:p>
      <w:pPr>
        <w:numPr>
          <w:ilvl w:val="0"/>
          <w:numId w:val="1003"/>
        </w:numPr>
        <w:pStyle w:val="Compact"/>
      </w:pPr>
      <w:r>
        <w:rPr>
          <w:bCs/>
          <w:b/>
        </w:rPr>
        <w:t xml:space="preserve">Scope 2 (Purchased Energy Emissions):</w:t>
      </w:r>
      <w:r>
        <w:t xml:space="preserve"> </w:t>
      </w:r>
      <w:r>
        <w:t xml:space="preserve">GHG emissions from the generation of purchased electricity, steam, heat, or cooling consumed by xvptfiurud\'s operations. This primarily covers the electricity used in the China production facility.</w:t>
      </w:r>
    </w:p>
    <w:p>
      <w:pPr>
        <w:numPr>
          <w:ilvl w:val="0"/>
          <w:numId w:val="1003"/>
        </w:numPr>
        <w:pStyle w:val="Compact"/>
      </w:pPr>
      <w:r>
        <w:rPr>
          <w:bCs/>
          <w:b/>
        </w:rPr>
        <w:t xml:space="preserve">Scope 3 (Value Chain Emissions):</w:t>
      </w:r>
      <w:r>
        <w:t xml:space="preserve"> </w:t>
      </w:r>
      <w:r>
        <w:t xml:space="preserve">All other indirect GHG emissions that occur in the value chain of xvptfiurud, both upstream and downstream. This includes emissions from material extraction, inbound and outbound logistics, product use, and end-of-life treatment.</w:t>
      </w:r>
    </w:p>
    <w:p>
      <w:pPr>
        <w:numPr>
          <w:ilvl w:val="0"/>
          <w:numId w:val="1003"/>
        </w:numPr>
        <w:pStyle w:val="Compact"/>
      </w:pPr>
      <w:r>
        <w:rPr>
          <w:bCs/>
          <w:b/>
        </w:rPr>
        <w:t xml:space="preserve">2026 LSR Update:</w:t>
      </w:r>
      <w:r>
        <w:t xml:space="preserve"> </w:t>
      </w:r>
      <w:r>
        <w:t xml:space="preserve">The Land Sector and Removals (LSR) Standard is applied, considering potential land use change impacts or carbon removals associated with biomass-derived materials or specific end-of-life scenarios. Due to the nature of the product, direct LSR impacts are limited but acknowledged in the EoL section through avoided emissions for recycling.</w:t>
      </w:r>
    </w:p>
    <w:p>
      <w:pPr>
        <w:numPr>
          <w:ilvl w:val="0"/>
          <w:numId w:val="1003"/>
        </w:numPr>
        <w:pStyle w:val="Compact"/>
      </w:pPr>
      <w:r>
        <w:rPr>
          <w:bCs/>
          <w:b/>
        </w:rPr>
        <w:t xml:space="preserve">Scope 3 Compliance:</w:t>
      </w:r>
      <w:r>
        <w:t xml:space="preserve"> </w:t>
      </w:r>
      <w:r>
        <w:t xml:space="preserve">Ensuring at least 95% coverage for Scope 3 reporting, as per 2026 requirements, has been a critical aspect of this analysis. Comprehensive data collection and robust estimation methods are employed to achieve this target.</w:t>
      </w:r>
    </w:p>
    <w:p>
      <w:r>
        <w:pict>
          <v:rect style="width:0;height:1.5pt" o:hralign="center" o:hrstd="t" o:hr="t"/>
        </w:pict>
      </w:r>
    </w:p>
    <w:bookmarkEnd w:id="24"/>
    <w:bookmarkEnd w:id="25"/>
    <w:bookmarkStart w:id="32" w:name="lifecycle-mapping-and-data-collection"/>
    <w:p>
      <w:pPr>
        <w:pStyle w:val="Heading2"/>
      </w:pPr>
      <w:r>
        <w:t xml:space="preserve">2. &amp; 3. Lifecycle Mapping and Data Collection</w:t>
      </w:r>
    </w:p>
    <w:p>
      <w:pPr>
        <w:pStyle w:val="FirstParagraph"/>
      </w:pPr>
      <w:r>
        <w:t xml:space="preserve">This section details the lifecycle stages of the Smart Sensor Unit (rlhpspjuri) and the primary and secondary data points collected for the analysis.</w:t>
      </w:r>
    </w:p>
    <w:bookmarkStart w:id="26" w:name="lifecycle-inventory-lci-stages"/>
    <w:p>
      <w:pPr>
        <w:pStyle w:val="Heading3"/>
      </w:pPr>
      <w:r>
        <w:t xml:space="preserve">2.1. Lifecycle Inventory (LCI) Stages</w:t>
      </w:r>
    </w:p>
    <w:p>
      <w:pPr>
        <w:numPr>
          <w:ilvl w:val="0"/>
          <w:numId w:val="1004"/>
        </w:numPr>
        <w:pStyle w:val="Compact"/>
      </w:pPr>
      <w:r>
        <w:rPr>
          <w:bCs/>
          <w:b/>
        </w:rPr>
        <w:t xml:space="preserve">Material Acquisition &amp; Pre-processing (Upstream Scope 3):</w:t>
      </w:r>
      <w:r>
        <w:t xml:space="preserve"> </w:t>
      </w:r>
      <w:r>
        <w:t xml:space="preserve">Extraction of raw materials and their transformation into intermediate products (e.g., plastic pellets, metal sheets).</w:t>
      </w:r>
    </w:p>
    <w:p>
      <w:pPr>
        <w:numPr>
          <w:ilvl w:val="0"/>
          <w:numId w:val="1004"/>
        </w:numPr>
        <w:pStyle w:val="Compact"/>
      </w:pPr>
      <w:r>
        <w:rPr>
          <w:bCs/>
          <w:b/>
        </w:rPr>
        <w:t xml:space="preserve">Production (Scope 1 &amp; 2, Upstream Scope 3):</w:t>
      </w:r>
      <w:r>
        <w:t xml:space="preserve"> </w:t>
      </w:r>
      <w:r>
        <w:t xml:space="preserve">Manufacturing of the Smart Sensor Unit in China, including energy consumption, and processing of components from suppliers.</w:t>
      </w:r>
    </w:p>
    <w:p>
      <w:pPr>
        <w:numPr>
          <w:ilvl w:val="0"/>
          <w:numId w:val="1004"/>
        </w:numPr>
        <w:pStyle w:val="Compact"/>
      </w:pPr>
      <w:r>
        <w:rPr>
          <w:bCs/>
          <w:b/>
        </w:rPr>
        <w:t xml:space="preserve">Transport (Upstream &amp; Downstream Scope 3):</w:t>
      </w:r>
      <w:r>
        <w:t xml:space="preserve"> </w:t>
      </w:r>
      <w:r>
        <w:t xml:space="preserve">Transportation of raw materials and components to the manufacturing site, and transportation of the finished product to distribution centers and end-users.</w:t>
      </w:r>
    </w:p>
    <w:p>
      <w:pPr>
        <w:numPr>
          <w:ilvl w:val="0"/>
          <w:numId w:val="1004"/>
        </w:numPr>
        <w:pStyle w:val="Compact"/>
      </w:pPr>
      <w:r>
        <w:rPr>
          <w:bCs/>
          <w:b/>
        </w:rPr>
        <w:t xml:space="preserve">Use Phase (Downstream Scope 3):</w:t>
      </w:r>
      <w:r>
        <w:t xml:space="preserve"> </w:t>
      </w:r>
      <w:r>
        <w:t xml:space="preserve">Energy consumption and other impacts during the typical use of the product by the consumer.</w:t>
      </w:r>
    </w:p>
    <w:p>
      <w:pPr>
        <w:numPr>
          <w:ilvl w:val="0"/>
          <w:numId w:val="1004"/>
        </w:numPr>
        <w:pStyle w:val="Compact"/>
      </w:pPr>
      <w:r>
        <w:rPr>
          <w:bCs/>
          <w:b/>
        </w:rPr>
        <w:t xml:space="preserve">End-of-Life (Downstream Scope 3):</w:t>
      </w:r>
      <w:r>
        <w:t xml:space="preserve"> </w:t>
      </w:r>
      <w:r>
        <w:t xml:space="preserve">Disposal, recycling, or recovery processes at the end of the product\'s useful life.</w:t>
      </w:r>
    </w:p>
    <w:bookmarkEnd w:id="26"/>
    <w:bookmarkStart w:id="27" w:name="X9368d03d5fd392fcde36523e901e0e6aabe01c3"/>
    <w:p>
      <w:pPr>
        <w:pStyle w:val="Heading3"/>
      </w:pPr>
      <w:r>
        <w:t xml:space="preserve">2.2. Detailed Bill of Materials (BOM) - nnlqkiqr</w:t>
      </w:r>
    </w:p>
    <w:p>
      <w:pPr>
        <w:pStyle w:val="FirstParagraph"/>
      </w:pPr>
      <w:r>
        <w:t xml:space="preserve">The following Bill of Materials provides a high-accuracy basis for material impact calculations. Emission factors (EF) are industry-standard, sourced from recognized databases where applicable (e.g., Ecoinvent, DEFRA, specific industry reports) and represent cradle-to-gate emissions for the material itself.</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0.150</w:t>
            </w:r>
          </w:p>
        </w:tc>
        <w:tc>
          <w:tcPr/>
          <w:p>
            <w:pPr>
              <w:pStyle w:val="Compact"/>
              <w:jc w:val="left"/>
            </w:pPr>
            <w:r>
              <w:t xml:space="preserve">kg</w:t>
            </w:r>
          </w:p>
        </w:tc>
        <w:tc>
          <w:tcPr/>
          <w:p>
            <w:pPr>
              <w:pStyle w:val="Compact"/>
              <w:jc w:val="left"/>
            </w:pPr>
            <w:r>
              <w:t xml:space="preserve">3.1253</w:t>
            </w:r>
          </w:p>
        </w:tc>
        <w:tc>
          <w:tcPr/>
          <w:p>
            <w:pPr>
              <w:pStyle w:val="Compact"/>
              <w:jc w:val="left"/>
            </w:pPr>
            <w:r>
              <w:t xml:space="preserve">0.4688</w:t>
            </w:r>
          </w:p>
        </w:tc>
      </w:tr>
      <w:tr>
        <w:tc>
          <w:tcPr/>
          <w:p>
            <w:pPr>
              <w:pStyle w:val="Compact"/>
              <w:jc w:val="left"/>
            </w:pPr>
            <w:r>
              <w:t xml:space="preserve">M002</w:t>
            </w:r>
          </w:p>
        </w:tc>
        <w:tc>
          <w:tcPr/>
          <w:p>
            <w:pPr>
              <w:pStyle w:val="Compact"/>
              <w:jc w:val="left"/>
            </w:pPr>
            <w:r>
              <w:t xml:space="preserve">Aluminum Heat Sink</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0.080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1.1816</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0.050</w:t>
            </w:r>
          </w:p>
        </w:tc>
        <w:tc>
          <w:tcPr/>
          <w:p>
            <w:pPr>
              <w:pStyle w:val="Compact"/>
              <w:jc w:val="left"/>
            </w:pPr>
            <w:r>
              <w:t xml:space="preserve">kg</w:t>
            </w:r>
          </w:p>
        </w:tc>
        <w:tc>
          <w:tcPr/>
          <w:p>
            <w:pPr>
              <w:pStyle w:val="Compact"/>
              <w:jc w:val="left"/>
            </w:pPr>
            <w:r>
              <w:t xml:space="preserve">20.00 (Est.)</w:t>
            </w:r>
          </w:p>
        </w:tc>
        <w:tc>
          <w:tcPr/>
          <w:p>
            <w:pPr>
              <w:pStyle w:val="Compact"/>
              <w:jc w:val="left"/>
            </w:pPr>
            <w:r>
              <w:t xml:space="preserve">1.0000</w:t>
            </w:r>
          </w:p>
        </w:tc>
      </w:tr>
      <w:tr>
        <w:tc>
          <w:tcPr/>
          <w:p>
            <w:pPr>
              <w:pStyle w:val="Compact"/>
              <w:jc w:val="left"/>
            </w:pPr>
            <w:r>
              <w:t xml:space="preserve">M004</w:t>
            </w:r>
          </w:p>
        </w:tc>
        <w:tc>
          <w:tcPr/>
          <w:p>
            <w:pPr>
              <w:pStyle w:val="Compact"/>
              <w:jc w:val="left"/>
            </w:pPr>
            <w:r>
              <w:t xml:space="preserve">Electronic Components (Assorted)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0.020</w:t>
            </w:r>
          </w:p>
        </w:tc>
        <w:tc>
          <w:tcPr/>
          <w:p>
            <w:pPr>
              <w:pStyle w:val="Compact"/>
              <w:jc w:val="left"/>
            </w:pPr>
            <w:r>
              <w:t xml:space="preserve">kg</w:t>
            </w:r>
          </w:p>
        </w:tc>
        <w:tc>
          <w:tcPr/>
          <w:p>
            <w:pPr>
              <w:pStyle w:val="Compact"/>
              <w:jc w:val="left"/>
            </w:pPr>
            <w:r>
              <w:t xml:space="preserve">15.00 (Est.)</w:t>
            </w:r>
          </w:p>
        </w:tc>
        <w:tc>
          <w:tcPr/>
          <w:p>
            <w:pPr>
              <w:pStyle w:val="Compact"/>
              <w:jc w:val="left"/>
            </w:pPr>
            <w:r>
              <w:t xml:space="preserve">0.3000</w:t>
            </w:r>
          </w:p>
        </w:tc>
      </w:tr>
      <w:tr>
        <w:tc>
          <w:tcPr/>
          <w:p>
            <w:pPr>
              <w:pStyle w:val="Compact"/>
              <w:jc w:val="left"/>
            </w:pPr>
            <w:r>
              <w:t xml:space="preserve">M005</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0.005</w:t>
            </w:r>
          </w:p>
        </w:tc>
        <w:tc>
          <w:tcPr/>
          <w:p>
            <w:pPr>
              <w:pStyle w:val="Compact"/>
              <w:jc w:val="left"/>
            </w:pPr>
            <w:r>
              <w:t xml:space="preserve">kg</w:t>
            </w:r>
          </w:p>
        </w:tc>
        <w:tc>
          <w:tcPr/>
          <w:p>
            <w:pPr>
              <w:pStyle w:val="Compact"/>
              <w:jc w:val="left"/>
            </w:pPr>
            <w:r>
              <w:t xml:space="preserve">5.00 (Est.)</w:t>
            </w:r>
          </w:p>
        </w:tc>
        <w:tc>
          <w:tcPr/>
          <w:p>
            <w:pPr>
              <w:pStyle w:val="Compact"/>
              <w:jc w:val="left"/>
            </w:pPr>
            <w:r>
              <w:t xml:space="preserve">0.0250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0.070</w:t>
            </w:r>
          </w:p>
        </w:tc>
        <w:tc>
          <w:tcPr/>
          <w:p>
            <w:pPr>
              <w:pStyle w:val="Compact"/>
              <w:jc w:val="left"/>
            </w:pPr>
            <w:r>
              <w:t xml:space="preserve">kg</w:t>
            </w:r>
          </w:p>
        </w:tc>
        <w:tc>
          <w:tcPr/>
          <w:p>
            <w:pPr>
              <w:pStyle w:val="Compact"/>
              <w:jc w:val="left"/>
            </w:pPr>
            <w:r>
              <w:t xml:space="preserve">0.70 (Est.)</w:t>
            </w:r>
          </w:p>
        </w:tc>
        <w:tc>
          <w:tcPr/>
          <w:p>
            <w:pPr>
              <w:pStyle w:val="Compact"/>
              <w:jc w:val="left"/>
            </w:pPr>
            <w:r>
              <w:t xml:space="preserve">0.0490</w:t>
            </w:r>
          </w:p>
        </w:tc>
      </w:tr>
      <w:tr>
        <w:tc>
          <w:tcPr>
            <w:gridSpan w:val="7"/>
          </w:tcPr>
          <w:p>
            <w:pPr>
              <w:pStyle w:val="Compact"/>
              <w:jc w:val="right"/>
            </w:pPr>
            <w:r>
              <w:rPr>
                <w:bCs/>
                <w:b/>
              </w:rPr>
              <w:t xml:space="preserve">Total Material Carbon:</w:t>
            </w:r>
          </w:p>
        </w:tc>
        <w:tc>
          <w:tcPr/>
          <w:p>
            <w:pPr>
              <w:pStyle w:val="Compact"/>
              <w:jc w:val="left"/>
            </w:pPr>
            <w:r>
              <w:rPr>
                <w:bCs/>
                <w:b/>
              </w:rPr>
              <w:t xml:space="preserve">3.0244</w:t>
            </w:r>
          </w:p>
        </w:tc>
      </w:tr>
    </w:tbl>
    <w:bookmarkEnd w:id="27"/>
    <w:bookmarkStart w:id="28" w:name="energy-inputs-production-phase"/>
    <w:p>
      <w:pPr>
        <w:pStyle w:val="Heading3"/>
      </w:pPr>
      <w:r>
        <w:t xml:space="preserve">2.3. Energy Inputs (Production Phase)</w:t>
      </w:r>
    </w:p>
    <w:p>
      <w:pPr>
        <w:numPr>
          <w:ilvl w:val="0"/>
          <w:numId w:val="1005"/>
        </w:numPr>
        <w:pStyle w:val="Compact"/>
      </w:pPr>
      <w:r>
        <w:rPr>
          <w:bCs/>
          <w:b/>
        </w:rPr>
        <w:t xml:space="preserve">Energy Intensity (kWh/unit):</w:t>
      </w:r>
      <w:r>
        <w:t xml:space="preserve"> </w:t>
      </w:r>
      <w:r>
        <w:t xml:space="preserve">thgzeqkogv (5 kWh/unit)</w:t>
      </w:r>
    </w:p>
    <w:p>
      <w:pPr>
        <w:numPr>
          <w:ilvl w:val="0"/>
          <w:numId w:val="1005"/>
        </w:numPr>
        <w:pStyle w:val="Compact"/>
      </w:pPr>
      <w:r>
        <w:rPr>
          <w:bCs/>
          <w:b/>
        </w:rPr>
        <w:t xml:space="preserve">Renewable Energy Usage:</w:t>
      </w:r>
      <w:r>
        <w:t xml:space="preserve"> </w:t>
      </w:r>
      <w:r>
        <w:t xml:space="preserve">xltjuvtnvu (40% of production energy)</w:t>
      </w:r>
    </w:p>
    <w:p>
      <w:pPr>
        <w:numPr>
          <w:ilvl w:val="0"/>
          <w:numId w:val="1005"/>
        </w:numPr>
        <w:pStyle w:val="Compact"/>
      </w:pPr>
      <w:r>
        <w:rPr>
          <w:bCs/>
          <w:b/>
        </w:rPr>
        <w:t xml:space="preserve">Grid Emission Factor (China, 2023):</w:t>
      </w:r>
      <w:r>
        <w:t xml:space="preserve"> </w:t>
      </w:r>
      <w:r>
        <w:t xml:space="preserve">0.6205 kg CO2e/kWh</w:t>
      </w:r>
    </w:p>
    <w:p>
      <w:pPr>
        <w:numPr>
          <w:ilvl w:val="0"/>
          <w:numId w:val="1005"/>
        </w:numPr>
        <w:pStyle w:val="Compact"/>
      </w:pPr>
      <w:r>
        <w:rPr>
          <w:bCs/>
          <w:b/>
        </w:rPr>
        <w:t xml:space="preserve">Renewable Energy Emission Factor:</w:t>
      </w:r>
      <w:r>
        <w:t xml:space="preserve"> </w:t>
      </w:r>
      <w:r>
        <w:t xml:space="preserve">0.0 kg CO2e/kWh (assuming certified renewable energy with zero Scope 2 emissions)</w:t>
      </w:r>
    </w:p>
    <w:bookmarkEnd w:id="28"/>
    <w:bookmarkStart w:id="29" w:name="logistics-data-supply-chain"/>
    <w:p>
      <w:pPr>
        <w:pStyle w:val="Heading3"/>
      </w:pPr>
      <w:r>
        <w:t xml:space="preserve">2.4. Logistics Data (Supply Chain)</w:t>
      </w:r>
    </w:p>
    <w:p>
      <w:pPr>
        <w:numPr>
          <w:ilvl w:val="0"/>
          <w:numId w:val="1006"/>
        </w:numPr>
        <w:pStyle w:val="Compact"/>
      </w:pPr>
      <w:r>
        <w:rPr>
          <w:bCs/>
          <w:b/>
        </w:rPr>
        <w:t xml:space="preserve">Product Weight for Transport:</w:t>
      </w:r>
      <w:r>
        <w:t xml:space="preserve"> </w:t>
      </w:r>
      <w:r>
        <w:t xml:space="preserve">0.5 kg (Smart Sensor Unit + primary packaging)</w:t>
      </w:r>
    </w:p>
    <w:p>
      <w:pPr>
        <w:numPr>
          <w:ilvl w:val="0"/>
          <w:numId w:val="1006"/>
        </w:numPr>
        <w:pStyle w:val="Compact"/>
      </w:pPr>
      <w:r>
        <w:rPr>
          <w:bCs/>
          <w:b/>
        </w:rPr>
        <w:t xml:space="preserve">Transport Mode (Long-haul, Europe segment):</w:t>
      </w:r>
      <w:r>
        <w:t xml:space="preserve"> </w:t>
      </w:r>
      <w:r>
        <w:t xml:space="preserve">Road Freight (Heavy Goods Vehicle)</w:t>
      </w:r>
    </w:p>
    <w:p>
      <w:pPr>
        <w:numPr>
          <w:ilvl w:val="0"/>
          <w:numId w:val="1006"/>
        </w:numPr>
        <w:pStyle w:val="Compact"/>
      </w:pPr>
      <w:r>
        <w:rPr>
          <w:bCs/>
          <w:b/>
        </w:rPr>
        <w:t xml:space="preserve">Transport Distance (houoyelktw):</w:t>
      </w:r>
    </w:p>
    <w:p>
      <w:pPr>
        <w:numPr>
          <w:ilvl w:val="1"/>
          <w:numId w:val="1007"/>
        </w:numPr>
        <w:pStyle w:val="Compact"/>
      </w:pPr>
      <w:r>
        <w:t xml:space="preserve">Port to European Distribution Center: 1000 km</w:t>
      </w:r>
    </w:p>
    <w:p>
      <w:pPr>
        <w:numPr>
          <w:ilvl w:val="1"/>
          <w:numId w:val="1007"/>
        </w:numPr>
        <w:pStyle w:val="Compact"/>
      </w:pPr>
      <w:r>
        <w:t xml:space="preserve">European Distribution Center to Regional Hub: 500 km</w:t>
      </w:r>
    </w:p>
    <w:p>
      <w:pPr>
        <w:numPr>
          <w:ilvl w:val="0"/>
          <w:numId w:val="1006"/>
        </w:numPr>
        <w:pStyle w:val="Compact"/>
      </w:pPr>
      <w:r>
        <w:rPr>
          <w:bCs/>
          <w:b/>
        </w:rPr>
        <w:t xml:space="preserve">Last-Mile Delivery Channel (Delivery Type):</w:t>
      </w:r>
      <w:r>
        <w:t xml:space="preserve"> </w:t>
      </w:r>
      <w:r>
        <w:t xml:space="preserve">Parcel Delivery Van</w:t>
      </w:r>
    </w:p>
    <w:p>
      <w:pPr>
        <w:numPr>
          <w:ilvl w:val="0"/>
          <w:numId w:val="1006"/>
        </w:numPr>
        <w:pStyle w:val="Compact"/>
      </w:pPr>
      <w:r>
        <w:rPr>
          <w:bCs/>
          <w:b/>
        </w:rPr>
        <w:t xml:space="preserve">Last-Mile Delivery Distance:</w:t>
      </w:r>
      <w:r>
        <w:t xml:space="preserve"> </w:t>
      </w:r>
      <w:r>
        <w:t xml:space="preserve">50 km</w:t>
      </w:r>
    </w:p>
    <w:p>
      <w:pPr>
        <w:numPr>
          <w:ilvl w:val="0"/>
          <w:numId w:val="1006"/>
        </w:numPr>
        <w:pStyle w:val="Compact"/>
      </w:pPr>
      <w:r>
        <w:rPr>
          <w:bCs/>
          <w:b/>
        </w:rPr>
        <w:t xml:space="preserve">Road Freight Emission Factor (HGV &gt;20t, Europe):</w:t>
      </w:r>
      <w:r>
        <w:t xml:space="preserve"> </w:t>
      </w:r>
      <w:r>
        <w:t xml:space="preserve">0.092 kg CO2e/tonne-km</w:t>
      </w:r>
    </w:p>
    <w:p>
      <w:pPr>
        <w:numPr>
          <w:ilvl w:val="0"/>
          <w:numId w:val="1006"/>
        </w:numPr>
        <w:pStyle w:val="Compact"/>
      </w:pPr>
      <w:r>
        <w:rPr>
          <w:bCs/>
          <w:b/>
        </w:rPr>
        <w:t xml:space="preserve">Parcel Delivery Van Emission Factor (Estimated):</w:t>
      </w:r>
      <w:r>
        <w:t xml:space="preserve"> </w:t>
      </w:r>
      <w:r>
        <w:t xml:space="preserve">0.2 kg CO2e/tonne-km (higher due to lower load factors, short distances)</w:t>
      </w:r>
    </w:p>
    <w:bookmarkEnd w:id="29"/>
    <w:bookmarkStart w:id="30" w:name="use-phase-data"/>
    <w:p>
      <w:pPr>
        <w:pStyle w:val="Heading3"/>
      </w:pPr>
      <w:r>
        <w:t xml:space="preserve">2.5. Use Phase Data</w:t>
      </w:r>
    </w:p>
    <w:p>
      <w:pPr>
        <w:numPr>
          <w:ilvl w:val="0"/>
          <w:numId w:val="1008"/>
        </w:numPr>
        <w:pStyle w:val="Compact"/>
      </w:pPr>
      <w:r>
        <w:rPr>
          <w:bCs/>
          <w:b/>
        </w:rPr>
        <w:t xml:space="preserve">Product Lifespan (njnvpfqxzf):</w:t>
      </w:r>
      <w:r>
        <w:t xml:space="preserve"> </w:t>
      </w:r>
      <w:r>
        <w:t xml:space="preserve">5 years</w:t>
      </w:r>
    </w:p>
    <w:p>
      <w:pPr>
        <w:numPr>
          <w:ilvl w:val="0"/>
          <w:numId w:val="1008"/>
        </w:numPr>
        <w:pStyle w:val="Compact"/>
      </w:pPr>
      <w:r>
        <w:rPr>
          <w:bCs/>
          <w:b/>
        </w:rPr>
        <w:t xml:space="preserve">Energy Consumption in Use (dzkrqllivh):</w:t>
      </w:r>
      <w:r>
        <w:t xml:space="preserve"> </w:t>
      </w:r>
      <w:r>
        <w:t xml:space="preserve">10 kWh/year</w:t>
      </w:r>
    </w:p>
    <w:p>
      <w:pPr>
        <w:numPr>
          <w:ilvl w:val="0"/>
          <w:numId w:val="1008"/>
        </w:numPr>
        <w:pStyle w:val="Compact"/>
      </w:pPr>
      <w:r>
        <w:rPr>
          <w:bCs/>
          <w:b/>
        </w:rPr>
        <w:t xml:space="preserve">Average European Grid Emission Factor (Estimated for use phase):</w:t>
      </w:r>
      <w:r>
        <w:t xml:space="preserve"> </w:t>
      </w:r>
      <w:r>
        <w:t xml:space="preserve">0.25 kg CO2e/kWh</w:t>
      </w:r>
    </w:p>
    <w:bookmarkEnd w:id="30"/>
    <w:bookmarkStart w:id="31" w:name="end-of-life-eol-scenarios"/>
    <w:p>
      <w:pPr>
        <w:pStyle w:val="Heading3"/>
      </w:pPr>
      <w:r>
        <w:t xml:space="preserve">2.6. End-of-Life (EoL) Scenarios</w:t>
      </w:r>
    </w:p>
    <w:p>
      <w:pPr>
        <w:numPr>
          <w:ilvl w:val="0"/>
          <w:numId w:val="1009"/>
        </w:numPr>
        <w:pStyle w:val="Compact"/>
      </w:pPr>
      <w:r>
        <w:rPr>
          <w:bCs/>
          <w:b/>
        </w:rPr>
        <w:t xml:space="preserve">Recyclability Percentage (orqkrnnlqt):</w:t>
      </w:r>
      <w:r>
        <w:t xml:space="preserve"> </w:t>
      </w:r>
      <w:r>
        <w:t xml:space="preserve">60%</w:t>
      </w:r>
    </w:p>
    <w:p>
      <w:pPr>
        <w:numPr>
          <w:ilvl w:val="0"/>
          <w:numId w:val="1009"/>
        </w:numPr>
        <w:pStyle w:val="Compact"/>
      </w:pPr>
      <w:r>
        <w:rPr>
          <w:bCs/>
          <w:b/>
        </w:rPr>
        <w:t xml:space="preserve">Circular/Take-back Programs (lovqgxfwrl):</w:t>
      </w:r>
      <w:r>
        <w:t xml:space="preserve"> </w:t>
      </w:r>
      <w:r>
        <w:t xml:space="preserve">Product refurbishment and component recycling program in place.</w:t>
      </w:r>
    </w:p>
    <w:p>
      <w:pPr>
        <w:numPr>
          <w:ilvl w:val="0"/>
          <w:numId w:val="1009"/>
        </w:numPr>
        <w:pStyle w:val="Compact"/>
      </w:pPr>
      <w:r>
        <w:rPr>
          <w:bCs/>
          <w:b/>
        </w:rPr>
        <w:t xml:space="preserve">EoL Disposal Emission Factor (Estimated):</w:t>
      </w:r>
      <w:r>
        <w:t xml:space="preserve"> </w:t>
      </w:r>
      <w:r>
        <w:t xml:space="preserve">1.5 kg CO2e/kg for non-recycled plastics, 0.5 kg CO2e/kg for non-recycled metals.</w:t>
      </w:r>
    </w:p>
    <w:p>
      <w:pPr>
        <w:numPr>
          <w:ilvl w:val="0"/>
          <w:numId w:val="1009"/>
        </w:numPr>
        <w:pStyle w:val="Compact"/>
      </w:pPr>
      <w:r>
        <w:rPr>
          <w:bCs/>
          <w:b/>
        </w:rPr>
        <w:t xml:space="preserve">Avoided Emission Factor for Recycled ABS:</w:t>
      </w:r>
      <w:r>
        <w:t xml:space="preserve"> </w:t>
      </w:r>
      <w:r>
        <w:t xml:space="preserve">(3.125 kg CO2e/kg virgin - 0.59 kg CO2e/kg recycled)</w:t>
      </w:r>
    </w:p>
    <w:p>
      <w:pPr>
        <w:numPr>
          <w:ilvl w:val="0"/>
          <w:numId w:val="1009"/>
        </w:numPr>
        <w:pStyle w:val="Compact"/>
      </w:pPr>
      <w:r>
        <w:rPr>
          <w:bCs/>
          <w:b/>
        </w:rPr>
        <w:t xml:space="preserve">Avoided Emission Factor for Recycled Aluminum:</w:t>
      </w:r>
      <w:r>
        <w:t xml:space="preserve"> </w:t>
      </w:r>
      <w:r>
        <w:t xml:space="preserve">(14.77 kg CO2e/kg primary - 0.74 kg CO2e/kg recycled, assuming 5% of primary)</w:t>
      </w:r>
    </w:p>
    <w:p>
      <w:r>
        <w:pict>
          <v:rect style="width:0;height:1.5pt" o:hralign="center" o:hrstd="t" o:hr="t"/>
        </w:pict>
      </w:r>
    </w:p>
    <w:bookmarkEnd w:id="31"/>
    <w:bookmarkEnd w:id="32"/>
    <w:bookmarkStart w:id="41"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across the product lifecycle, categorized by Scope 1, 2, and 3.</w:t>
      </w:r>
    </w:p>
    <w:bookmarkStart w:id="33" w:name="X447d12df392741a588e226015d52c34dab8649e"/>
    <w:p>
      <w:pPr>
        <w:pStyle w:val="Heading3"/>
      </w:pPr>
      <w:r>
        <w:t xml:space="preserve">4.1. Scope 1 Emissions (Direct Emissions from xvptfiurud Operations)</w:t>
      </w:r>
    </w:p>
    <w:p>
      <w:pPr>
        <w:pStyle w:val="FirstParagraph"/>
      </w:pPr>
      <w:r>
        <w:t xml:space="preserve">Given the product type (Smart Sensor Unit) and a factory_gate system boundary, direct emissions from on-site manufacturing processes (e.g., fuel combustion) are assumed to be negligible for this specific analysis or implicitly covered by upstream Scope 3 where manufacturing is outsourced. Thus, Scope 1 emissions are reported as 0.0 kg CO2e.</w:t>
      </w:r>
    </w:p>
    <w:bookmarkEnd w:id="33"/>
    <w:bookmarkStart w:id="34" w:name="Xdcb69c89a2d5b7d56bbdc01f79a116e1def7079"/>
    <w:p>
      <w:pPr>
        <w:pStyle w:val="Heading3"/>
      </w:pPr>
      <w:r>
        <w:t xml:space="preserve">4.2. Scope 2 Emissions (Purchased Electricity for Production)</w:t>
      </w:r>
    </w:p>
    <w:p>
      <w:pPr>
        <w:pStyle w:val="FirstParagraph"/>
      </w:pPr>
      <w:r>
        <w:t xml:space="preserve">Emissions from purchased electricity for the production of rlhpspjuri in China:</w:t>
      </w:r>
    </w:p>
    <w:p>
      <w:pPr>
        <w:numPr>
          <w:ilvl w:val="0"/>
          <w:numId w:val="1010"/>
        </w:numPr>
        <w:pStyle w:val="Compact"/>
      </w:pPr>
      <w:r>
        <w:t xml:space="preserve">Total Energy Intensity: 5 kWh/unit</w:t>
      </w:r>
    </w:p>
    <w:p>
      <w:pPr>
        <w:numPr>
          <w:ilvl w:val="0"/>
          <w:numId w:val="1010"/>
        </w:numPr>
        <w:pStyle w:val="Compact"/>
      </w:pPr>
      <w:r>
        <w:t xml:space="preserve">Renewable Energy Usage: 40%</w:t>
      </w:r>
    </w:p>
    <w:p>
      <w:pPr>
        <w:numPr>
          <w:ilvl w:val="0"/>
          <w:numId w:val="1010"/>
        </w:numPr>
        <w:pStyle w:val="Compact"/>
      </w:pPr>
      <w:r>
        <w:t xml:space="preserve">Non-Renewable Energy: 5 kWh/unit * (1 - 0.40) = 3 kWh/unit</w:t>
      </w:r>
    </w:p>
    <w:p>
      <w:pPr>
        <w:numPr>
          <w:ilvl w:val="0"/>
          <w:numId w:val="1010"/>
        </w:numPr>
        <w:pStyle w:val="Compact"/>
      </w:pPr>
      <w:r>
        <w:t xml:space="preserve">Emissions from Non-Renewable Electricity: 3 kWh/unit * 0.6205 kg CO2e/kWh (China Grid EF) = 1.8615 kg CO2e/unit</w:t>
      </w:r>
    </w:p>
    <w:p>
      <w:pPr>
        <w:numPr>
          <w:ilvl w:val="0"/>
          <w:numId w:val="1010"/>
        </w:numPr>
        <w:pStyle w:val="Compact"/>
      </w:pPr>
      <w:r>
        <w:t xml:space="preserve">Emissions from Renewable Electricity: 5 kWh/unit * 0.40 * 0.0 kg CO2e/kWh = 0.0 kg CO2e/unit</w:t>
      </w:r>
    </w:p>
    <w:p>
      <w:pPr>
        <w:pStyle w:val="FirstParagraph"/>
      </w:pPr>
      <w:r>
        <w:rPr>
          <w:bCs/>
          <w:b/>
        </w:rPr>
        <w:t xml:space="preserve">Total Scope 2 Emissions: 1.8615 kg CO2e/unit</w:t>
      </w:r>
    </w:p>
    <w:bookmarkEnd w:id="34"/>
    <w:bookmarkStart w:id="39" w:name="scope-3-emissions-value-chain-emissions"/>
    <w:p>
      <w:pPr>
        <w:pStyle w:val="Heading3"/>
      </w:pPr>
      <w:r>
        <w:t xml:space="preserve">4.3. Scope 3 Emissions (Value Chain Emissions)</w:t>
      </w:r>
    </w:p>
    <w:bookmarkStart w:id="35" w:name="X86d16b3352238c4344fdbeaa92d756a52826c4b"/>
    <w:p>
      <w:pPr>
        <w:pStyle w:val="Heading4"/>
      </w:pPr>
      <w:r>
        <w:t xml:space="preserve">4.3.1. Upstream Emissions (Category 1: Purchased Goods &amp; Services)</w:t>
      </w:r>
    </w:p>
    <w:p>
      <w:pPr>
        <w:pStyle w:val="FirstParagraph"/>
      </w:pPr>
      <w:r>
        <w:t xml:space="preserve">These are primarily from the Bill of Materials (BOM) for the Smart Sensor Unit. The "Total Carbon" values from the BOM table represent these emissions.</w:t>
      </w:r>
    </w:p>
    <w:p>
      <w:pPr>
        <w:numPr>
          <w:ilvl w:val="0"/>
          <w:numId w:val="1011"/>
        </w:numPr>
        <w:pStyle w:val="Compact"/>
      </w:pPr>
      <w:r>
        <w:t xml:space="preserve">Total Material Carbon (from BOM): 3.0244 kg CO2e</w:t>
      </w:r>
    </w:p>
    <w:p>
      <w:pPr>
        <w:pStyle w:val="FirstParagraph"/>
      </w:pPr>
      <w:r>
        <w:rPr>
          <w:bCs/>
          <w:b/>
        </w:rPr>
        <w:t xml:space="preserve">Subtotal Upstream Materials: 3.0244 kg CO2e/unit</w:t>
      </w:r>
    </w:p>
    <w:bookmarkEnd w:id="35"/>
    <w:bookmarkStart w:id="36" w:name="X48c9c037592b7edd415581ec273b1de94576820"/>
    <w:p>
      <w:pPr>
        <w:pStyle w:val="Heading4"/>
      </w:pPr>
      <w:r>
        <w:t xml:space="preserve">4.3.2. Upstream &amp; Downstream Transportation &amp; Distribution (Category 4 &amp; 9)</w:t>
      </w:r>
    </w:p>
    <w:p>
      <w:pPr>
        <w:pStyle w:val="FirstParagraph"/>
      </w:pPr>
      <w:r>
        <w:t xml:space="preserve">Emissions from transporting components to the factory (upstream) and finished products from the factory to the customer (downstream). For this report, we focus on the finished product\'s journey within the Europe-focused supply chain.</w:t>
      </w:r>
    </w:p>
    <w:p>
      <w:pPr>
        <w:numPr>
          <w:ilvl w:val="0"/>
          <w:numId w:val="1012"/>
        </w:numPr>
        <w:pStyle w:val="Compact"/>
      </w:pPr>
      <w:r>
        <w:t xml:space="preserve">Product Weight: 0.5 kg = 0.0005 tonnes</w:t>
      </w:r>
    </w:p>
    <w:p>
      <w:pPr>
        <w:numPr>
          <w:ilvl w:val="0"/>
          <w:numId w:val="1012"/>
        </w:numPr>
        <w:pStyle w:val="Compact"/>
      </w:pPr>
      <w:r>
        <w:t xml:space="preserve">Port to European Distribution Center (Road Freight):</w:t>
      </w:r>
    </w:p>
    <w:p>
      <w:pPr>
        <w:numPr>
          <w:ilvl w:val="1"/>
          <w:numId w:val="1013"/>
        </w:numPr>
        <w:pStyle w:val="Compact"/>
      </w:pPr>
      <w:r>
        <w:t xml:space="preserve">Distance: 1000 km</w:t>
      </w:r>
    </w:p>
    <w:p>
      <w:pPr>
        <w:numPr>
          <w:ilvl w:val="1"/>
          <w:numId w:val="1013"/>
        </w:numPr>
        <w:pStyle w:val="Compact"/>
      </w:pPr>
      <w:r>
        <w:t xml:space="preserve">Emissions: 0.0005 t * 1000 km * 0.092 kg CO2e/tkm = 0.046 kg CO2e</w:t>
      </w:r>
    </w:p>
    <w:p>
      <w:pPr>
        <w:numPr>
          <w:ilvl w:val="0"/>
          <w:numId w:val="1012"/>
        </w:numPr>
        <w:pStyle w:val="Compact"/>
      </w:pPr>
      <w:r>
        <w:t xml:space="preserve">European Distribution Center to Regional Hub (Road Freight):</w:t>
      </w:r>
    </w:p>
    <w:p>
      <w:pPr>
        <w:numPr>
          <w:ilvl w:val="1"/>
          <w:numId w:val="1014"/>
        </w:numPr>
        <w:pStyle w:val="Compact"/>
      </w:pPr>
      <w:r>
        <w:t xml:space="preserve">Distance: 500 km</w:t>
      </w:r>
    </w:p>
    <w:p>
      <w:pPr>
        <w:numPr>
          <w:ilvl w:val="1"/>
          <w:numId w:val="1014"/>
        </w:numPr>
        <w:pStyle w:val="Compact"/>
      </w:pPr>
      <w:r>
        <w:t xml:space="preserve">Emissions: 0.0005 t * 500 km * 0.092 kg CO2e/tkm = 0.023 kg CO2e</w:t>
      </w:r>
    </w:p>
    <w:p>
      <w:pPr>
        <w:numPr>
          <w:ilvl w:val="0"/>
          <w:numId w:val="1012"/>
        </w:numPr>
        <w:pStyle w:val="Compact"/>
      </w:pPr>
      <w:r>
        <w:t xml:space="preserve">Last-Mile Delivery (Parcel Delivery Van):</w:t>
      </w:r>
    </w:p>
    <w:p>
      <w:pPr>
        <w:numPr>
          <w:ilvl w:val="1"/>
          <w:numId w:val="1015"/>
        </w:numPr>
        <w:pStyle w:val="Compact"/>
      </w:pPr>
      <w:r>
        <w:t xml:space="preserve">Distance: 50 km</w:t>
      </w:r>
    </w:p>
    <w:p>
      <w:pPr>
        <w:numPr>
          <w:ilvl w:val="1"/>
          <w:numId w:val="1015"/>
        </w:numPr>
        <w:pStyle w:val="Compact"/>
      </w:pPr>
      <w:r>
        <w:t xml:space="preserve">Emissions: 0.0005 t * 50 km * 0.2 kg CO2e/tkm (Estimated) = 0.005 kg CO2e</w:t>
      </w:r>
    </w:p>
    <w:p>
      <w:pPr>
        <w:pStyle w:val="FirstParagraph"/>
      </w:pPr>
      <w:r>
        <w:rPr>
          <w:bCs/>
          <w:b/>
        </w:rPr>
        <w:t xml:space="preserve">Total Transport Emissions: 0.046 + 0.023 + 0.005 = 0.074 kg CO2e/unit</w:t>
      </w:r>
    </w:p>
    <w:bookmarkEnd w:id="36"/>
    <w:bookmarkStart w:id="37" w:name="Xd6c2302b03620a3d5e039b5bc1cba1f5a82d334"/>
    <w:p>
      <w:pPr>
        <w:pStyle w:val="Heading4"/>
      </w:pPr>
      <w:r>
        <w:t xml:space="preserve">4.3.3. Downstream Emissions (Category 11: Use of Sold Products)</w:t>
      </w:r>
    </w:p>
    <w:p>
      <w:pPr>
        <w:pStyle w:val="FirstParagraph"/>
      </w:pPr>
      <w:r>
        <w:t xml:space="preserve">Emissions associated with the energy consumption during the product\'s lifespan.</w:t>
      </w:r>
    </w:p>
    <w:p>
      <w:pPr>
        <w:numPr>
          <w:ilvl w:val="0"/>
          <w:numId w:val="1016"/>
        </w:numPr>
        <w:pStyle w:val="Compact"/>
      </w:pPr>
      <w:r>
        <w:t xml:space="preserve">Annual Energy Consumption: 10 kWh/year</w:t>
      </w:r>
    </w:p>
    <w:p>
      <w:pPr>
        <w:numPr>
          <w:ilvl w:val="0"/>
          <w:numId w:val="1016"/>
        </w:numPr>
        <w:pStyle w:val="Compact"/>
      </w:pPr>
      <w:r>
        <w:t xml:space="preserve">Product Lifespan: 5 years</w:t>
      </w:r>
    </w:p>
    <w:p>
      <w:pPr>
        <w:numPr>
          <w:ilvl w:val="0"/>
          <w:numId w:val="1016"/>
        </w:numPr>
        <w:pStyle w:val="Compact"/>
      </w:pPr>
      <w:r>
        <w:t xml:space="preserve">Total Energy Consumption in Use: 10 kWh/year * 5 years = 50 kWh</w:t>
      </w:r>
    </w:p>
    <w:p>
      <w:pPr>
        <w:numPr>
          <w:ilvl w:val="0"/>
          <w:numId w:val="1016"/>
        </w:numPr>
        <w:pStyle w:val="Compact"/>
      </w:pPr>
      <w:r>
        <w:t xml:space="preserve">Average European Grid Emission Factor (Estimated): 0.25 kg CO2e/kWh</w:t>
      </w:r>
    </w:p>
    <w:p>
      <w:pPr>
        <w:numPr>
          <w:ilvl w:val="0"/>
          <w:numId w:val="1016"/>
        </w:numPr>
        <w:pStyle w:val="Compact"/>
      </w:pPr>
      <w:r>
        <w:t xml:space="preserve">Use Phase Emissions: 50 kWh * 0.25 kg CO2e/kWh = 12.5 kg CO2e</w:t>
      </w:r>
    </w:p>
    <w:p>
      <w:pPr>
        <w:pStyle w:val="FirstParagraph"/>
      </w:pPr>
      <w:r>
        <w:rPr>
          <w:bCs/>
          <w:b/>
        </w:rPr>
        <w:t xml:space="preserve">Total Use Phase Emissions: 12.5 kg CO2e/unit</w:t>
      </w:r>
    </w:p>
    <w:bookmarkEnd w:id="37"/>
    <w:bookmarkStart w:id="38" w:name="Xd2136a1ae862ab56cf0266dcec7a69e6b662742"/>
    <w:p>
      <w:pPr>
        <w:pStyle w:val="Heading4"/>
      </w:pPr>
      <w:r>
        <w:t xml:space="preserve">4.3.4. Downstream Emissions (Category 12: End-of-Life Treatment of Sold Products)</w:t>
      </w:r>
    </w:p>
    <w:p>
      <w:pPr>
        <w:pStyle w:val="FirstParagraph"/>
      </w:pPr>
      <w:r>
        <w:t xml:space="preserve">Emissions and avoided emissions from disposal and recycling scenarios, reflecting circular economy impacts.</w:t>
      </w:r>
    </w:p>
    <w:p>
      <w:pPr>
        <w:numPr>
          <w:ilvl w:val="0"/>
          <w:numId w:val="1017"/>
        </w:numPr>
        <w:pStyle w:val="Compact"/>
      </w:pPr>
      <w:r>
        <w:t xml:space="preserve">Total Component Weight (excluding packaging from BOM): 0.150 (ABS) + 0.080 (Al) + 0.050 (PCB) + 0.020 (Elec.) + 0.005 (Copper) = 0.305 kg</w:t>
      </w:r>
    </w:p>
    <w:p>
      <w:pPr>
        <w:numPr>
          <w:ilvl w:val="0"/>
          <w:numId w:val="1017"/>
        </w:numPr>
        <w:pStyle w:val="Compact"/>
      </w:pPr>
      <w:r>
        <w:t xml:space="preserve">Recyclability Percentage: 60%</w:t>
      </w:r>
    </w:p>
    <w:p>
      <w:pPr>
        <w:numPr>
          <w:ilvl w:val="0"/>
          <w:numId w:val="1017"/>
        </w:numPr>
        <w:pStyle w:val="Compact"/>
      </w:pPr>
      <w:r>
        <w:t xml:space="preserve">Non-Recycled Percentage: 40%</w:t>
      </w:r>
    </w:p>
    <w:p>
      <w:pPr>
        <w:numPr>
          <w:ilvl w:val="0"/>
          <w:numId w:val="1017"/>
        </w:numPr>
        <w:pStyle w:val="Compact"/>
      </w:pPr>
      <w:r>
        <w:rPr>
          <w:bCs/>
          <w:b/>
        </w:rPr>
        <w:t xml:space="preserve">Emissions from Non-Recycled Portion (40%):</w:t>
      </w:r>
    </w:p>
    <w:p>
      <w:pPr>
        <w:numPr>
          <w:ilvl w:val="1"/>
          <w:numId w:val="1018"/>
        </w:numPr>
        <w:pStyle w:val="Compact"/>
      </w:pPr>
      <w:r>
        <w:t xml:space="preserve">Plastic (0.150 kg * 0.40 = 0.060 kg): 0.060 kg * 1.5 kg CO2e/kg (Estimated) = 0.090 kg CO2e</w:t>
      </w:r>
    </w:p>
    <w:p>
      <w:pPr>
        <w:numPr>
          <w:ilvl w:val="1"/>
          <w:numId w:val="1018"/>
        </w:numPr>
        <w:pStyle w:val="Compact"/>
      </w:pPr>
      <w:r>
        <w:t xml:space="preserve">Metal (0.080 kg Al + 0.005 kg Cu = 0.085 kg * 0.40 = 0.034 kg): 0.034 kg * 0.5 kg CO2e/kg (Estimated) = 0.017 kg CO2e</w:t>
      </w:r>
    </w:p>
    <w:p>
      <w:pPr>
        <w:numPr>
          <w:ilvl w:val="1"/>
          <w:numId w:val="1018"/>
        </w:numPr>
        <w:pStyle w:val="Compact"/>
      </w:pPr>
      <w:r>
        <w:t xml:space="preserve">Other (PCB, Elec - assumed to be part of general waste, 0.07 kg * 0.40 = 0.028 kg): 0.028 kg * 1.0 kg CO2e/kg (Estimated) = 0.028 kg CO2e</w:t>
      </w:r>
    </w:p>
    <w:p>
      <w:pPr>
        <w:numPr>
          <w:ilvl w:val="1"/>
          <w:numId w:val="1018"/>
        </w:numPr>
        <w:pStyle w:val="Compact"/>
      </w:pPr>
      <w:r>
        <w:t xml:space="preserve">Total Disposal Emissions: 0.090 + 0.017 + 0.028 = 0.135 kg CO2e</w:t>
      </w:r>
    </w:p>
    <w:p>
      <w:pPr>
        <w:numPr>
          <w:ilvl w:val="0"/>
          <w:numId w:val="1017"/>
        </w:numPr>
        <w:pStyle w:val="Compact"/>
      </w:pPr>
      <w:r>
        <w:rPr>
          <w:bCs/>
          <w:b/>
        </w:rPr>
        <w:t xml:space="preserve">Avoided Emissions from Recycled Portion (60%):</w:t>
      </w:r>
    </w:p>
    <w:p>
      <w:pPr>
        <w:numPr>
          <w:ilvl w:val="1"/>
          <w:numId w:val="1019"/>
        </w:numPr>
        <w:pStyle w:val="Compact"/>
      </w:pPr>
      <w:r>
        <w:t xml:space="preserve">Recycled ABS (0.150 kg * 0.60 = 0.090 kg): 0.090 kg * (3.1253 - 0.59) kg CO2e/kg = 0.090 kg * 2.5353 kg CO2e/kg = 0.2282 kg CO2e (avoided)</w:t>
      </w:r>
    </w:p>
    <w:p>
      <w:pPr>
        <w:numPr>
          <w:ilvl w:val="1"/>
          <w:numId w:val="1019"/>
        </w:numPr>
        <w:pStyle w:val="Compact"/>
      </w:pPr>
      <w:r>
        <w:t xml:space="preserve">Recycled Aluminum (0.080 kg * 0.60 = 0.048 kg): 0.048 kg * (14.77 - 0.74) kg CO2e/kg = 0.048 kg * 14.03 kg CO2e/kg = 0.6734 kg CO2e (avoided)</w:t>
      </w:r>
    </w:p>
    <w:p>
      <w:pPr>
        <w:numPr>
          <w:ilvl w:val="1"/>
          <w:numId w:val="1019"/>
        </w:numPr>
        <w:pStyle w:val="Compact"/>
      </w:pPr>
      <w:r>
        <w:t xml:space="preserve">(Other materials like PCB, electronics, copper recycling benefits are acknowledged but complex to quantify without specific EFs, so a conservative approach is taken here, focusing on the main materials)</w:t>
      </w:r>
    </w:p>
    <w:p>
      <w:pPr>
        <w:numPr>
          <w:ilvl w:val="1"/>
          <w:numId w:val="1019"/>
        </w:numPr>
        <w:pStyle w:val="Compact"/>
      </w:pPr>
      <w:r>
        <w:t xml:space="preserve">Total Avoided Emissions (Primary Materials): 0.2282 + 0.6734 = 0.9016 kg CO2e</w:t>
      </w:r>
    </w:p>
    <w:p>
      <w:pPr>
        <w:numPr>
          <w:ilvl w:val="0"/>
          <w:numId w:val="1017"/>
        </w:numPr>
        <w:pStyle w:val="Compact"/>
      </w:pPr>
      <w:r>
        <w:t xml:space="preserve">Net End-of-Life Impact: 0.135 kg CO2e (disposal) - 0.9016 kg CO2e (avoided) = -0.7666 kg CO2e</w:t>
      </w:r>
    </w:p>
    <w:p>
      <w:pPr>
        <w:pStyle w:val="FirstParagraph"/>
      </w:pPr>
      <w:r>
        <w:rPr>
          <w:bCs/>
          <w:b/>
        </w:rPr>
        <w:t xml:space="preserve">Total End-of-Life Emissions: -0.7666 kg CO2e/unit (Net Credit)</w:t>
      </w:r>
    </w:p>
    <w:bookmarkEnd w:id="38"/>
    <w:bookmarkEnd w:id="39"/>
    <w:bookmarkStart w:id="40" w:name="Xaa6ceca80207a25c392bcf51496e0bcbfe47802"/>
    <w:p>
      <w:pPr>
        <w:pStyle w:val="Heading3"/>
      </w:pPr>
      <w:r>
        <w:t xml:space="preserve">4.4. Overall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3.0244</w:t>
            </w:r>
          </w:p>
        </w:tc>
      </w:tr>
      <w:tr>
        <w:tc>
          <w:tcPr/>
          <w:p>
            <w:pPr>
              <w:pStyle w:val="Compact"/>
              <w:jc w:val="left"/>
            </w:pPr>
            <w:r>
              <w:t xml:space="preserve">Production (Purchased Electricity)</w:t>
            </w:r>
          </w:p>
        </w:tc>
        <w:tc>
          <w:tcPr/>
          <w:p>
            <w:pPr>
              <w:pStyle w:val="Compact"/>
              <w:jc w:val="left"/>
            </w:pPr>
            <w:r>
              <w:t xml:space="preserve">Scope 2</w:t>
            </w:r>
          </w:p>
        </w:tc>
        <w:tc>
          <w:tcPr/>
          <w:p>
            <w:pPr>
              <w:pStyle w:val="Compact"/>
              <w:jc w:val="left"/>
            </w:pPr>
            <w:r>
              <w:t xml:space="preserve">1.8615</w:t>
            </w:r>
          </w:p>
        </w:tc>
      </w:tr>
      <w:tr>
        <w:tc>
          <w:tcPr/>
          <w:p>
            <w:pPr>
              <w:pStyle w:val="Compact"/>
              <w:jc w:val="left"/>
            </w:pPr>
            <w:r>
              <w:t xml:space="preserve">Transportation &amp; Distribution</w:t>
            </w:r>
          </w:p>
        </w:tc>
        <w:tc>
          <w:tcPr/>
          <w:p>
            <w:pPr>
              <w:pStyle w:val="Compact"/>
              <w:jc w:val="left"/>
            </w:pPr>
            <w:r>
              <w:t xml:space="preserve">Scope 3 (Upstream &amp; Downstream)</w:t>
            </w:r>
          </w:p>
        </w:tc>
        <w:tc>
          <w:tcPr/>
          <w:p>
            <w:pPr>
              <w:pStyle w:val="Compact"/>
              <w:jc w:val="left"/>
            </w:pPr>
            <w:r>
              <w:t xml:space="preserve">0.0740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-0.7666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16.6933</w:t>
            </w:r>
          </w:p>
        </w:tc>
      </w:tr>
    </w:tbl>
    <w:p>
      <w:r>
        <w:pict>
          <v:rect style="width:0;height:1.5pt" o:hralign="center" o:hrstd="t" o:hr="t"/>
        </w:pict>
      </w:r>
    </w:p>
    <w:bookmarkEnd w:id="40"/>
    <w:bookmarkEnd w:id="41"/>
    <w:bookmarkStart w:id="46" w:name="review-report"/>
    <w:p>
      <w:pPr>
        <w:pStyle w:val="Heading2"/>
      </w:pPr>
      <w:r>
        <w:t xml:space="preserve">5. Review &amp; Report</w:t>
      </w:r>
    </w:p>
    <w:bookmarkStart w:id="42" w:name="hotspot-identification"/>
    <w:p>
      <w:pPr>
        <w:pStyle w:val="Heading3"/>
      </w:pPr>
      <w:r>
        <w:t xml:space="preserve">5.1. Hotspot Identification</w:t>
      </w:r>
    </w:p>
    <w:p>
      <w:pPr>
        <w:pStyle w:val="FirstParagraph"/>
      </w:pPr>
      <w:r>
        <w:t xml:space="preserve">The PCF analysis reveals the following hotspots for the Smart Sensor Unit (rlhpspjuri):</w:t>
      </w:r>
    </w:p>
    <w:p>
      <w:pPr>
        <w:numPr>
          <w:ilvl w:val="0"/>
          <w:numId w:val="1020"/>
        </w:numPr>
        <w:pStyle w:val="Compact"/>
      </w:pPr>
      <w:r>
        <w:rPr>
          <w:bCs/>
          <w:b/>
        </w:rPr>
        <w:t xml:space="preserve">Use Phase (12.5 kg CO2e):</w:t>
      </w:r>
      <w:r>
        <w:t xml:space="preserve"> </w:t>
      </w:r>
      <w:r>
        <w:t xml:space="preserve">This is by far the largest contributor to the overall PCF, accounting for approximately 75% of total emissions. The energy consumption during the 5-year lifespan significantly outweighs other stages.</w:t>
      </w:r>
    </w:p>
    <w:p>
      <w:pPr>
        <w:numPr>
          <w:ilvl w:val="0"/>
          <w:numId w:val="1020"/>
        </w:numPr>
        <w:pStyle w:val="Compact"/>
      </w:pPr>
      <w:r>
        <w:rPr>
          <w:bCs/>
          <w:b/>
        </w:rPr>
        <w:t xml:space="preserve">Material Acquisition &amp; Pre-processing (3.0244 kg CO2e):</w:t>
      </w:r>
      <w:r>
        <w:t xml:space="preserve"> </w:t>
      </w:r>
      <w:r>
        <w:t xml:space="preserve">Materials, particularly primary aluminum (M002) and Printed Circuit Board (M003), represent the second largest hotspot.</w:t>
      </w:r>
    </w:p>
    <w:p>
      <w:pPr>
        <w:numPr>
          <w:ilvl w:val="0"/>
          <w:numId w:val="1020"/>
        </w:numPr>
        <w:pStyle w:val="Compact"/>
      </w:pPr>
      <w:r>
        <w:rPr>
          <w:bCs/>
          <w:b/>
        </w:rPr>
        <w:t xml:space="preserve">Production (Scope 2 Electricity) (1.8615 kg CO2e):</w:t>
      </w:r>
      <w:r>
        <w:t xml:space="preserve"> </w:t>
      </w:r>
      <w:r>
        <w:t xml:space="preserve">Although 40% renewable energy is used, the remaining grid electricity in China still contributes significantly.</w:t>
      </w:r>
    </w:p>
    <w:p>
      <w:pPr>
        <w:numPr>
          <w:ilvl w:val="0"/>
          <w:numId w:val="1020"/>
        </w:numPr>
        <w:pStyle w:val="Compact"/>
      </w:pPr>
      <w:r>
        <w:rPr>
          <w:bCs/>
          <w:b/>
        </w:rPr>
        <w:t xml:space="preserve">End-of-Life (-0.7666 kg CO2e):</w:t>
      </w:r>
      <w:r>
        <w:t xml:space="preserve"> </w:t>
      </w:r>
      <w:r>
        <w:t xml:space="preserve">The circular economy initiatives, particularly the high recyclability percentage, result in a net carbon credit at the end-of-life stage, effectively reducing the overall footprint.</w:t>
      </w:r>
    </w:p>
    <w:p>
      <w:pPr>
        <w:numPr>
          <w:ilvl w:val="0"/>
          <w:numId w:val="1020"/>
        </w:numPr>
        <w:pStyle w:val="Compact"/>
      </w:pPr>
      <w:r>
        <w:rPr>
          <w:bCs/>
          <w:b/>
        </w:rPr>
        <w:t xml:space="preserve">Transportation (0.0740 kg CO2e):</w:t>
      </w:r>
      <w:r>
        <w:t xml:space="preserve"> </w:t>
      </w:r>
      <w:r>
        <w:t xml:space="preserve">While necessary, transportation is a relatively minor contributor in the overall context for this product.</w:t>
      </w:r>
    </w:p>
    <w:bookmarkEnd w:id="42"/>
    <w:bookmarkStart w:id="43" w:name="reliability-statement"/>
    <w:p>
      <w:pPr>
        <w:pStyle w:val="Heading3"/>
      </w:pPr>
      <w:r>
        <w:t xml:space="preserve">5.2. Reliability Statement</w:t>
      </w:r>
    </w:p>
    <w:p>
      <w:pPr>
        <w:pStyle w:val="FirstParagraph"/>
      </w:pPr>
      <w:r>
        <w:t xml:space="preserve">This report is based on the GHG Protocol standards and utilizes a combination of primary (provided parameters) and secondary (industry-standard emission factors) data. The reliability of the calculations is high for the specified parameters. However, it is important to note:</w:t>
      </w:r>
    </w:p>
    <w:p>
      <w:pPr>
        <w:numPr>
          <w:ilvl w:val="0"/>
          <w:numId w:val="1021"/>
        </w:numPr>
        <w:pStyle w:val="Compact"/>
      </w:pPr>
      <w:r>
        <w:t xml:space="preserve">Emission factors for certain generic electronic components and estimated end-of-life processes are based on industry averages and may vary with specific supplier data.</w:t>
      </w:r>
    </w:p>
    <w:p>
      <w:pPr>
        <w:numPr>
          <w:ilvl w:val="0"/>
          <w:numId w:val="1021"/>
        </w:numPr>
        <w:pStyle w:val="Compact"/>
      </w:pPr>
      <w:r>
        <w:t xml:space="preserve">The accuracy of the \'Detailed Bill of Materials (BOM)\' directly impacts the upstream material calculations.</w:t>
      </w:r>
    </w:p>
    <w:p>
      <w:pPr>
        <w:numPr>
          <w:ilvl w:val="0"/>
          <w:numId w:val="1021"/>
        </w:numPr>
        <w:pStyle w:val="Compact"/>
      </w:pPr>
      <w:r>
        <w:t xml:space="preserve">The assumed average European grid mix for the use phase is a generalization; actual user electricity sources would influence these emissions.</w:t>
      </w:r>
    </w:p>
    <w:p>
      <w:pPr>
        <w:numPr>
          <w:ilvl w:val="0"/>
          <w:numId w:val="1021"/>
        </w:numPr>
        <w:pStyle w:val="Compact"/>
      </w:pPr>
      <w:r>
        <w:t xml:space="preserve">The 95% Scope 3 coverage target has been met through comprehensive consideration of all relevant value chain stages.</w:t>
      </w:r>
    </w:p>
    <w:bookmarkEnd w:id="43"/>
    <w:bookmarkStart w:id="45" w:name="recommendations"/>
    <w:p>
      <w:pPr>
        <w:pStyle w:val="Heading3"/>
      </w:pPr>
      <w:r>
        <w:t xml:space="preserve">5.3. Recommendations</w:t>
      </w:r>
    </w:p>
    <w:p>
      <w:pPr>
        <w:pStyle w:val="FirstParagraph"/>
      </w:pPr>
      <w:r>
        <w:t xml:space="preserve">Based on this PCF analysis, xvptfiurud should consider the following recommendations to further reduce the environmental impact of the Smart Sensor Unit (rlhpspjuri):</w:t>
      </w:r>
    </w:p>
    <w:p>
      <w:pPr>
        <w:numPr>
          <w:ilvl w:val="0"/>
          <w:numId w:val="1022"/>
        </w:numPr>
        <w:pStyle w:val="Compact"/>
      </w:pPr>
      <w:r>
        <w:rPr>
          <w:bCs/>
          <w:b/>
        </w:rPr>
        <w:t xml:space="preserve">Optimize Use Phase Energy Efficiency:</w:t>
      </w:r>
      <w:r>
        <w:t xml:space="preserve"> </w:t>
      </w:r>
      <w:r>
        <w:t xml:space="preserve">Focus on engineering improvements to reduce the product\'s energy consumption during its operational life. This could involve lower power components, more efficient power management, or longer battery life solutions.</w:t>
      </w:r>
    </w:p>
    <w:p>
      <w:pPr>
        <w:numPr>
          <w:ilvl w:val="0"/>
          <w:numId w:val="1022"/>
        </w:numPr>
        <w:pStyle w:val="Compact"/>
      </w:pPr>
      <w:r>
        <w:rPr>
          <w:bCs/>
          <w:b/>
        </w:rPr>
        <w:t xml:space="preserve">Source Lower-Carbon Materials:</w:t>
      </w:r>
      <w:r>
        <w:t xml:space="preserve"> </w:t>
      </w:r>
      <w:r>
        <w:t xml:space="preserve">Prioritize suppliers offering materials with lower embodied carbon, especially for aluminum (e.g., secondary/recycled aluminum) and plastics (e.g., recycled ABS, bio-based plastics). Investigate opportunities to use more recycled content beyond the current assumed levels.</w:t>
      </w:r>
    </w:p>
    <w:p>
      <w:pPr>
        <w:numPr>
          <w:ilvl w:val="0"/>
          <w:numId w:val="1022"/>
        </w:numPr>
        <w:pStyle w:val="Compact"/>
      </w:pPr>
      <w:r>
        <w:rPr>
          <w:bCs/>
          <w:b/>
        </w:rPr>
        <w:t xml:space="preserve">Increase Renewable Energy Sourcing:</w:t>
      </w:r>
      <w:r>
        <w:t xml:space="preserve"> </w:t>
      </w:r>
      <w:r>
        <w:t xml:space="preserve">Explore increasing renewable energy procurement for manufacturing facilities, potentially through Power Purchase Agreements (PPAs) or on-site generation, to further reduce Scope 2 emissions.</w:t>
      </w:r>
    </w:p>
    <w:p>
      <w:pPr>
        <w:numPr>
          <w:ilvl w:val="0"/>
          <w:numId w:val="1022"/>
        </w:numPr>
        <w:pStyle w:val="Compact"/>
      </w:pPr>
      <w:r>
        <w:rPr>
          <w:bCs/>
          <w:b/>
        </w:rPr>
        <w:t xml:space="preserve">Enhance Circularity:</w:t>
      </w:r>
      <w:r>
        <w:t xml:space="preserve"> </w:t>
      </w:r>
      <w:r>
        <w:t xml:space="preserve">Leverage the existing "Product refurbishment and component recycling program" to maximize the recovery and reuse of components and materials, potentially exceeding the 60% recyclability target. Design for even easier disassembly and material separation at end-of-life.</w:t>
      </w:r>
    </w:p>
    <w:p>
      <w:pPr>
        <w:numPr>
          <w:ilvl w:val="0"/>
          <w:numId w:val="1022"/>
        </w:numPr>
        <w:pStyle w:val="Compact"/>
      </w:pPr>
      <w:r>
        <w:rPr>
          <w:bCs/>
          <w:b/>
        </w:rPr>
        <w:t xml:space="preserve">Engage Supply Chain Partners:</w:t>
      </w:r>
      <w:r>
        <w:t xml:space="preserve"> </w:t>
      </w:r>
      <w:r>
        <w:t xml:space="preserve">Work with upstream suppliers to obtain more specific, primary emission data for purchased goods and services, improving the accuracy of Scope 3 calculations.</w:t>
      </w:r>
    </w:p>
    <w:p>
      <w:r>
        <w:pict>
          <v:rect style="width:0;height:1.5pt" o:hralign="center" o:hrstd="t" o:hr="t"/>
        </w:pict>
      </w:r>
    </w:p>
    <w:p>
      <w:pPr>
        <w:pStyle w:val="FirstParagraph"/>
      </w:pPr>
      <w:r>
        <w:t xml:space="preserve">Confidential - Internal Use Only | Page</w:t>
      </w:r>
      <w:r>
        <w:t xml:space="preserve"> </w:t>
      </w:r>
      <w:bookmarkStart w:id="44" w:name="page-num"/>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Smart Sensor Unit (rlhpspjuri)</dc:title>
  <dc:creator/>
  <dc:description>A high-detail Product Carbon Footprint (PCF) analysis report for the Smart Sensor Unit (rlhpspjuri) manufactured by xvptfiurud, adhering to GHG Protocol standards and 2026 LSR update requirements.</dc:description>
  <dc:language>en</dc:language>
  <cp:keywords/>
  <dcterms:created xsi:type="dcterms:W3CDTF">2026-05-30T18:09:23Z</dcterms:created>
  <dcterms:modified xsi:type="dcterms:W3CDTF">2026-05-30T18:09:23Z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