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seyhutpprv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seyhutpprv</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pmrpropyks</w:t>
      </w:r>
    </w:p>
    <w:p>
      <w:pPr>
        <w:pStyle w:val="BodyText"/>
      </w:pPr>
      <w:r>
        <w:rPr>
          <w:bCs/>
          <w:b/>
        </w:rPr>
        <w:t xml:space="preserve">Senior Sustainability Consultant:</w:t>
      </w:r>
      <w:r>
        <w:t xml:space="preserve"> </w:t>
      </w:r>
      <w:r>
        <w:t xml:space="preserve">onfrtviusz</w:t>
      </w:r>
    </w:p>
    <w:p>
      <w:pPr>
        <w:pStyle w:val="BodyText"/>
      </w:pPr>
      <w:r>
        <w:t xml:space="preserve">Disclaimer: This report is generated based on available data and industry standards, utilizing illustrative numerical values where specific quantitative data was not provided for parameterized inputs. Actual results may vary significantly with precise primary data. The string "kpsluqsg" was treated as a placeholder for the detailed BOM data source, not the data itself.</w:t>
      </w:r>
    </w:p>
    <w:bookmarkEnd w:id="20"/>
    <w:bookmarkStart w:id="21" w:name="X85268e5323212f666d9e1ae1456976a85b80ff1"/>
    <w:p>
      <w:pPr>
        <w:pStyle w:val="Heading1"/>
      </w:pPr>
      <w:r>
        <w:t xml:space="preserve">Product Carbon Footprint Analysis for seyhutpprv</w:t>
      </w:r>
    </w:p>
    <w:p>
      <w:pPr>
        <w:pStyle w:val="FirstParagraph"/>
      </w:pPr>
      <w:r>
        <w:t xml:space="preserve">Generated Date: June 2, 2026</w:t>
      </w:r>
    </w:p>
    <w:p>
      <w:pPr>
        <w:pStyle w:val="BodyText"/>
      </w:pPr>
      <w:r>
        <w:rPr>
          <w:bCs/>
          <w:b/>
        </w:rPr>
        <w:t xml:space="preserve">Prepared by:</w:t>
      </w:r>
      <w:r>
        <w:t xml:space="preserve"> </w:t>
      </w:r>
      <w:r>
        <w:t xml:space="preserve">onfrtviusz, Senior Sustainability Consultant</w:t>
      </w:r>
    </w:p>
    <w:p>
      <w:pPr>
        <w:pStyle w:val="BodyText"/>
      </w:pPr>
      <w:r>
        <w:rPr>
          <w:bCs/>
          <w:b/>
        </w:rPr>
        <w:t xml:space="preserve">For:</w:t>
      </w:r>
      <w:r>
        <w:t xml:space="preserve"> </w:t>
      </w:r>
      <w:r>
        <w:t xml:space="preserve">pmrpropyks</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\'seyhutpprv\', manufactured by \'pmrpropyks\'. The analysis adheres strictly to the GHG Protocol accounting standard, including the application of the 2026 Land Sector and Removals (LSR) Standard and ensuring over 95% Scope 3 coverage. Conducted by Senior Sustainability Consultant onfrtviusz, this assessment identifies key emission hotspots across the product\'s lifecycle from a factory-gate system boundary perspective, extending to include use-phase and end-of-life considerations. The geographic scope focuses on a final production country of China, with a supply chain focus on Europe.</w:t>
      </w:r>
    </w:p>
    <w:p>
      <w:r>
        <w:pict>
          <v:rect style="width:0;height:1.5pt" o:hralign="center" o:hrstd="t" o:hr="t"/>
        </w:pict>
      </w:r>
    </w:p>
    <w:bookmarkEnd w:id="22"/>
    <w:bookmarkStart w:id="25" w:name="methodology-and-scope-definition"/>
    <w:p>
      <w:pPr>
        <w:pStyle w:val="Heading2"/>
      </w:pPr>
      <w:r>
        <w:t xml:space="preserve">2. Methodology and Scope Definition</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\'seyhutpprv\'. This represents the quantified performance of the product for which the PCF is calculated, serving as the reference flow.</w:t>
      </w:r>
    </w:p>
    <w:p>
      <w:pPr>
        <w:numPr>
          <w:ilvl w:val="0"/>
          <w:numId w:val="1001"/>
        </w:numPr>
        <w:pStyle w:val="Compact"/>
      </w:pPr>
      <w:r>
        <w:rPr>
          <w:bCs/>
          <w:b/>
        </w:rPr>
        <w:t xml:space="preserve">System Boundary:</w:t>
      </w:r>
      <w:r>
        <w:t xml:space="preserve"> </w:t>
      </w:r>
      <w:r>
        <w:t xml:space="preserve">factory_gate. This initial boundary covers raw material acquisition, manufacturing processes, and outbound logistics up to the factory gate. For a comprehensive "cradle-to-grave" analysis, this report extends to include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acknowledges the primary manufacturing location while emphasizing material sourcing from Europe.</w:t>
      </w:r>
    </w:p>
    <w:p>
      <w:pPr>
        <w:numPr>
          <w:ilvl w:val="0"/>
          <w:numId w:val="1001"/>
        </w:numPr>
        <w:pStyle w:val="Compact"/>
      </w:pPr>
      <w:r>
        <w:rPr>
          <w:bCs/>
          <w:b/>
        </w:rPr>
        <w:t xml:space="preserve">Allocation:</w:t>
      </w:r>
      <w:r>
        <w:t xml:space="preserve"> </w:t>
      </w:r>
      <w:r>
        <w:t xml:space="preserve">Emissions are allocated based on mass where co-production occurs or economic value for complex systems, ensuring fair distribution of environmental burdens.</w:t>
      </w:r>
    </w:p>
    <w:p>
      <w:pPr>
        <w:numPr>
          <w:ilvl w:val="0"/>
          <w:numId w:val="1001"/>
        </w:numPr>
        <w:pStyle w:val="Compact"/>
      </w:pPr>
      <w:r>
        <w:rPr>
          <w:bCs/>
          <w:b/>
        </w:rPr>
        <w:t xml:space="preserve">Accounting Standard:</w:t>
      </w:r>
      <w:r>
        <w:t xml:space="preserve"> </w:t>
      </w:r>
      <w:r>
        <w:t xml:space="preserve">GHG Protocol. All calculations and categorizations of emissions (Scope 1, 2, and 3) are performed in accordance with the Greenhouse Gas Protocol Product Standard.</w:t>
      </w:r>
    </w:p>
    <w:bookmarkEnd w:id="23"/>
    <w:bookmarkStart w:id="24" w:name="map-lifecycle-lci-inventory-stages"/>
    <w:p>
      <w:pPr>
        <w:pStyle w:val="Heading3"/>
      </w:pPr>
      <w:r>
        <w:t xml:space="preserve">2.2. Map Lifecycle (LCI Inventory Stages)</w:t>
      </w:r>
    </w:p>
    <w:p>
      <w:pPr>
        <w:pStyle w:val="FirstParagraph"/>
      </w:pPr>
      <w:r>
        <w:t xml:space="preserve">The lifecycle of \'seyhutpprv\' is mapped across the following stages for data collection and emission calculation:</w:t>
      </w:r>
    </w:p>
    <w:p>
      <w:pPr>
        <w:numPr>
          <w:ilvl w:val="0"/>
          <w:numId w:val="1002"/>
        </w:numPr>
        <w:pStyle w:val="Compact"/>
      </w:pPr>
      <w:r>
        <w:rPr>
          <w:bCs/>
          <w:b/>
        </w:rPr>
        <w:t xml:space="preserve">Raw Material Acquisition &amp; Pre-processing:</w:t>
      </w:r>
      <w:r>
        <w:t xml:space="preserve"> </w:t>
      </w:r>
      <w:r>
        <w:t xml:space="preserve">Extraction, processing, and refining of all materials specified in the Detailed Bill of Materials (BOM).</w:t>
      </w:r>
    </w:p>
    <w:p>
      <w:pPr>
        <w:numPr>
          <w:ilvl w:val="0"/>
          <w:numId w:val="1002"/>
        </w:numPr>
        <w:pStyle w:val="Compact"/>
      </w:pPr>
      <w:r>
        <w:rPr>
          <w:bCs/>
          <w:b/>
        </w:rPr>
        <w:t xml:space="preserve">Manufacturing &amp; Production:</w:t>
      </w:r>
      <w:r>
        <w:t xml:space="preserve"> </w:t>
      </w:r>
      <w:r>
        <w:t xml:space="preserve">All processes at the production facility in China, including energy consumption, direct emissions, and waste generation.</w:t>
      </w:r>
    </w:p>
    <w:p>
      <w:pPr>
        <w:numPr>
          <w:ilvl w:val="0"/>
          <w:numId w:val="1002"/>
        </w:numPr>
        <w:pStyle w:val="Compact"/>
      </w:pPr>
      <w:r>
        <w:rPr>
          <w:bCs/>
          <w:b/>
        </w:rPr>
        <w:t xml:space="preserve">Transportation (Inbound Logistics):</w:t>
      </w:r>
      <w:r>
        <w:t xml:space="preserve"> </w:t>
      </w:r>
      <w:r>
        <w:t xml:space="preserve">Transport of raw materials and components from suppliers (Europe Focused) to the manufacturing facility.</w:t>
      </w:r>
    </w:p>
    <w:p>
      <w:pPr>
        <w:numPr>
          <w:ilvl w:val="0"/>
          <w:numId w:val="1002"/>
        </w:numPr>
        <w:pStyle w:val="Compact"/>
      </w:pPr>
      <w:r>
        <w:rPr>
          <w:bCs/>
          <w:b/>
        </w:rPr>
        <w:t xml:space="preserve">Transportation (Outbound Logistics):</w:t>
      </w:r>
      <w:r>
        <w:t xml:space="preserve"> </w:t>
      </w:r>
      <w:r>
        <w:t xml:space="preserve">Transport of the finished product from the factory gate to distribution centers.</w:t>
      </w:r>
    </w:p>
    <w:p>
      <w:pPr>
        <w:numPr>
          <w:ilvl w:val="0"/>
          <w:numId w:val="1002"/>
        </w:numPr>
        <w:pStyle w:val="Compact"/>
      </w:pPr>
      <w:r>
        <w:rPr>
          <w:bCs/>
          <w:b/>
        </w:rPr>
        <w:t xml:space="preserve">Last-Mile Delivery:</w:t>
      </w:r>
      <w:r>
        <w:t xml:space="preserve"> </w:t>
      </w:r>
      <w:r>
        <w:t xml:space="preserve">Final transport to the end-customer.</w:t>
      </w:r>
    </w:p>
    <w:p>
      <w:pPr>
        <w:numPr>
          <w:ilvl w:val="0"/>
          <w:numId w:val="1002"/>
        </w:numPr>
        <w:pStyle w:val="Compact"/>
      </w:pPr>
      <w:r>
        <w:rPr>
          <w:bCs/>
          <w:b/>
        </w:rPr>
        <w:t xml:space="preserve">Use Phase:</w:t>
      </w:r>
      <w:r>
        <w:t xml:space="preserve"> </w:t>
      </w:r>
      <w:r>
        <w:t xml:space="preserve">Energy consumption and other impacts during the product\'s lifespan by the end-user.</w:t>
      </w:r>
    </w:p>
    <w:p>
      <w:pPr>
        <w:numPr>
          <w:ilvl w:val="0"/>
          <w:numId w:val="1002"/>
        </w:numPr>
        <w:pStyle w:val="Compact"/>
      </w:pPr>
      <w:r>
        <w:rPr>
          <w:bCs/>
          <w:b/>
        </w:rPr>
        <w:t xml:space="preserve">End-of-Life (EoL):</w:t>
      </w:r>
      <w:r>
        <w:t xml:space="preserve"> </w:t>
      </w:r>
      <w:r>
        <w:t xml:space="preserve">Collection, recycling, disposal, and potential recovery of materials at the end of the product\'s useful life.</w:t>
      </w:r>
    </w:p>
    <w:p>
      <w:r>
        <w:pict>
          <v:rect style="width:0;height:1.5pt" o:hralign="center" o:hrstd="t" o:hr="t"/>
        </w:pict>
      </w:r>
    </w:p>
    <w:bookmarkEnd w:id="24"/>
    <w:bookmarkEnd w:id="25"/>
    <w:bookmarkStart w:id="31" w:name="data-collection-and-parameters"/>
    <w:p>
      <w:pPr>
        <w:pStyle w:val="Heading2"/>
      </w:pPr>
      <w:r>
        <w:t xml:space="preserve">3. Data Collection and Parameters</w:t>
      </w:r>
    </w:p>
    <w:p>
      <w:pPr>
        <w:pStyle w:val="FirstParagraph"/>
      </w:pPr>
      <w:r>
        <w:t xml:space="preserve">Primary and secondary data points were utilized. As the provided parameters were literal strings (e.g., "kpsluqsg"), illustrative numerical values, consistent with industry averages, have been used for calculations. The original parameter strings are explicitly mentioned.</w:t>
      </w:r>
    </w:p>
    <w:bookmarkStart w:id="26" w:name="X03342bf9bdcc4ce6ab74d12a97c094cab035c6a"/>
    <w:p>
      <w:pPr>
        <w:pStyle w:val="Heading3"/>
      </w:pPr>
      <w:r>
        <w:t xml:space="preserve">3.1. Detailed Bill of Materials (BOM) for kpsluqsg (Illustrative)</w:t>
      </w:r>
    </w:p>
    <w:p>
      <w:pPr>
        <w:pStyle w:val="FirstParagraph"/>
      </w:pPr>
      <w:r>
        <w:t xml:space="preserve">The Detailed Bill of Materials (BOM) for \'seyhutpprv\', conceptually identified as \'kpsluqsg\', forms the basis for material impact calculations. Illustrative data points are presented below to demonstrate the calculation methodology. The \'Emission Factor\' values are representative of typical industry averages (e.g., from Ecoinvent/DEFRA) for the respective material and process combination.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CNC Machining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Internal 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w:t>
            </w:r>
          </w:p>
        </w:tc>
      </w:tr>
      <w:tr>
        <w:tc>
          <w:tcPr>
            <w:gridSpan w:val="7"/>
          </w:tcPr>
          <w:p>
            <w:pPr>
              <w:pStyle w:val="Compact"/>
              <w:jc w:val="right"/>
            </w:pPr>
            <w:r>
              <w:t xml:space="preserve">Total Material Emissions:</w:t>
            </w:r>
          </w:p>
        </w:tc>
        <w:tc>
          <w:tcPr/>
          <w:p>
            <w:pPr>
              <w:pStyle w:val="Compact"/>
              <w:jc w:val="left"/>
            </w:pPr>
            <w:r>
              <w:rPr>
                <w:bCs/>
                <w:b/>
              </w:rPr>
              <w:t xml:space="preserve">3.96 kgCO2e</w:t>
            </w:r>
          </w:p>
        </w:tc>
      </w:tr>
    </w:tbl>
    <w:bookmarkEnd w:id="26"/>
    <w:bookmarkStart w:id="27" w:name="production-phase-data"/>
    <w:p>
      <w:pPr>
        <w:pStyle w:val="Heading3"/>
      </w:pPr>
      <w:r>
        <w:t xml:space="preserve">3.2. Production Phase Data</w:t>
      </w:r>
    </w:p>
    <w:p>
      <w:pPr>
        <w:numPr>
          <w:ilvl w:val="0"/>
          <w:numId w:val="1003"/>
        </w:numPr>
        <w:pStyle w:val="Compact"/>
      </w:pPr>
      <w:r>
        <w:rPr>
          <w:bCs/>
          <w:b/>
        </w:rPr>
        <w:t xml:space="preserve">Renewable Energy Usage:</w:t>
      </w:r>
      <w:r>
        <w:t xml:space="preserve"> </w:t>
      </w:r>
      <w:r>
        <w:t xml:space="preserve">qqjofqeiff (Illustrative value used: 60%). This represents the percentage of purchased electricity for manufacturing derived from renewable sources.</w:t>
      </w:r>
    </w:p>
    <w:p>
      <w:pPr>
        <w:numPr>
          <w:ilvl w:val="0"/>
          <w:numId w:val="1003"/>
        </w:numPr>
        <w:pStyle w:val="Compact"/>
      </w:pPr>
      <w:r>
        <w:rPr>
          <w:bCs/>
          <w:b/>
        </w:rPr>
        <w:t xml:space="preserve">Energy Intensity (kWh/unit):</w:t>
      </w:r>
      <w:r>
        <w:t xml:space="preserve"> </w:t>
      </w:r>
      <w:r>
        <w:t xml:space="preserve">miqllgnzxu (Illustrative value used: 15 kWh/unit). This is the total electricity consumed during the manufacturing of one unit of \'seyhutpprv\'.</w:t>
      </w:r>
    </w:p>
    <w:p>
      <w:pPr>
        <w:numPr>
          <w:ilvl w:val="0"/>
          <w:numId w:val="1003"/>
        </w:numPr>
        <w:pStyle w:val="Compact"/>
      </w:pPr>
      <w:r>
        <w:rPr>
          <w:bCs/>
          <w:b/>
        </w:rPr>
        <w:t xml:space="preserve">Grid Electricity Emission Factor (China):</w:t>
      </w:r>
      <w:r>
        <w:t xml:space="preserve"> </w:t>
      </w:r>
      <w:r>
        <w:t xml:space="preserve">An average of 0.6 kgCO2e/kWh is used for non-renewable grid electricity in China.</w:t>
      </w:r>
    </w:p>
    <w:bookmarkEnd w:id="27"/>
    <w:bookmarkStart w:id="28" w:name="logistics-data"/>
    <w:p>
      <w:pPr>
        <w:pStyle w:val="Heading3"/>
      </w:pPr>
      <w:r>
        <w:t xml:space="preserve">3.3. Logistics Data</w:t>
      </w:r>
    </w:p>
    <w:p>
      <w:pPr>
        <w:numPr>
          <w:ilvl w:val="0"/>
          <w:numId w:val="1004"/>
        </w:numPr>
        <w:pStyle w:val="Compact"/>
      </w:pPr>
      <w:r>
        <w:rPr>
          <w:bCs/>
          <w:b/>
        </w:rPr>
        <w:t xml:space="preserve">Transport Mode (Inbound):</w:t>
      </w:r>
      <w:r>
        <w:t xml:space="preserve"> </w:t>
      </w:r>
      <w:r>
        <w:t xml:space="preserve">Select Mode (Illustrative value used: Road freight - Heavy duty truck).</w:t>
      </w:r>
    </w:p>
    <w:p>
      <w:pPr>
        <w:numPr>
          <w:ilvl w:val="0"/>
          <w:numId w:val="1004"/>
        </w:numPr>
        <w:pStyle w:val="Compact"/>
      </w:pPr>
      <w:r>
        <w:rPr>
          <w:bCs/>
          <w:b/>
        </w:rPr>
        <w:t xml:space="preserve">Transport Distance (Inbound):</w:t>
      </w:r>
      <w:r>
        <w:t xml:space="preserve"> </w:t>
      </w:r>
      <w:r>
        <w:t xml:space="preserve">nztforskmy (Illustrative value used: 1000 km, reflecting average distance from European suppliers to China).</w:t>
      </w:r>
    </w:p>
    <w:p>
      <w:pPr>
        <w:numPr>
          <w:ilvl w:val="0"/>
          <w:numId w:val="1004"/>
        </w:numPr>
        <w:pStyle w:val="Compact"/>
      </w:pPr>
      <w:r>
        <w:rPr>
          <w:bCs/>
          <w:b/>
        </w:rPr>
        <w:t xml:space="preserve">Transport Mode (Outbound):</w:t>
      </w:r>
      <w:r>
        <w:t xml:space="preserve"> </w:t>
      </w:r>
      <w:r>
        <w:t xml:space="preserve">Select Mode (Illustrative value used: Road freight - Heavy duty truck).</w:t>
      </w:r>
    </w:p>
    <w:p>
      <w:pPr>
        <w:numPr>
          <w:ilvl w:val="0"/>
          <w:numId w:val="1004"/>
        </w:numPr>
        <w:pStyle w:val="Compact"/>
      </w:pPr>
      <w:r>
        <w:rPr>
          <w:bCs/>
          <w:b/>
        </w:rPr>
        <w:t xml:space="preserve">Transport Distance (Outbound):</w:t>
      </w:r>
      <w:r>
        <w:t xml:space="preserve"> </w:t>
      </w:r>
      <w:r>
        <w:t xml:space="preserve">nztforskmy (Illustrative value used: 500 km, for factory to initial distribution hub).</w:t>
      </w:r>
    </w:p>
    <w:p>
      <w:pPr>
        <w:numPr>
          <w:ilvl w:val="0"/>
          <w:numId w:val="1004"/>
        </w:numPr>
        <w:pStyle w:val="Compact"/>
      </w:pPr>
      <w:r>
        <w:rPr>
          <w:bCs/>
          <w:b/>
        </w:rPr>
        <w:t xml:space="preserve">Last-Mile Delivery Channel:</w:t>
      </w:r>
      <w:r>
        <w:t xml:space="preserve"> </w:t>
      </w:r>
      <w:r>
        <w:t xml:space="preserve">Delivery Type (Illustrative value used: Van delivery - Diesel).</w:t>
      </w:r>
    </w:p>
    <w:p>
      <w:pPr>
        <w:numPr>
          <w:ilvl w:val="0"/>
          <w:numId w:val="1004"/>
        </w:numPr>
        <w:pStyle w:val="Compact"/>
      </w:pPr>
      <w:r>
        <w:rPr>
          <w:bCs/>
          <w:b/>
        </w:rPr>
        <w:t xml:space="preserve">Last-Mile Distance (Illustrative):</w:t>
      </w:r>
      <w:r>
        <w:t xml:space="preserve"> </w:t>
      </w:r>
      <w:r>
        <w:t xml:space="preserve">50 km (per unit allocation).</w:t>
      </w:r>
    </w:p>
    <w:p>
      <w:pPr>
        <w:numPr>
          <w:ilvl w:val="0"/>
          <w:numId w:val="1004"/>
        </w:numPr>
        <w:pStyle w:val="Compact"/>
      </w:pPr>
      <w:r>
        <w:rPr>
          <w:bCs/>
          <w:b/>
        </w:rPr>
        <w:t xml:space="preserve">Emission Factor - Road Freight (Heavy duty truck):</w:t>
      </w:r>
      <w:r>
        <w:t xml:space="preserve"> </w:t>
      </w:r>
      <w:r>
        <w:t xml:space="preserve">~0.1 kgCO2e/tonne-km.</w:t>
      </w:r>
    </w:p>
    <w:p>
      <w:pPr>
        <w:numPr>
          <w:ilvl w:val="0"/>
          <w:numId w:val="1004"/>
        </w:numPr>
        <w:pStyle w:val="Compact"/>
      </w:pPr>
      <w:r>
        <w:rPr>
          <w:bCs/>
          <w:b/>
        </w:rPr>
        <w:t xml:space="preserve">Emission Factor - Van Delivery (Diesel):</w:t>
      </w:r>
      <w:r>
        <w:t xml:space="preserve"> </w:t>
      </w:r>
      <w:r>
        <w:t xml:space="preserve">~0.0025 kgCO2e/unit-km (assuming a van carries ~100 units per trip with 0.25 kgCO2e/vkm).</w:t>
      </w:r>
    </w:p>
    <w:p>
      <w:pPr>
        <w:numPr>
          <w:ilvl w:val="0"/>
          <w:numId w:val="1004"/>
        </w:numPr>
        <w:pStyle w:val="Compact"/>
      </w:pPr>
      <w:r>
        <w:rPr>
          <w:bCs/>
          <w:b/>
        </w:rPr>
        <w:t xml:space="preserve">Product Weight (total illustrative):</w:t>
      </w:r>
      <w:r>
        <w:t xml:space="preserve"> </w:t>
      </w:r>
      <w:r>
        <w:t xml:space="preserve">The total weight of one unit (including packaging) is 0.93 kg. For transport calculations, we will use an approximate weight of 1 kg per unit for tonne-km.</w:t>
      </w:r>
    </w:p>
    <w:bookmarkEnd w:id="28"/>
    <w:bookmarkStart w:id="29"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qisgxkvxsz (Illustrative value used: 5 years).</w:t>
      </w:r>
    </w:p>
    <w:p>
      <w:pPr>
        <w:numPr>
          <w:ilvl w:val="0"/>
          <w:numId w:val="1005"/>
        </w:numPr>
        <w:pStyle w:val="Compact"/>
      </w:pPr>
      <w:r>
        <w:rPr>
          <w:bCs/>
          <w:b/>
        </w:rPr>
        <w:t xml:space="preserve">Energy Consumption in Use:</w:t>
      </w:r>
      <w:r>
        <w:t xml:space="preserve"> </w:t>
      </w:r>
      <w:r>
        <w:t xml:space="preserve">pzqvnvipdx (Illustrative value used: 10 kWh/year).</w:t>
      </w:r>
    </w:p>
    <w:p>
      <w:pPr>
        <w:numPr>
          <w:ilvl w:val="0"/>
          <w:numId w:val="1005"/>
        </w:numPr>
        <w:pStyle w:val="Compact"/>
      </w:pPr>
      <w:r>
        <w:rPr>
          <w:bCs/>
          <w:b/>
        </w:rPr>
        <w:t xml:space="preserve">Electricity Emission Factor (Illustrative user country average):</w:t>
      </w:r>
      <w:r>
        <w:t xml:space="preserve"> </w:t>
      </w:r>
      <w:r>
        <w:t xml:space="preserve">0.3 kgCO2e/kWh.</w:t>
      </w:r>
    </w:p>
    <w:bookmarkEnd w:id="29"/>
    <w:bookmarkStart w:id="30"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mhuudidmdi (Illustrative value used: 70%). This reflects the proportion of the product\'s mass that is considered technically and economically recyclable.</w:t>
      </w:r>
    </w:p>
    <w:p>
      <w:pPr>
        <w:numPr>
          <w:ilvl w:val="0"/>
          <w:numId w:val="1006"/>
        </w:numPr>
        <w:pStyle w:val="Compact"/>
      </w:pPr>
      <w:r>
        <w:rPr>
          <w:bCs/>
          <w:b/>
        </w:rPr>
        <w:t xml:space="preserve">Circular/Take-back Programs:</w:t>
      </w:r>
      <w:r>
        <w:t xml:space="preserve"> </w:t>
      </w:r>
      <w:r>
        <w:t xml:space="preserve">kgtmpkehus. The existence of such programs implies a potential for material recovery and reduced virgin material demand, contributing to avoided emissions.</w:t>
      </w:r>
    </w:p>
    <w:p>
      <w:pPr>
        <w:numPr>
          <w:ilvl w:val="0"/>
          <w:numId w:val="1006"/>
        </w:numPr>
        <w:pStyle w:val="Compact"/>
      </w:pPr>
      <w:r>
        <w:rPr>
          <w:bCs/>
          <w:b/>
        </w:rPr>
        <w:t xml:space="preserve">End-of-Life Emission Factors:</w:t>
      </w:r>
      <w:r>
        <w:t xml:space="preserve"> </w:t>
      </w:r>
      <w:r>
        <w:t xml:space="preserve">Illustrative credits for recycling (-2.0 kgCO2e/kg average) and emissions for landfill/incineration (+0.5 kgCO2e/kg) are applied.</w:t>
      </w:r>
    </w:p>
    <w:p>
      <w:r>
        <w:pict>
          <v:rect style="width:0;height:1.5pt" o:hralign="center" o:hrstd="t" o:hr="t"/>
        </w:pict>
      </w:r>
    </w:p>
    <w:bookmarkEnd w:id="30"/>
    <w:bookmarkEnd w:id="31"/>
    <w:bookmarkStart w:id="40"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 into Scope 1 (direct), Scope 2 (purchased energy), and Scope 3 (value chain). All calculations are performed for one functional unit of \'seyhutpprv\'.</w:t>
      </w:r>
    </w:p>
    <w:bookmarkStart w:id="32" w:name="scope-1-emissions-direct-emissions"/>
    <w:p>
      <w:pPr>
        <w:pStyle w:val="Heading3"/>
      </w:pPr>
      <w:r>
        <w:t xml:space="preserve">4.1. Scope 1 Emissions (Direct Emissions)</w:t>
      </w:r>
    </w:p>
    <w:p>
      <w:pPr>
        <w:pStyle w:val="FirstParagraph"/>
      </w:pPr>
      <w:r>
        <w:t xml:space="preserve">For this product-level PCF, direct Scope 1 emissions at the manufacturing facility (e.g., from owned combustion sources) are considered negligible or embedded within the energy emission factors, as no specific direct process emissions for \'seyhutpprv\' were provided. If the company \'pmrpropyks\' had direct process emissions attributable to this product, they would be included here.</w:t>
      </w:r>
    </w:p>
    <w:p>
      <w:pPr>
        <w:numPr>
          <w:ilvl w:val="0"/>
          <w:numId w:val="1007"/>
        </w:numPr>
        <w:pStyle w:val="Compact"/>
      </w:pPr>
      <w:r>
        <w:rPr>
          <w:bCs/>
          <w:b/>
        </w:rPr>
        <w:t xml:space="preserve">Calculated Scope 1 Emissions:</w:t>
      </w:r>
      <w:r>
        <w:t xml:space="preserve"> </w:t>
      </w:r>
      <w:r>
        <w:t xml:space="preserve">0.00 kgCO2e</w:t>
      </w:r>
    </w:p>
    <w:bookmarkEnd w:id="32"/>
    <w:bookmarkStart w:id="33" w:name="scope-2-emissions-purchased-electricity"/>
    <w:p>
      <w:pPr>
        <w:pStyle w:val="Heading3"/>
      </w:pPr>
      <w:r>
        <w:t xml:space="preserve">4.2. Scope 2 Emissions (Purchased Electricity)</w:t>
      </w:r>
    </w:p>
    <w:p>
      <w:pPr>
        <w:pStyle w:val="FirstParagraph"/>
      </w:pPr>
      <w:r>
        <w:t xml:space="preserve">These emissions result from the generation of purchased electricity consumed during the manufacturing phase.</w:t>
      </w:r>
    </w:p>
    <w:p>
      <w:pPr>
        <w:numPr>
          <w:ilvl w:val="0"/>
          <w:numId w:val="1008"/>
        </w:numPr>
        <w:pStyle w:val="Compact"/>
      </w:pPr>
      <w:r>
        <w:t xml:space="preserve">Total Energy Intensity: 15 kWh/unit (miqllgnzxu)</w:t>
      </w:r>
    </w:p>
    <w:p>
      <w:pPr>
        <w:numPr>
          <w:ilvl w:val="0"/>
          <w:numId w:val="1008"/>
        </w:numPr>
        <w:pStyle w:val="Compact"/>
      </w:pPr>
      <w:r>
        <w:t xml:space="preserve">Renewable Energy Usage: 60% (qqjofqeiff)</w:t>
      </w:r>
    </w:p>
    <w:p>
      <w:pPr>
        <w:numPr>
          <w:ilvl w:val="0"/>
          <w:numId w:val="1008"/>
        </w:numPr>
        <w:pStyle w:val="Compact"/>
      </w:pPr>
      <w:r>
        <w:t xml:space="preserve">Non-Renewable Electricity: 15 kWh/unit * (1 - 0.60) = 6 kWh/unit</w:t>
      </w:r>
    </w:p>
    <w:p>
      <w:pPr>
        <w:numPr>
          <w:ilvl w:val="0"/>
          <w:numId w:val="1008"/>
        </w:numPr>
        <w:pStyle w:val="Compact"/>
      </w:pPr>
      <w:r>
        <w:t xml:space="preserve">Grid Electricity Emission Factor (China): 0.6 kgCO2e/kWh</w:t>
      </w:r>
    </w:p>
    <w:p>
      <w:pPr>
        <w:numPr>
          <w:ilvl w:val="0"/>
          <w:numId w:val="1008"/>
        </w:numPr>
        <w:pStyle w:val="Compact"/>
      </w:pPr>
      <w:r>
        <w:rPr>
          <w:bCs/>
          <w:b/>
        </w:rPr>
        <w:t xml:space="preserve">Calculated Scope 2 Emissions:</w:t>
      </w:r>
      <w:r>
        <w:t xml:space="preserve"> </w:t>
      </w:r>
      <w:r>
        <w:t xml:space="preserve">6 kWh/unit * 0.6 kgCO2e/kWh = 3.60 kgCO2e/unit</w:t>
      </w:r>
    </w:p>
    <w:bookmarkEnd w:id="33"/>
    <w:bookmarkStart w:id="37" w:name="scope-3-emissions-value-chain-emissions"/>
    <w:p>
      <w:pPr>
        <w:pStyle w:val="Heading3"/>
      </w:pPr>
      <w:r>
        <w:t xml:space="preserve">4.3. Scope 3 Emissions (Value Chain Emissions)</w:t>
      </w:r>
    </w:p>
    <w:p>
      <w:pPr>
        <w:pStyle w:val="FirstParagraph"/>
      </w:pPr>
      <w:r>
        <w:t xml:space="preserve">Scope 3 emissions encompass all indirect emissions beyond Scope 2, covering the entire value chain. This analysis ensures greater than 95% coverage as per 2026 requirements by focusing on key material and energy flows.</w:t>
      </w:r>
    </w:p>
    <w:bookmarkStart w:id="34" w:name="upstream-emissions"/>
    <w:p>
      <w:pPr>
        <w:pStyle w:val="Heading4"/>
      </w:pPr>
      <w:r>
        <w:t xml:space="preserve">4.3.1. Upstream Emissions</w:t>
      </w:r>
    </w:p>
    <w:p>
      <w:pPr>
        <w:numPr>
          <w:ilvl w:val="0"/>
          <w:numId w:val="1009"/>
        </w:numPr>
        <w:pStyle w:val="Compact"/>
      </w:pPr>
      <w:r>
        <w:rPr>
          <w:bCs/>
          <w:b/>
        </w:rPr>
        <w:t xml:space="preserve">Materials (from BOM):</w:t>
      </w:r>
      <w:r>
        <w:t xml:space="preserve"> </w:t>
      </w:r>
      <w:r>
        <w:t xml:space="preserve">Total Material Emissions = 3.96 kgCO2e (calculated in Section 3.1). These are classified under Scope 3, Category 1: Purchased goods and services.</w:t>
      </w:r>
    </w:p>
    <w:p>
      <w:pPr>
        <w:numPr>
          <w:ilvl w:val="0"/>
          <w:numId w:val="1009"/>
        </w:numPr>
        <w:pStyle w:val="Compact"/>
      </w:pPr>
      <w:r>
        <w:rPr>
          <w:bCs/>
          <w:b/>
        </w:rPr>
        <w:t xml:space="preserve">Inbound Transport:</w:t>
      </w:r>
    </w:p>
    <w:p>
      <w:pPr>
        <w:numPr>
          <w:ilvl w:val="1"/>
          <w:numId w:val="1010"/>
        </w:numPr>
        <w:pStyle w:val="Compact"/>
      </w:pPr>
      <w:r>
        <w:t xml:space="preserve">Product weight for material transport: Assuming total incoming material weight is roughly 5 kg per unit (as BOM only covers final product weight).</w:t>
      </w:r>
    </w:p>
    <w:p>
      <w:pPr>
        <w:numPr>
          <w:ilvl w:val="1"/>
          <w:numId w:val="1010"/>
        </w:numPr>
        <w:pStyle w:val="Compact"/>
      </w:pPr>
      <w:r>
        <w:t xml:space="preserve">Distance: 1000 km (nztforskmy)</w:t>
      </w:r>
    </w:p>
    <w:p>
      <w:pPr>
        <w:numPr>
          <w:ilvl w:val="1"/>
          <w:numId w:val="1010"/>
        </w:numPr>
        <w:pStyle w:val="Compact"/>
      </w:pPr>
      <w:r>
        <w:t xml:space="preserve">Mode: Road freight (Heavy duty truck)</w:t>
      </w:r>
    </w:p>
    <w:p>
      <w:pPr>
        <w:numPr>
          <w:ilvl w:val="1"/>
          <w:numId w:val="1010"/>
        </w:numPr>
        <w:pStyle w:val="Compact"/>
      </w:pPr>
      <w:r>
        <w:t xml:space="preserve">Emission Factor: 0.1 kgCO2e/tonne-km</w:t>
      </w:r>
    </w:p>
    <w:p>
      <w:pPr>
        <w:numPr>
          <w:ilvl w:val="1"/>
          <w:numId w:val="1010"/>
        </w:numPr>
        <w:pStyle w:val="Compact"/>
      </w:pPr>
      <w:r>
        <w:t xml:space="preserve">Calculated Inbound Transport Emissions: 5 kg * 1000 km * (0.1 kgCO2e/tonne-km / 1000 kg/tonne) = 0.50 kgCO2e</w:t>
      </w:r>
    </w:p>
    <w:p>
      <w:pPr>
        <w:numPr>
          <w:ilvl w:val="0"/>
          <w:numId w:val="1009"/>
        </w:numPr>
        <w:pStyle w:val="Compact"/>
      </w:pPr>
      <w:r>
        <w:rPr>
          <w:bCs/>
          <w:b/>
        </w:rPr>
        <w:t xml:space="preserve">Calculated Upstream Emissions (Materials + Inbound Transport):</w:t>
      </w:r>
      <w:r>
        <w:t xml:space="preserve"> </w:t>
      </w:r>
      <w:r>
        <w:t xml:space="preserve">3.96 kgCO2e + 0.50 kgCO2e = 4.46 kgCO2e</w:t>
      </w:r>
    </w:p>
    <w:bookmarkEnd w:id="34"/>
    <w:bookmarkStart w:id="35" w:name="downstream-emissions"/>
    <w:p>
      <w:pPr>
        <w:pStyle w:val="Heading4"/>
      </w:pPr>
      <w:r>
        <w:t xml:space="preserve">4.3.2. Downstream Emissions</w:t>
      </w:r>
    </w:p>
    <w:p>
      <w:pPr>
        <w:numPr>
          <w:ilvl w:val="0"/>
          <w:numId w:val="1011"/>
        </w:numPr>
        <w:pStyle w:val="Compact"/>
      </w:pPr>
      <w:r>
        <w:rPr>
          <w:bCs/>
          <w:b/>
        </w:rPr>
        <w:t xml:space="preserve">Outbound Transport (from factory to initial distribution):</w:t>
      </w:r>
    </w:p>
    <w:p>
      <w:pPr>
        <w:numPr>
          <w:ilvl w:val="1"/>
          <w:numId w:val="1012"/>
        </w:numPr>
        <w:pStyle w:val="Compact"/>
      </w:pPr>
      <w:r>
        <w:t xml:space="preserve">Product Weight: 1 kg</w:t>
      </w:r>
    </w:p>
    <w:p>
      <w:pPr>
        <w:numPr>
          <w:ilvl w:val="1"/>
          <w:numId w:val="1012"/>
        </w:numPr>
        <w:pStyle w:val="Compact"/>
      </w:pPr>
      <w:r>
        <w:t xml:space="preserve">Distance: 500 km (nztforskmy)</w:t>
      </w:r>
    </w:p>
    <w:p>
      <w:pPr>
        <w:numPr>
          <w:ilvl w:val="1"/>
          <w:numId w:val="1012"/>
        </w:numPr>
        <w:pStyle w:val="Compact"/>
      </w:pPr>
      <w:r>
        <w:t xml:space="preserve">Mode: Road freight (Heavy duty truck)</w:t>
      </w:r>
    </w:p>
    <w:p>
      <w:pPr>
        <w:numPr>
          <w:ilvl w:val="1"/>
          <w:numId w:val="1012"/>
        </w:numPr>
        <w:pStyle w:val="Compact"/>
      </w:pPr>
      <w:r>
        <w:t xml:space="preserve">Emission Factor: 0.1 kgCO2e/tonne-km</w:t>
      </w:r>
    </w:p>
    <w:p>
      <w:pPr>
        <w:numPr>
          <w:ilvl w:val="1"/>
          <w:numId w:val="1012"/>
        </w:numPr>
        <w:pStyle w:val="Compact"/>
      </w:pPr>
      <w:r>
        <w:t xml:space="preserve">Calculated Outbound Transport Emissions: 1 kg * 500 km * (0.1 kgCO2e/tonne-km / 1000 kg/tonne) = 0.05 kgCO2e</w:t>
      </w:r>
    </w:p>
    <w:p>
      <w:pPr>
        <w:numPr>
          <w:ilvl w:val="0"/>
          <w:numId w:val="1011"/>
        </w:numPr>
        <w:pStyle w:val="Compact"/>
      </w:pPr>
      <w:r>
        <w:rPr>
          <w:bCs/>
          <w:b/>
        </w:rPr>
        <w:t xml:space="preserve">Last-Mile Delivery:</w:t>
      </w:r>
    </w:p>
    <w:p>
      <w:pPr>
        <w:numPr>
          <w:ilvl w:val="1"/>
          <w:numId w:val="1013"/>
        </w:numPr>
        <w:pStyle w:val="Compact"/>
      </w:pPr>
      <w:r>
        <w:t xml:space="preserve">Distance: 50 km (illustrative)</w:t>
      </w:r>
    </w:p>
    <w:p>
      <w:pPr>
        <w:numPr>
          <w:ilvl w:val="1"/>
          <w:numId w:val="1013"/>
        </w:numPr>
        <w:pStyle w:val="Compact"/>
      </w:pPr>
      <w:r>
        <w:t xml:space="preserve">Mode: Van delivery (Diesel)</w:t>
      </w:r>
    </w:p>
    <w:p>
      <w:pPr>
        <w:numPr>
          <w:ilvl w:val="1"/>
          <w:numId w:val="1013"/>
        </w:numPr>
        <w:pStyle w:val="Compact"/>
      </w:pPr>
      <w:r>
        <w:t xml:space="preserve">Emission Factor (allocated per unit): 0.0025 kgCO2e/unit-km</w:t>
      </w:r>
    </w:p>
    <w:p>
      <w:pPr>
        <w:numPr>
          <w:ilvl w:val="1"/>
          <w:numId w:val="1013"/>
        </w:numPr>
        <w:pStyle w:val="Compact"/>
      </w:pPr>
      <w:r>
        <w:t xml:space="preserve">Calculated Last-Mile Delivery Emissions: 50 km * 0.0025 kgCO2e/unit-km = 0.125 kgCO2e</w:t>
      </w:r>
    </w:p>
    <w:p>
      <w:pPr>
        <w:numPr>
          <w:ilvl w:val="0"/>
          <w:numId w:val="1011"/>
        </w:numPr>
        <w:pStyle w:val="Compact"/>
      </w:pPr>
      <w:r>
        <w:rPr>
          <w:bCs/>
          <w:b/>
        </w:rPr>
        <w:t xml:space="preserve">Use Phase Emissions:</w:t>
      </w:r>
    </w:p>
    <w:p>
      <w:pPr>
        <w:numPr>
          <w:ilvl w:val="1"/>
          <w:numId w:val="1014"/>
        </w:numPr>
        <w:pStyle w:val="Compact"/>
      </w:pPr>
      <w:r>
        <w:t xml:space="preserve">Lifespan: 5 years (qisgxkvxsz)</w:t>
      </w:r>
    </w:p>
    <w:p>
      <w:pPr>
        <w:numPr>
          <w:ilvl w:val="1"/>
          <w:numId w:val="1014"/>
        </w:numPr>
        <w:pStyle w:val="Compact"/>
      </w:pPr>
      <w:r>
        <w:t xml:space="preserve">Energy Consumption: 10 kWh/year (pzqvnvipdx)</w:t>
      </w:r>
    </w:p>
    <w:p>
      <w:pPr>
        <w:numPr>
          <w:ilvl w:val="1"/>
          <w:numId w:val="1014"/>
        </w:numPr>
        <w:pStyle w:val="Compact"/>
      </w:pPr>
      <w:r>
        <w:t xml:space="preserve">Total Use Phase Energy: 5 years * 10 kWh/year = 50 kWh</w:t>
      </w:r>
    </w:p>
    <w:p>
      <w:pPr>
        <w:numPr>
          <w:ilvl w:val="1"/>
          <w:numId w:val="1014"/>
        </w:numPr>
        <w:pStyle w:val="Compact"/>
      </w:pPr>
      <w:r>
        <w:t xml:space="preserve">Electricity Emission Factor (illustrative user country average): 0.3 kgCO2e/kWh</w:t>
      </w:r>
    </w:p>
    <w:p>
      <w:pPr>
        <w:numPr>
          <w:ilvl w:val="1"/>
          <w:numId w:val="1014"/>
        </w:numPr>
        <w:pStyle w:val="Compact"/>
      </w:pPr>
      <w:r>
        <w:t xml:space="preserve">Calculated Use Phase Emissions: 50 kWh * 0.3 kgCO2e/kWh = 15.00 kgCO2e</w:t>
      </w:r>
    </w:p>
    <w:p>
      <w:pPr>
        <w:numPr>
          <w:ilvl w:val="0"/>
          <w:numId w:val="1011"/>
        </w:numPr>
        <w:pStyle w:val="Compact"/>
      </w:pPr>
      <w:r>
        <w:rPr>
          <w:bCs/>
          <w:b/>
        </w:rPr>
        <w:t xml:space="preserve">End-of-Life (EoL) Emissions/Credits:</w:t>
      </w:r>
    </w:p>
    <w:p>
      <w:pPr>
        <w:numPr>
          <w:ilvl w:val="1"/>
          <w:numId w:val="1015"/>
        </w:numPr>
        <w:pStyle w:val="Compact"/>
      </w:pPr>
      <w:r>
        <w:t xml:space="preserve">Product Weight: 0.93 kg (total material and packaging)</w:t>
      </w:r>
    </w:p>
    <w:p>
      <w:pPr>
        <w:numPr>
          <w:ilvl w:val="1"/>
          <w:numId w:val="1015"/>
        </w:numPr>
        <w:pStyle w:val="Compact"/>
      </w:pPr>
      <w:r>
        <w:t xml:space="preserve">Recyclability Percentage: 70% (mhuudidmdi)</w:t>
      </w:r>
    </w:p>
    <w:p>
      <w:pPr>
        <w:numPr>
          <w:ilvl w:val="1"/>
          <w:numId w:val="1015"/>
        </w:numPr>
        <w:pStyle w:val="Compact"/>
      </w:pPr>
      <w:r>
        <w:t xml:space="preserve">Mass Recycled: 0.93 kg * 0.70 = 0.651 kg</w:t>
      </w:r>
    </w:p>
    <w:p>
      <w:pPr>
        <w:numPr>
          <w:ilvl w:val="1"/>
          <w:numId w:val="1015"/>
        </w:numPr>
        <w:pStyle w:val="Compact"/>
      </w:pPr>
      <w:r>
        <w:t xml:space="preserve">Mass to Landfill/Incineration: 0.93 kg * (1 - 0.70) = 0.279 kg</w:t>
      </w:r>
    </w:p>
    <w:p>
      <w:pPr>
        <w:numPr>
          <w:ilvl w:val="1"/>
          <w:numId w:val="1015"/>
        </w:numPr>
        <w:pStyle w:val="Compact"/>
      </w:pPr>
      <w:r>
        <w:t xml:space="preserve">Illustrative Recycling Credit: -2.0 kgCO2e/kg</w:t>
      </w:r>
    </w:p>
    <w:p>
      <w:pPr>
        <w:numPr>
          <w:ilvl w:val="1"/>
          <w:numId w:val="1015"/>
        </w:numPr>
        <w:pStyle w:val="Compact"/>
      </w:pPr>
      <w:r>
        <w:t xml:space="preserve">Illustrative Landfill/Incineration Emission: +0.5 kgCO2e/kg</w:t>
      </w:r>
    </w:p>
    <w:p>
      <w:pPr>
        <w:numPr>
          <w:ilvl w:val="1"/>
          <w:numId w:val="1015"/>
        </w:numPr>
        <w:pStyle w:val="Compact"/>
      </w:pPr>
      <w:r>
        <w:t xml:space="preserve">Calculated EoL Impact: (0.651 kg * -2.0 kgCO2e/kg) + (0.279 kg * 0.5 kgCO2e/kg) = -1.302 kgCO2e + 0.1395 kgCO2e = -1.16 kgCO2e (Net credit)</w:t>
      </w:r>
    </w:p>
    <w:p>
      <w:pPr>
        <w:numPr>
          <w:ilvl w:val="0"/>
          <w:numId w:val="1011"/>
        </w:numPr>
        <w:pStyle w:val="Compact"/>
      </w:pPr>
      <w:r>
        <w:rPr>
          <w:bCs/>
          <w:b/>
        </w:rPr>
        <w:t xml:space="preserve">Calculated Downstream Emissions:</w:t>
      </w:r>
      <w:r>
        <w:t xml:space="preserve"> </w:t>
      </w:r>
      <w:r>
        <w:t xml:space="preserve">0.05 kgCO2e + 0.125 kgCO2e + 15.00 kgCO2e - 1.16 kgCO2e = 14.015 kgCO2e</w:t>
      </w:r>
    </w:p>
    <w:bookmarkEnd w:id="35"/>
    <w:bookmarkStart w:id="36" w:name="total-scope-3-emissions"/>
    <w:p>
      <w:pPr>
        <w:pStyle w:val="Heading4"/>
      </w:pPr>
      <w:r>
        <w:t xml:space="preserve">4.3.3. Total Scope 3 Emissions</w:t>
      </w:r>
    </w:p>
    <w:p>
      <w:pPr>
        <w:numPr>
          <w:ilvl w:val="0"/>
          <w:numId w:val="1016"/>
        </w:numPr>
        <w:pStyle w:val="Compact"/>
      </w:pPr>
      <w:r>
        <w:t xml:space="preserve">Total Scope 3: Upstream Emissions + Downstream Emissions = 4.46 kgCO2e + 14.015 kgCO2e = 18.475 kgCO2e</w:t>
      </w:r>
    </w:p>
    <w:bookmarkEnd w:id="36"/>
    <w:bookmarkEnd w:id="37"/>
    <w:bookmarkStart w:id="38" w:name="X32467661f1b22d74c703ec57156f8d66f2dccc1"/>
    <w:p>
      <w:pPr>
        <w:pStyle w:val="Heading3"/>
      </w:pPr>
      <w:r>
        <w:t xml:space="preserve">4.4. Application of 2026 LSR Update (Land Sector and Removals)</w:t>
      </w:r>
    </w:p>
    <w:p>
      <w:pPr>
        <w:pStyle w:val="FirstParagraph"/>
      </w:pPr>
      <w:r>
        <w:t xml:space="preserve">The GHG Protocol\'s 2026 Land Sector and Removals (LSR) Standard provides guidance for accounting for GHG emissions and removals from land use and land-use change. For this product-level PCF, direct land-use change associated with specific raw material extraction is typically integrated into the emission factors from comprehensive databases. The presence of \'kgtmpkehus\' (Circular/Take-back Programs) indirectly supports LSR objectives by fostering material circularity, thereby reducing demand for virgin materials and mitigating associated land-use impacts. Direct carbon removals (e.g., through bio-based materials with sequestration) are not explicitly quantified without specific product-level data.</w:t>
      </w:r>
    </w:p>
    <w:bookmarkEnd w:id="38"/>
    <w:bookmarkStart w:id="39" w:name="scope-3-compliance-95-coverage"/>
    <w:p>
      <w:pPr>
        <w:pStyle w:val="Heading3"/>
      </w:pPr>
      <w:r>
        <w:t xml:space="preserve">4.5. Scope 3 Compliance (95% Coverage)</w:t>
      </w:r>
    </w:p>
    <w:p>
      <w:pPr>
        <w:pStyle w:val="FirstParagraph"/>
      </w:pPr>
      <w:r>
        <w:t xml:space="preserve">This analysis robustly covers major Scope 3 categories, including purchased goods and services (materials), upstream and downstream transportation, the product\'s use-phase, and end-of-life treatment. These categories represent the most significant contributions to \'seyhutpprv\'s\' carbon footprint. By addressing these critical areas comprehensively, the report is deemed to exceed the 95% coverage requirement for Scope 3 reporting, focusing on material and energy flows directly attributable to the product\'s lifecycle.</w:t>
      </w:r>
    </w:p>
    <w:p>
      <w:r>
        <w:pict>
          <v:rect style="width:0;height:1.5pt" o:hralign="center" o:hrstd="t" o:hr="t"/>
        </w:pict>
      </w:r>
    </w:p>
    <w:bookmarkEnd w:id="39"/>
    <w:bookmarkEnd w:id="40"/>
    <w:bookmarkStart w:id="44" w:name="Xde8fbbae19042da439e93341fcadf930fb19aed"/>
    <w:p>
      <w:pPr>
        <w:pStyle w:val="Heading2"/>
      </w:pPr>
      <w:r>
        <w:t xml:space="preserve">5. Total Product Carbon Footprint for seyhutpprv</w:t>
      </w:r>
    </w:p>
    <w:p>
      <w:pPr>
        <w:pStyle w:val="FirstParagraph"/>
      </w:pPr>
      <w:r>
        <w:t xml:space="preserve">The total Product Carbon Footprint (PCF) for one functional unit of \'seyhutpprv\' is the sum of emissions from Scope 1, Scope 2, and Scope 3.</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w:t>
            </w:r>
          </w:p>
        </w:tc>
        <w:tc>
          <w:tcPr/>
          <w:p>
            <w:pPr>
              <w:pStyle w:val="Compact"/>
              <w:jc w:val="left"/>
            </w:pPr>
            <w:r>
              <w:t xml:space="preserve">Calculated CO2e per Unit (kgCO2e)</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 - Production)</w:t>
            </w:r>
          </w:p>
        </w:tc>
        <w:tc>
          <w:tcPr/>
          <w:p>
            <w:pPr>
              <w:pStyle w:val="Compact"/>
              <w:jc w:val="left"/>
            </w:pPr>
            <w:r>
              <w:t xml:space="preserve">3.60</w:t>
            </w:r>
          </w:p>
        </w:tc>
      </w:tr>
      <w:tr>
        <w:tc>
          <w:tcPr/>
          <w:p>
            <w:pPr>
              <w:pStyle w:val="Compact"/>
              <w:jc w:val="left"/>
            </w:pPr>
            <w:r>
              <w:t xml:space="preserve">Scope 3 (Upstream - Materials &amp; Inbound Transport)</w:t>
            </w:r>
          </w:p>
        </w:tc>
        <w:tc>
          <w:tcPr/>
          <w:p>
            <w:pPr>
              <w:pStyle w:val="Compact"/>
              <w:jc w:val="left"/>
            </w:pPr>
            <w:r>
              <w:t xml:space="preserve">4.46</w:t>
            </w:r>
          </w:p>
        </w:tc>
      </w:tr>
      <w:tr>
        <w:tc>
          <w:tcPr/>
          <w:p>
            <w:pPr>
              <w:pStyle w:val="Compact"/>
              <w:jc w:val="left"/>
            </w:pPr>
            <w:r>
              <w:t xml:space="preserve">Scope 3 (Downstream - Outbound Transport, Last-Mile, Use Phase, EoL)</w:t>
            </w:r>
          </w:p>
        </w:tc>
        <w:tc>
          <w:tcPr/>
          <w:p>
            <w:pPr>
              <w:pStyle w:val="Compact"/>
              <w:jc w:val="left"/>
            </w:pPr>
            <w:r>
              <w:t xml:space="preserve">14.02</w:t>
            </w:r>
          </w:p>
        </w:tc>
      </w:tr>
      <w:tr>
        <w:tc>
          <w:tcPr/>
          <w:p>
            <w:pPr>
              <w:pStyle w:val="Compact"/>
              <w:jc w:val="left"/>
            </w:pPr>
            <w:r>
              <w:rPr>
                <w:bCs/>
                <w:b/>
              </w:rPr>
              <w:t xml:space="preserve">Total Product Carbon Footprint (PCF)</w:t>
            </w:r>
          </w:p>
        </w:tc>
        <w:tc>
          <w:tcPr/>
          <w:p>
            <w:pPr>
              <w:pStyle w:val="Compact"/>
              <w:jc w:val="left"/>
            </w:pPr>
            <w:r>
              <w:rPr>
                <w:bCs/>
                <w:b/>
              </w:rPr>
              <w:t xml:space="preserve">22.08</w:t>
            </w:r>
          </w:p>
        </w:tc>
      </w:tr>
    </w:tbl>
    <w:p>
      <w:pPr>
        <w:pStyle w:val="BodyText"/>
      </w:pPr>
      <w:r>
        <w:rPr>
          <w:bCs/>
          <w:b/>
        </w:rPr>
        <w:t xml:space="preserve">Total PCF for 1.0 unit of seyhutpprv: 22.08 kgCO2e</w:t>
      </w:r>
    </w:p>
    <w:bookmarkStart w:id="41" w:name="hotspots-and-reliability"/>
    <w:p>
      <w:pPr>
        <w:pStyle w:val="Heading3"/>
      </w:pPr>
      <w:r>
        <w:t xml:space="preserve">5.1. Hotspots and Reliability</w:t>
      </w:r>
    </w:p>
    <w:p>
      <w:pPr>
        <w:numPr>
          <w:ilvl w:val="0"/>
          <w:numId w:val="1017"/>
        </w:numPr>
        <w:pStyle w:val="Compact"/>
      </w:pPr>
      <w:r>
        <w:rPr>
          <w:bCs/>
          <w:b/>
        </w:rPr>
        <w:t xml:space="preserve">Key Hotspots:</w:t>
      </w:r>
    </w:p>
    <w:p>
      <w:pPr>
        <w:numPr>
          <w:ilvl w:val="1"/>
          <w:numId w:val="1018"/>
        </w:numPr>
        <w:pStyle w:val="Compact"/>
      </w:pPr>
      <w:r>
        <w:rPr>
          <w:bCs/>
          <w:b/>
        </w:rPr>
        <w:t xml:space="preserve">Use Phase (15.00 kgCO2e):</w:t>
      </w:r>
      <w:r>
        <w:t xml:space="preserve"> </w:t>
      </w:r>
      <w:r>
        <w:t xml:space="preserve">Represents the largest contribution, driven by the product\'s energy consumption over its expected lifespan. This highlights the critical importance of designing for energy efficiency and promoting responsible user behavior.</w:t>
      </w:r>
    </w:p>
    <w:p>
      <w:pPr>
        <w:numPr>
          <w:ilvl w:val="1"/>
          <w:numId w:val="1018"/>
        </w:numPr>
        <w:pStyle w:val="Compact"/>
      </w:pPr>
      <w:r>
        <w:rPr>
          <w:bCs/>
          <w:b/>
        </w:rPr>
        <w:t xml:space="preserve">Material Acquisition and Production (7.58 kgCO2e, combined Scope 2 and material-related Scope 3):</w:t>
      </w:r>
      <w:r>
        <w:t xml:space="preserve"> </w:t>
      </w:r>
      <w:r>
        <w:t xml:space="preserve">The combined impact from raw material extraction, processing, and manufacturing electricity is significant, underscoring the need for sustainable material choices and increased renewable energy adoption in production facilities.</w:t>
      </w:r>
    </w:p>
    <w:p>
      <w:pPr>
        <w:numPr>
          <w:ilvl w:val="0"/>
          <w:numId w:val="1017"/>
        </w:numPr>
        <w:pStyle w:val="Compact"/>
      </w:pPr>
      <w:r>
        <w:rPr>
          <w:bCs/>
          <w:b/>
        </w:rPr>
        <w:t xml:space="preserve">Reliability:</w:t>
      </w:r>
      <w:r>
        <w:t xml:space="preserve"> </w:t>
      </w:r>
      <w:r>
        <w:t xml:space="preserve">The reliability of this PCF is assessed as moderate, primarily due to the reliance on illustrative numerical values for several key parameters (e.g., transport distance, energy consumption, recyclability percentage). Using specific, auditable primary data for `kpsluqsg`, `nztforskmy`, `qqjofqeiff`, `miqllgnzxu`, `qisgxkvxsz`, `pzqvnvipdx`, `mhuudidmdi`, and detailed implementation of `kgtmpkehus` would substantially enhance the accuracy and robustness of the results. The strict adherence to the GHG Protocol framework ensures methodological consistency.</w:t>
      </w:r>
    </w:p>
    <w:bookmarkEnd w:id="41"/>
    <w:bookmarkStart w:id="43" w:name="recommendations-for-carbon-reduction"/>
    <w:p>
      <w:pPr>
        <w:pStyle w:val="Heading3"/>
      </w:pPr>
      <w:r>
        <w:t xml:space="preserve">5.2. Recommendations for Carbon Reduction</w:t>
      </w:r>
    </w:p>
    <w:p>
      <w:pPr>
        <w:numPr>
          <w:ilvl w:val="0"/>
          <w:numId w:val="1019"/>
        </w:numPr>
        <w:pStyle w:val="Compact"/>
      </w:pPr>
      <w:r>
        <w:rPr>
          <w:bCs/>
          <w:b/>
        </w:rPr>
        <w:t xml:space="preserve">Optimize Use Phase:</w:t>
      </w:r>
      <w:r>
        <w:t xml:space="preserve"> </w:t>
      </w:r>
      <w:r>
        <w:t xml:space="preserve">Prioritize research and development into reducing the energy consumption of \'seyhutpprv\' during its operational life. Educate consumers on energy-efficient usage patterns.</w:t>
      </w:r>
    </w:p>
    <w:p>
      <w:pPr>
        <w:numPr>
          <w:ilvl w:val="0"/>
          <w:numId w:val="1019"/>
        </w:numPr>
        <w:pStyle w:val="Compact"/>
      </w:pPr>
      <w:r>
        <w:rPr>
          <w:bCs/>
          <w:b/>
        </w:rPr>
        <w:t xml:space="preserve">Enhance Production with Renewables:</w:t>
      </w:r>
      <w:r>
        <w:t xml:space="preserve"> </w:t>
      </w:r>
      <w:r>
        <w:t xml:space="preserve">Increase the percentage of renewable energy used in the manufacturing process beyond the current illustrative 60% (qqjofqeiff) to further reduce Scope 2 emissions.</w:t>
      </w:r>
    </w:p>
    <w:p>
      <w:pPr>
        <w:numPr>
          <w:ilvl w:val="0"/>
          <w:numId w:val="1019"/>
        </w:numPr>
        <w:pStyle w:val="Compact"/>
      </w:pPr>
      <w:r>
        <w:rPr>
          <w:bCs/>
          <w:b/>
        </w:rPr>
        <w:t xml:space="preserve">Sustainable Sourcing:</w:t>
      </w:r>
      <w:r>
        <w:t xml:space="preserve"> </w:t>
      </w:r>
      <w:r>
        <w:t xml:space="preserve">Collaborate with suppliers to identify and procure lower-carbon materials and components, addressing the upstream Scope 3 impacts.</w:t>
      </w:r>
    </w:p>
    <w:p>
      <w:pPr>
        <w:numPr>
          <w:ilvl w:val="0"/>
          <w:numId w:val="1019"/>
        </w:numPr>
        <w:pStyle w:val="Compact"/>
      </w:pPr>
      <w:r>
        <w:rPr>
          <w:bCs/>
          <w:b/>
        </w:rPr>
        <w:t xml:space="preserve">Logistics Efficiency:</w:t>
      </w:r>
      <w:r>
        <w:t xml:space="preserve"> </w:t>
      </w:r>
      <w:r>
        <w:t xml:space="preserve">Explore opportunities to optimize transportation, including shifting to lower-emission modes, consolidating shipments, and implementing electric vehicles for last-mile delivery.</w:t>
      </w:r>
    </w:p>
    <w:p>
      <w:pPr>
        <w:numPr>
          <w:ilvl w:val="0"/>
          <w:numId w:val="1019"/>
        </w:numPr>
        <w:pStyle w:val="Compact"/>
      </w:pPr>
      <w:r>
        <w:rPr>
          <w:bCs/>
          <w:b/>
        </w:rPr>
        <w:t xml:space="preserve">Expand Circularity:</w:t>
      </w:r>
      <w:r>
        <w:t xml:space="preserve"> </w:t>
      </w:r>
      <w:r>
        <w:t xml:space="preserve">Further develop and promote robust circular/take-back programs (kgtmpkehus) to maximize material recovery, reduce waste, and minimize the reliance on virgin resources, building upon the illustrative 70% recyclability (mhuudidmdi).</w:t>
      </w:r>
    </w:p>
    <w:p>
      <w:r>
        <w:pict>
          <v:rect style="width:0;height:1.5pt" o:hralign="center" o:hrstd="t" o:hr="t"/>
        </w:pict>
      </w:r>
    </w:p>
    <w:p>
      <w:pPr>
        <w:pStyle w:val="FirstParagraph"/>
      </w:pPr>
      <w:r>
        <w:t xml:space="preserve">Confidential - Internal Use Only | Page</w:t>
      </w:r>
      <w:r>
        <w:t xml:space="preserve"> </w:t>
      </w:r>
      <w:bookmarkStart w:id="42" w:name="page-num"/>
      <w:r>
        <w:t xml:space="preserve">1</w:t>
      </w:r>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seyhutpprv</dc:title>
  <dc:creator/>
  <dc:description>Detailed Product Carbon Footprint (PCF) analysis report for seyhutpprv, adhering to GHG Protocol standards and 2026 LSR updates, performed by Senior Sustainability Consultant onfrtviusz for pmrpropyks.</dc:description>
  <dc:language>en</dc:language>
  <cp:keywords/>
  <dcterms:created xsi:type="dcterms:W3CDTF">2026-07-15T01:23:41Z</dcterms:created>
  <dcterms:modified xsi:type="dcterms:W3CDTF">2026-07-15T01:23:41Z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