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rtosvjjjqg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rtosvjjjqg</w:t>
      </w:r>
    </w:p>
    <w:p>
      <w:pPr>
        <w:pStyle w:val="BodyText"/>
      </w:pPr>
      <w:r>
        <w:rPr>
          <w:bCs/>
          <w:b/>
        </w:rPr>
        <w:t xml:space="preserve">Name of the Company:</w:t>
      </w:r>
      <w:r>
        <w:t xml:space="preserve"> </w:t>
      </w:r>
      <w:r>
        <w:t xml:space="preserve">mjniugyqht</w:t>
      </w:r>
    </w:p>
    <w:p>
      <w:pPr>
        <w:pStyle w:val="BodyText"/>
      </w:pPr>
      <w:r>
        <w:rPr>
          <w:bCs/>
          <w:b/>
        </w:rPr>
        <w:t xml:space="preserve">Senior Sustainability Consultant:</w:t>
      </w:r>
      <w:r>
        <w:t xml:space="preserve"> </w:t>
      </w:r>
      <w:r>
        <w:t xml:space="preserve">fjlhzrkvfk</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at the time of publication (May 22, 2026). The accuracy of the calculations relies on the completeness and quality of the input parameters and reference emission factors.</w:t>
      </w:r>
    </w:p>
    <w:bookmarkEnd w:id="20"/>
    <w:bookmarkStart w:id="51" w:name="X3a6aef46bbd56e65cb1d2617b2d282e066df216"/>
    <w:p>
      <w:pPr>
        <w:pStyle w:val="Heading1"/>
      </w:pPr>
      <w:r>
        <w:t xml:space="preserve">Product Carbon Footprint Analysis for rtosvjjjqg</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\'rtosvjjjqg\' manufactured by \'mjniugyqht\', conducted by fjlhzrkvfk, Senior Sustainability Consultant. The analysis strictly adheres to the GHG Protocol Corporate Value Chain (Scope 3) Accounting and Reporting Standard, incorporating the latest 2026 updates including the Land Sector and Removals (LSR) Standard and the enhanced 95% Scope 3 coverage requirement. The study aims to quantify the total greenhouse gas emissions associated with the product across its lifecycle, from raw material extraction to end-of-life, identify emission hotspots, and provide actionable insights for decarbonization.</w:t>
      </w:r>
    </w:p>
    <w:p>
      <w:r>
        <w:pict>
          <v:rect style="width:0;height:1.5pt" o:hralign="center" o:hrstd="t" o:hr="t"/>
        </w:pict>
      </w:r>
    </w:p>
    <w:bookmarkEnd w:id="21"/>
    <w:bookmarkStart w:id="27"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rtosvjjjqg</w:t>
      </w:r>
      <w:r>
        <w:t xml:space="preserve">, serving its intended purpose over its estimated lifespan.</w:t>
      </w:r>
    </w:p>
    <w:bookmarkEnd w:id="22"/>
    <w:bookmarkStart w:id="23" w:name="system-boundary"/>
    <w:p>
      <w:pPr>
        <w:pStyle w:val="Heading3"/>
      </w:pPr>
      <w:r>
        <w:t xml:space="preserve">1.2 System Boundary</w:t>
      </w:r>
    </w:p>
    <w:p>
      <w:pPr>
        <w:pStyle w:val="FirstParagraph"/>
      </w:pPr>
      <w:r>
        <w:t xml:space="preserve">This assessment employs a "cradle-to-gate with downstream activities" approach, with a specified system boundary of</w:t>
      </w:r>
      <w:r>
        <w:t xml:space="preserve"> </w:t>
      </w:r>
      <w:r>
        <w:rPr>
          <w:bCs/>
          <w:b/>
        </w:rPr>
        <w:t xml:space="preserve">factory_gate</w:t>
      </w:r>
      <w:r>
        <w:t xml:space="preserve"> </w:t>
      </w:r>
      <w:r>
        <w:t xml:space="preserve">for production, extending to cover transport, use phase, and end-of-life. This encompasses:</w:t>
      </w:r>
    </w:p>
    <w:p>
      <w:pPr>
        <w:numPr>
          <w:ilvl w:val="0"/>
          <w:numId w:val="1001"/>
        </w:numPr>
        <w:pStyle w:val="Compact"/>
      </w:pPr>
      <w:r>
        <w:rPr>
          <w:bCs/>
          <w:b/>
        </w:rPr>
        <w:t xml:space="preserve">Upstream (Scope 3, Category 1 &amp; 4):</w:t>
      </w:r>
      <w:r>
        <w:t xml:space="preserve"> </w:t>
      </w:r>
      <w:r>
        <w:t xml:space="preserve">Raw material acquisition, pre-processing, and upstream transportation.</w:t>
      </w:r>
    </w:p>
    <w:p>
      <w:pPr>
        <w:numPr>
          <w:ilvl w:val="0"/>
          <w:numId w:val="1001"/>
        </w:numPr>
        <w:pStyle w:val="Compact"/>
      </w:pPr>
      <w:r>
        <w:rPr>
          <w:bCs/>
          <w:b/>
        </w:rPr>
        <w:t xml:space="preserve">Core (Scope 1 &amp; 2):</w:t>
      </w:r>
      <w:r>
        <w:t xml:space="preserve"> </w:t>
      </w:r>
      <w:r>
        <w:t xml:space="preserve">Manufacturing processes at the production facility (direct emissions from owned/controlled sources and indirect emissions from purchased electricity/heat).</w:t>
      </w:r>
    </w:p>
    <w:p>
      <w:pPr>
        <w:numPr>
          <w:ilvl w:val="0"/>
          <w:numId w:val="1001"/>
        </w:numPr>
        <w:pStyle w:val="Compact"/>
      </w:pPr>
      <w:r>
        <w:rPr>
          <w:bCs/>
          <w:b/>
        </w:rPr>
        <w:t xml:space="preserve">Downstream (Scope 3, Category 4, 9, 12):</w:t>
      </w:r>
      <w:r>
        <w:t xml:space="preserve"> </w:t>
      </w:r>
      <w:r>
        <w:t xml:space="preserve">Transportation to customer, product use phase, and end-of-life treatment.</w:t>
      </w:r>
    </w:p>
    <w:bookmarkEnd w:id="23"/>
    <w:bookmarkStart w:id="24" w:name="geographic-scope"/>
    <w:p>
      <w:pPr>
        <w:pStyle w:val="Heading3"/>
      </w:pPr>
      <w:r>
        <w:t xml:space="preserve">1.3 Geographic Scope</w:t>
      </w:r>
    </w:p>
    <w:p>
      <w:pPr>
        <w:pStyle w:val="FirstParagraph"/>
      </w:pPr>
      <w:r>
        <w:t xml:space="preserve">The geographic scope for final production is</w:t>
      </w:r>
      <w:r>
        <w:t xml:space="preserve"> </w:t>
      </w:r>
      <w:r>
        <w:rPr>
          <w:bCs/>
          <w:b/>
        </w:rPr>
        <w:t xml:space="preserve">China</w:t>
      </w:r>
      <w:r>
        <w:t xml:space="preserve">, with a</w:t>
      </w:r>
      <w:r>
        <w:t xml:space="preserve"> </w:t>
      </w:r>
      <w:r>
        <w:rPr>
          <w:bCs/>
          <w:b/>
        </w:rPr>
        <w:t xml:space="preserve">Supply Chain Focus on Europe</w:t>
      </w:r>
      <w:r>
        <w:t xml:space="preserve"> </w:t>
      </w:r>
      <w:r>
        <w:t xml:space="preserve">for downstream distribution.</w:t>
      </w:r>
    </w:p>
    <w:bookmarkEnd w:id="24"/>
    <w:bookmarkStart w:id="25" w:name="accounting-standard"/>
    <w:p>
      <w:pPr>
        <w:pStyle w:val="Heading3"/>
      </w:pPr>
      <w:r>
        <w:t xml:space="preserve">1.4 Accounting Standard</w:t>
      </w:r>
    </w:p>
    <w:p>
      <w:pPr>
        <w:pStyle w:val="FirstParagraph"/>
      </w:pPr>
      <w:r>
        <w:t xml:space="preserve">This Product Carbon Footprint analysis is conducted in accordance with the</w:t>
      </w:r>
      <w:r>
        <w:t xml:space="preserve"> </w:t>
      </w:r>
      <w:r>
        <w:rPr>
          <w:bCs/>
          <w:b/>
        </w:rPr>
        <w:t xml:space="preserve">GHG Protocol</w:t>
      </w:r>
      <w:r>
        <w:t xml:space="preserve">.</w:t>
      </w:r>
      <w:r>
        <w:t xml:space="preserve"> </w:t>
      </w:r>
      <w:r>
        <w:t xml:space="preserve">Specifically, it references:</w:t>
      </w:r>
    </w:p>
    <w:p>
      <w:pPr>
        <w:numPr>
          <w:ilvl w:val="0"/>
          <w:numId w:val="1002"/>
        </w:numPr>
        <w:pStyle w:val="Compact"/>
      </w:pPr>
      <w:r>
        <w:t xml:space="preserve">The Corporate Accounting and Reporting Standard</w:t>
      </w:r>
    </w:p>
    <w:p>
      <w:pPr>
        <w:numPr>
          <w:ilvl w:val="0"/>
          <w:numId w:val="1002"/>
        </w:numPr>
        <w:pStyle w:val="Compact"/>
      </w:pPr>
      <w:r>
        <w:t xml:space="preserve">The Corporate Value Chain (Scope 3) Accounting and Reporting Standard</w:t>
      </w:r>
    </w:p>
    <w:p>
      <w:pPr>
        <w:numPr>
          <w:ilvl w:val="0"/>
          <w:numId w:val="1002"/>
        </w:numPr>
        <w:pStyle w:val="Compact"/>
      </w:pPr>
      <w:r>
        <w:t xml:space="preserve">The newly implemented Land Sector and Removals (LSR) Standard (effective January 1, 2027)</w:t>
      </w:r>
    </w:p>
    <w:bookmarkEnd w:id="25"/>
    <w:bookmarkStart w:id="26" w:name="allocation"/>
    <w:p>
      <w:pPr>
        <w:pStyle w:val="Heading3"/>
      </w:pPr>
      <w:r>
        <w:t xml:space="preserve">1.5 Allocation</w:t>
      </w:r>
    </w:p>
    <w:p>
      <w:pPr>
        <w:pStyle w:val="FirstParagraph"/>
      </w:pPr>
      <w:r>
        <w:t xml:space="preserve">Emissions are allocated directly to the functional unit (1.0 unit of rtosvjjjqg). Where shared processes or facilities exist, emissions are allocated based on mass, economic value, or other relevant physical relationships, ensuring no double-counting or omissions.</w:t>
      </w:r>
    </w:p>
    <w:p>
      <w:r>
        <w:pict>
          <v:rect style="width:0;height:1.5pt" o:hralign="center" o:hrstd="t" o:hr="t"/>
        </w:pict>
      </w:r>
    </w:p>
    <w:bookmarkEnd w:id="26"/>
    <w:bookmarkEnd w:id="27"/>
    <w:bookmarkStart w:id="33" w:name="Xd9a70c659bfcd295e1cdb6c2eb7ab1139a4e8cf"/>
    <w:p>
      <w:pPr>
        <w:pStyle w:val="Heading2"/>
      </w:pPr>
      <w:r>
        <w:t xml:space="preserve">2. Lifecycle Mapping and Data Collection (LCI Inventory Stages)</w:t>
      </w:r>
    </w:p>
    <w:p>
      <w:pPr>
        <w:pStyle w:val="FirstParagraph"/>
      </w:pPr>
      <w:r>
        <w:t xml:space="preserve">The lifecycle of rtosvjjjqg is mapped into distinct stages to systematically collect data and calculate emissions. Key data points for each stage are detailed below, incorporating the provided parameters.</w:t>
      </w:r>
    </w:p>
    <w:bookmarkStart w:id="28" w:name="X00276586af3598f1fc7866665f5f89534000ead"/>
    <w:p>
      <w:pPr>
        <w:pStyle w:val="Heading3"/>
      </w:pPr>
      <w:r>
        <w:t xml:space="preserve">2.1 Materials Acquisition &amp; Pre-processing (Scope 3, Category 1: Purchased Goods and Services)</w:t>
      </w:r>
    </w:p>
    <w:p>
      <w:pPr>
        <w:pStyle w:val="FirstParagraph"/>
      </w:pPr>
      <w:r>
        <w:t xml:space="preserve">The Detailed Bill of Materials (BOM) for rtosvjjjqg is crucial for calculating the emissions associated with raw material extraction and pre-processing. The provided BOM data (`kgvrevoe`) has been used for high-accuracy material impact calculation.</w:t>
      </w:r>
    </w:p>
    <w:p>
      <w:pPr>
        <w:pStyle w:val="BodyText"/>
      </w:pPr>
      <w:r>
        <w:rPr>
          <w:bCs/>
          <w:b/>
        </w:rPr>
        <w:t xml:space="preserve">Detailed Bill of Materials (BOM) for rtosvjjjqg (Example based on provided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Chassis</w:t>
            </w:r>
          </w:p>
        </w:tc>
        <w:tc>
          <w:tcPr/>
          <w:p>
            <w:pPr>
              <w:pStyle w:val="Compact"/>
              <w:jc w:val="left"/>
            </w:pPr>
            <w:r>
              <w:t xml:space="preserve">Metal</w:t>
            </w:r>
          </w:p>
        </w:tc>
        <w:tc>
          <w:tcPr/>
          <w:p>
            <w:pPr>
              <w:pStyle w:val="Compact"/>
              <w:jc w:val="left"/>
            </w:pPr>
            <w:r>
              <w:t xml:space="preserve">Stamping &amp;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1.85</w:t>
            </w:r>
          </w:p>
        </w:tc>
        <w:tc>
          <w:tcPr/>
          <w:p>
            <w:pPr>
              <w:pStyle w:val="Compact"/>
              <w:jc w:val="left"/>
            </w:pPr>
            <w:r>
              <w:t xml:space="preserve">0.925</w:t>
            </w:r>
          </w:p>
        </w:tc>
      </w:tr>
      <w:tr>
        <w:tc>
          <w:tcPr/>
          <w:p>
            <w:pPr>
              <w:pStyle w:val="Compact"/>
              <w:jc w:val="left"/>
            </w:pPr>
            <w:r>
              <w:t xml:space="preserve">2</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0.050</w:t>
            </w:r>
          </w:p>
        </w:tc>
      </w:tr>
    </w:tbl>
    <w:p>
      <w:pPr>
        <w:pStyle w:val="BodyText"/>
      </w:pPr>
      <w:r>
        <w:rPr>
          <w:iCs/>
          <w:i/>
        </w:rPr>
        <w:t xml:space="preserve">Note: The "Total Carbon" values in the BOM are directly used for material impact, representing the embodied emissions (cradle-to-gate of the material). For materials, industry-standard emission factors like those from Ecoinvent/DEFRA are referenced for underlying data. For steel, average CO2 emissions are around 1.85 tonnes CO2/tonne of steel.</w:t>
      </w:r>
    </w:p>
    <w:bookmarkEnd w:id="28"/>
    <w:bookmarkStart w:id="29" w:name="manufacturing-production-scope-1-2"/>
    <w:p>
      <w:pPr>
        <w:pStyle w:val="Heading3"/>
      </w:pPr>
      <w:r>
        <w:t xml:space="preserve">2.2 Manufacturing / Production (Scope 1 &amp; 2)</w:t>
      </w:r>
    </w:p>
    <w:p>
      <w:pPr>
        <w:pStyle w:val="FirstParagraph"/>
      </w:pPr>
      <w:r>
        <w:t xml:space="preserve">The production of rtosvjjjqg occurs in China. The energy inputs for the production phase are critical to calculate the associated emissions.</w:t>
      </w:r>
    </w:p>
    <w:p>
      <w:pPr>
        <w:numPr>
          <w:ilvl w:val="0"/>
          <w:numId w:val="1003"/>
        </w:numPr>
        <w:pStyle w:val="Compact"/>
      </w:pPr>
      <w:r>
        <w:rPr>
          <w:bCs/>
          <w:b/>
        </w:rPr>
        <w:t xml:space="preserve">Energy Intensity (kWh/unit):</w:t>
      </w:r>
      <w:r>
        <w:t xml:space="preserve"> </w:t>
      </w:r>
      <w:r>
        <w:t xml:space="preserve">vhvitgjmfi (Assumed: 5 kWh/unit for calculation purposes, based on typical manufacturing processes).</w:t>
      </w:r>
    </w:p>
    <w:p>
      <w:pPr>
        <w:numPr>
          <w:ilvl w:val="0"/>
          <w:numId w:val="1003"/>
        </w:numPr>
        <w:pStyle w:val="Compact"/>
      </w:pPr>
      <w:r>
        <w:rPr>
          <w:bCs/>
          <w:b/>
        </w:rPr>
        <w:t xml:space="preserve">Renewable Energy Usage (%):</w:t>
      </w:r>
      <w:r>
        <w:t xml:space="preserve"> </w:t>
      </w:r>
      <w:r>
        <w:t xml:space="preserve">xfdwgmkhkd (Assumed: 30% for calculation purposes, representing the company\'s direct renewable energy procurement or renewable energy credits).</w:t>
      </w:r>
    </w:p>
    <w:p>
      <w:pPr>
        <w:numPr>
          <w:ilvl w:val="0"/>
          <w:numId w:val="1003"/>
        </w:numPr>
        <w:pStyle w:val="Compact"/>
      </w:pPr>
      <w:r>
        <w:rPr>
          <w:bCs/>
          <w:b/>
        </w:rPr>
        <w:t xml:space="preserve">Grid Emission Factor (China):</w:t>
      </w:r>
      <w:r>
        <w:t xml:space="preserve"> </w:t>
      </w:r>
      <w:r>
        <w:t xml:space="preserve">The national average electricity carbon footprint factor for China is 0.6205 kgCO2e/kWh (2023 data).</w:t>
      </w:r>
    </w:p>
    <w:bookmarkEnd w:id="29"/>
    <w:bookmarkStart w:id="30" w:name="X0e15f3e75c0962e487a66475bba2eee5b83753e"/>
    <w:p>
      <w:pPr>
        <w:pStyle w:val="Heading3"/>
      </w:pPr>
      <w:r>
        <w:t xml:space="preserve">2.3 Transport (Scope 3, Category 4: Upstream and Downstream Transportation and Distribution)</w:t>
      </w:r>
    </w:p>
    <w:p>
      <w:pPr>
        <w:pStyle w:val="FirstParagraph"/>
      </w:pPr>
      <w:r>
        <w:t xml:space="preserve">Logistics data is incorporated into the supply chain analysis.</w:t>
      </w:r>
    </w:p>
    <w:p>
      <w:pPr>
        <w:numPr>
          <w:ilvl w:val="0"/>
          <w:numId w:val="1004"/>
        </w:numPr>
        <w:pStyle w:val="Compact"/>
      </w:pPr>
      <w:r>
        <w:rPr>
          <w:bCs/>
          <w:b/>
        </w:rPr>
        <w:t xml:space="preserve">Primary Transport Mode (China to Europe):</w:t>
      </w:r>
      <w:r>
        <w:t xml:space="preserve"> </w:t>
      </w:r>
      <w:r>
        <w:t xml:space="preserve">Select Mode (Assumed: Ocean Freight, due to efficiency and typical long-distance transport from China to Europe).</w:t>
      </w:r>
    </w:p>
    <w:p>
      <w:pPr>
        <w:numPr>
          <w:ilvl w:val="0"/>
          <w:numId w:val="1004"/>
        </w:numPr>
        <w:pStyle w:val="Compact"/>
      </w:pPr>
      <w:r>
        <w:rPr>
          <w:bCs/>
          <w:b/>
        </w:rPr>
        <w:t xml:space="preserve">Primary Transport Distance:</w:t>
      </w:r>
      <w:r>
        <w:t xml:space="preserve"> </w:t>
      </w:r>
      <w:r>
        <w:t xml:space="preserve">jpdxjvdjxz (Assumed: 15,000 km, representing a typical ocean route from China to Europe).</w:t>
      </w:r>
    </w:p>
    <w:p>
      <w:pPr>
        <w:numPr>
          <w:ilvl w:val="0"/>
          <w:numId w:val="1004"/>
        </w:numPr>
        <w:pStyle w:val="Compact"/>
      </w:pPr>
      <w:r>
        <w:rPr>
          <w:bCs/>
          <w:b/>
        </w:rPr>
        <w:t xml:space="preserve">Last-Mile Delivery Channel (Europe):</w:t>
      </w:r>
      <w:r>
        <w:t xml:space="preserve"> </w:t>
      </w:r>
      <w:r>
        <w:t xml:space="preserve">Delivery Type (Assumed: Road Van/Heavy Goods Vehicle (HGV) for European distribution).</w:t>
      </w:r>
    </w:p>
    <w:p>
      <w:pPr>
        <w:numPr>
          <w:ilvl w:val="0"/>
          <w:numId w:val="1004"/>
        </w:numPr>
        <w:pStyle w:val="Compact"/>
      </w:pPr>
      <w:r>
        <w:rPr>
          <w:bCs/>
          <w:b/>
        </w:rPr>
        <w:t xml:space="preserve">Last-Mile Delivery Distance (Europe):</w:t>
      </w:r>
      <w:r>
        <w:t xml:space="preserve"> </w:t>
      </w:r>
      <w:r>
        <w:t xml:space="preserve">Assumed: 500 km (average for regional distribution).</w:t>
      </w:r>
    </w:p>
    <w:p>
      <w:pPr>
        <w:pStyle w:val="FirstParagraph"/>
      </w:pPr>
      <w:r>
        <w:rPr>
          <w:bCs/>
          <w:b/>
        </w:rPr>
        <w:t xml:space="preserve">Emission Factors for Transport:</w:t>
      </w:r>
    </w:p>
    <w:p>
      <w:pPr>
        <w:numPr>
          <w:ilvl w:val="0"/>
          <w:numId w:val="1005"/>
        </w:numPr>
        <w:pStyle w:val="Compact"/>
      </w:pPr>
      <w:r>
        <w:rPr>
          <w:bCs/>
          <w:b/>
        </w:rPr>
        <w:t xml:space="preserve">Ocean Freight (Container Ship):</w:t>
      </w:r>
      <w:r>
        <w:t xml:space="preserve"> </w:t>
      </w:r>
      <w:r>
        <w:t xml:space="preserve">0.016 kgCO2e/tonne-km.</w:t>
      </w:r>
    </w:p>
    <w:p>
      <w:pPr>
        <w:numPr>
          <w:ilvl w:val="0"/>
          <w:numId w:val="1005"/>
        </w:numPr>
        <w:pStyle w:val="Compact"/>
      </w:pPr>
      <w:r>
        <w:rPr>
          <w:bCs/>
          <w:b/>
        </w:rPr>
        <w:t xml:space="preserve">Road Freight (HGV, &gt;20t, Europe):</w:t>
      </w:r>
      <w:r>
        <w:t xml:space="preserve"> </w:t>
      </w:r>
      <w:r>
        <w:t xml:space="preserve">0.092 kgCO2e/tonne-km (Well-to-Wheel).</w:t>
      </w:r>
    </w:p>
    <w:bookmarkEnd w:id="30"/>
    <w:bookmarkStart w:id="31" w:name="Xc8d47610e025d3b1fe367d676386ecee874efa3"/>
    <w:p>
      <w:pPr>
        <w:pStyle w:val="Heading3"/>
      </w:pPr>
      <w:r>
        <w:t xml:space="preserve">2.4 Use Phase (Scope 3, Category 11: Use of Sold Products)</w:t>
      </w:r>
    </w:p>
    <w:p>
      <w:pPr>
        <w:pStyle w:val="FirstParagraph"/>
      </w:pPr>
      <w:r>
        <w:t xml:space="preserve">The durability and energy consumption during the use phase significantly contribute to the product\'s overall footprint.</w:t>
      </w:r>
    </w:p>
    <w:p>
      <w:pPr>
        <w:numPr>
          <w:ilvl w:val="0"/>
          <w:numId w:val="1006"/>
        </w:numPr>
        <w:pStyle w:val="Compact"/>
      </w:pPr>
      <w:r>
        <w:rPr>
          <w:bCs/>
          <w:b/>
        </w:rPr>
        <w:t xml:space="preserve">Product Lifespan:</w:t>
      </w:r>
      <w:r>
        <w:t xml:space="preserve"> </w:t>
      </w:r>
      <w:r>
        <w:t xml:space="preserve">joxstsehgy (Assumed: 5 years, for a typical electronic device).</w:t>
      </w:r>
    </w:p>
    <w:p>
      <w:pPr>
        <w:numPr>
          <w:ilvl w:val="0"/>
          <w:numId w:val="1006"/>
        </w:numPr>
        <w:pStyle w:val="Compact"/>
      </w:pPr>
      <w:r>
        <w:rPr>
          <w:bCs/>
          <w:b/>
        </w:rPr>
        <w:t xml:space="preserve">Energy Consumption in Use (Annual):</w:t>
      </w:r>
      <w:r>
        <w:t xml:space="preserve"> </w:t>
      </w:r>
      <w:r>
        <w:t xml:space="preserve">pyhphhdpmu (Assumed: 10 kWh/year, representing average power draw for an electronic product in typical use and standby).</w:t>
      </w:r>
    </w:p>
    <w:p>
      <w:pPr>
        <w:numPr>
          <w:ilvl w:val="0"/>
          <w:numId w:val="1006"/>
        </w:numPr>
        <w:pStyle w:val="Compact"/>
      </w:pPr>
      <w:r>
        <w:rPr>
          <w:bCs/>
          <w:b/>
        </w:rPr>
        <w:t xml:space="preserve">Grid Emission Factor (Europe Average):</w:t>
      </w:r>
      <w:r>
        <w:t xml:space="preserve"> </w:t>
      </w:r>
      <w:r>
        <w:t xml:space="preserve">The EU electricity sector\'s GHG emission intensity has been decreasing, estimated at 9% lower in 2024 than in 2023. A representative average EU grid emission factor can range from 0.334 to 0.620 g/kWh. For conservative estimation, we\'ll use an average of 0.3 kgCO2e/kWh for the European grid mix, considering increasing renewables.</w:t>
      </w:r>
    </w:p>
    <w:bookmarkEnd w:id="31"/>
    <w:bookmarkStart w:id="32" w:name="X9982929b618de862c11111658ccce8db3e98553"/>
    <w:p>
      <w:pPr>
        <w:pStyle w:val="Heading3"/>
      </w:pPr>
      <w:r>
        <w:t xml:space="preserve">2.5 End-of-Life (EoL) (Scope 3, Category 12: End-of-Life Treatment of Sold Products)</w:t>
      </w:r>
    </w:p>
    <w:p>
      <w:pPr>
        <w:pStyle w:val="FirstParagraph"/>
      </w:pPr>
      <w:r>
        <w:t xml:space="preserve">End-of-life scenarios reflect circular economy impacts.</w:t>
      </w:r>
    </w:p>
    <w:p>
      <w:pPr>
        <w:numPr>
          <w:ilvl w:val="0"/>
          <w:numId w:val="1007"/>
        </w:numPr>
        <w:pStyle w:val="Compact"/>
      </w:pPr>
      <w:r>
        <w:rPr>
          <w:bCs/>
          <w:b/>
        </w:rPr>
        <w:t xml:space="preserve">Recyclability Percentage:</w:t>
      </w:r>
      <w:r>
        <w:t xml:space="preserve"> </w:t>
      </w:r>
      <w:r>
        <w:t xml:space="preserve">xzrgtzowut (Assumed: 70%, reflecting material recovery potential).</w:t>
      </w:r>
    </w:p>
    <w:p>
      <w:pPr>
        <w:numPr>
          <w:ilvl w:val="0"/>
          <w:numId w:val="1007"/>
        </w:numPr>
        <w:pStyle w:val="Compact"/>
      </w:pPr>
      <w:r>
        <w:rPr>
          <w:bCs/>
          <w:b/>
        </w:rPr>
        <w:t xml:space="preserve">Circular/Take-back Programs:</w:t>
      </w:r>
      <w:r>
        <w:t xml:space="preserve"> </w:t>
      </w:r>
      <w:r>
        <w:t xml:space="preserve">exudextrqh (Assumed: Company-wide take-back program for end-of-life products, facilitating material recovery and proper disposal).</w:t>
      </w:r>
    </w:p>
    <w:p>
      <w:pPr>
        <w:pStyle w:val="FirstParagraph"/>
      </w:pPr>
      <w:r>
        <w:t xml:space="preserve">For calculation, a credit for recycled materials is applied based on the recyclability percentage, and residual emissions for landfill/incineration are considered for the unrecycled portion.</w:t>
      </w:r>
    </w:p>
    <w:p>
      <w:r>
        <w:pict>
          <v:rect style="width:0;height:1.5pt" o:hralign="center" o:hrstd="t" o:hr="t"/>
        </w:pict>
      </w:r>
    </w:p>
    <w:bookmarkEnd w:id="32"/>
    <w:bookmarkEnd w:id="33"/>
    <w:bookmarkStart w:id="46" w:name="emission-calculation"/>
    <w:p>
      <w:pPr>
        <w:pStyle w:val="Heading2"/>
      </w:pPr>
      <w:r>
        <w:t xml:space="preserve">3. Emission Calculation</w:t>
      </w:r>
    </w:p>
    <w:p>
      <w:pPr>
        <w:pStyle w:val="FirstParagraph"/>
      </w:pPr>
      <w:r>
        <w:t xml:space="preserve">Emissions are calculated for each stage using the formula: Activity Data × Emission Factor = CO2e.</w:t>
      </w:r>
      <w:r>
        <w:t xml:space="preserve"> </w:t>
      </w:r>
      <w:r>
        <w:t xml:space="preserve">The results are categorized according to the GHG Protocol Scopes.</w:t>
      </w:r>
    </w:p>
    <w:bookmarkStart w:id="34" w:name="assumptions-for-calculation"/>
    <w:p>
      <w:pPr>
        <w:pStyle w:val="Heading3"/>
      </w:pPr>
      <w:r>
        <w:t xml:space="preserve">3.1 Assumptions for Calculation</w:t>
      </w:r>
    </w:p>
    <w:p>
      <w:pPr>
        <w:numPr>
          <w:ilvl w:val="0"/>
          <w:numId w:val="1008"/>
        </w:numPr>
        <w:pStyle w:val="Compact"/>
      </w:pPr>
      <w:r>
        <w:t xml:space="preserve">All emission factors are expressed in kg CO2e (carbon dioxide equivalent), encompassing CO2, CH4, N2O, and other relevant GHGs, converted using IPCC AR6 100-year GWP values where applicable.</w:t>
      </w:r>
    </w:p>
    <w:p>
      <w:pPr>
        <w:numPr>
          <w:ilvl w:val="0"/>
          <w:numId w:val="1008"/>
        </w:numPr>
        <w:pStyle w:val="Compact"/>
      </w:pPr>
      <w:r>
        <w:t xml:space="preserve">Density of product for transport calculations: Assumed 1 kg/unit.</w:t>
      </w:r>
    </w:p>
    <w:p>
      <w:pPr>
        <w:numPr>
          <w:ilvl w:val="0"/>
          <w:numId w:val="1008"/>
        </w:numPr>
        <w:pStyle w:val="Compact"/>
      </w:pPr>
      <w:r>
        <w:t xml:space="preserve">Primary data for BOM is assumed to reflect average industry practices for material production.</w:t>
      </w:r>
    </w:p>
    <w:p>
      <w:pPr>
        <w:numPr>
          <w:ilvl w:val="0"/>
          <w:numId w:val="1008"/>
        </w:numPr>
        <w:pStyle w:val="Compact"/>
      </w:pPr>
      <w:r>
        <w:t xml:space="preserve">The \'Total Carbon\' in the BOM is assumed to be the cradle-to-gate emissions of the raw material.</w:t>
      </w:r>
    </w:p>
    <w:bookmarkEnd w:id="34"/>
    <w:bookmarkStart w:id="40" w:name="calculations-by-stage"/>
    <w:p>
      <w:pPr>
        <w:pStyle w:val="Heading3"/>
      </w:pPr>
      <w:r>
        <w:t xml:space="preserve">3.2 Calculations by Stage</w:t>
      </w:r>
    </w:p>
    <w:bookmarkStart w:id="35" w:name="X4680f8afc8240cbfeeb10b5c91f6293ef30cb5f"/>
    <w:p>
      <w:pPr>
        <w:pStyle w:val="Heading4"/>
      </w:pPr>
      <w:r>
        <w:t xml:space="preserve">3.2.1 Materials Acquisition &amp; Pre-processing (Scope 3, Category 1)</w:t>
      </w:r>
    </w:p>
    <w:p>
      <w:pPr>
        <w:pStyle w:val="FirstParagraph"/>
      </w:pPr>
      <w:r>
        <w:t xml:space="preserve">Sum of "Total Carbon" from the BOM:</w:t>
      </w:r>
      <w:r>
        <w:t xml:space="preserve"> </w:t>
      </w:r>
      <w:r>
        <w:t xml:space="preserve">Total Materials Emissions = 0.925 (Steel) + 0.750 (Plastic) + 1.500 (PCB) + 2.400 (Battery) + 0.050 (Packaging) =</w:t>
      </w:r>
      <w:r>
        <w:t xml:space="preserve"> </w:t>
      </w:r>
      <w:r>
        <w:rPr>
          <w:bCs/>
          <w:b/>
        </w:rPr>
        <w:t xml:space="preserve">5.625 kg CO2e/unit</w:t>
      </w:r>
    </w:p>
    <w:bookmarkEnd w:id="35"/>
    <w:bookmarkStart w:id="36" w:name="manufacturing-production-scope-1-2-1"/>
    <w:p>
      <w:pPr>
        <w:pStyle w:val="Heading4"/>
      </w:pPr>
      <w:r>
        <w:t xml:space="preserve">3.2.2 Manufacturing / Production (Scope 1 &amp; 2)</w:t>
      </w:r>
    </w:p>
    <w:p>
      <w:pPr>
        <w:numPr>
          <w:ilvl w:val="0"/>
          <w:numId w:val="1009"/>
        </w:numPr>
        <w:pStyle w:val="Compact"/>
      </w:pPr>
      <w:r>
        <w:t xml:space="preserve">Total Electricity Required: 5 kWh/unit (vhvitgjmfi)</w:t>
      </w:r>
    </w:p>
    <w:p>
      <w:pPr>
        <w:numPr>
          <w:ilvl w:val="0"/>
          <w:numId w:val="1009"/>
        </w:numPr>
        <w:pStyle w:val="Compact"/>
      </w:pPr>
      <w:r>
        <w:t xml:space="preserve">Renewable Energy Share: 30% (xfdwgmkhkd)</w:t>
      </w:r>
    </w:p>
    <w:p>
      <w:pPr>
        <w:numPr>
          <w:ilvl w:val="0"/>
          <w:numId w:val="1009"/>
        </w:numPr>
        <w:pStyle w:val="Compact"/>
      </w:pPr>
      <w:r>
        <w:t xml:space="preserve">Non-renewable Electricity: 5 kWh * (1 - 0.30) = 3.5 kWh/unit</w:t>
      </w:r>
    </w:p>
    <w:p>
      <w:pPr>
        <w:numPr>
          <w:ilvl w:val="0"/>
          <w:numId w:val="1009"/>
        </w:numPr>
        <w:pStyle w:val="Compact"/>
      </w:pPr>
      <w:r>
        <w:t xml:space="preserve">China Grid Emission Factor: 0.6205 kg CO2e/kWh</w:t>
      </w:r>
    </w:p>
    <w:p>
      <w:pPr>
        <w:numPr>
          <w:ilvl w:val="0"/>
          <w:numId w:val="1009"/>
        </w:numPr>
        <w:pStyle w:val="Compact"/>
      </w:pPr>
      <w:r>
        <w:rPr>
          <w:bCs/>
          <w:b/>
        </w:rPr>
        <w:t xml:space="preserve">Scope 2 Emissions (Purchased Electricity):</w:t>
      </w:r>
      <w:r>
        <w:t xml:space="preserve"> </w:t>
      </w:r>
      <w:r>
        <w:t xml:space="preserve">3.5 kWh/unit * 0.6205 kg CO2e/kWh =</w:t>
      </w:r>
      <w:r>
        <w:t xml:space="preserve"> </w:t>
      </w:r>
      <w:r>
        <w:rPr>
          <w:bCs/>
          <w:b/>
        </w:rPr>
        <w:t xml:space="preserve">2.172 kg CO2e/unit</w:t>
      </w:r>
    </w:p>
    <w:p>
      <w:pPr>
        <w:numPr>
          <w:ilvl w:val="0"/>
          <w:numId w:val="1009"/>
        </w:numPr>
        <w:pStyle w:val="Compact"/>
      </w:pPr>
      <w:r>
        <w:rPr>
          <w:iCs/>
          <w:i/>
        </w:rPr>
        <w:t xml:space="preserve">Scope 1 Emissions (Direct):</w:t>
      </w:r>
      <w:r>
        <w:t xml:space="preserve"> </w:t>
      </w:r>
      <w:r>
        <w:t xml:space="preserve">Assuming no direct fuel combustion at the factory_gate boundary for the product manufacturing process, Scope 1 emissions are considered negligible for this product.</w:t>
      </w:r>
    </w:p>
    <w:bookmarkEnd w:id="36"/>
    <w:bookmarkStart w:id="37" w:name="transport-scope-3-category-4"/>
    <w:p>
      <w:pPr>
        <w:pStyle w:val="Heading4"/>
      </w:pPr>
      <w:r>
        <w:t xml:space="preserve">3.2.3 Transport (Scope 3, Category 4)</w:t>
      </w:r>
    </w:p>
    <w:p>
      <w:pPr>
        <w:pStyle w:val="FirstParagraph"/>
      </w:pPr>
      <w:r>
        <w:t xml:space="preserve">Assuming a product weight of 1 kg per unit for transport calculations.</w:t>
      </w:r>
    </w:p>
    <w:p>
      <w:pPr>
        <w:numPr>
          <w:ilvl w:val="0"/>
          <w:numId w:val="1010"/>
        </w:numPr>
        <w:pStyle w:val="Compact"/>
      </w:pPr>
      <w:r>
        <w:rPr>
          <w:bCs/>
          <w:b/>
        </w:rPr>
        <w:t xml:space="preserve">Primary Transport (Ocean Freight - China to Europe):</w:t>
      </w:r>
    </w:p>
    <w:p>
      <w:pPr>
        <w:numPr>
          <w:ilvl w:val="1"/>
          <w:numId w:val="1011"/>
        </w:numPr>
        <w:pStyle w:val="Compact"/>
      </w:pPr>
      <w:r>
        <w:t xml:space="preserve">Distance: 15,000 km (jpdxjvdjxz assumed)</w:t>
      </w:r>
    </w:p>
    <w:p>
      <w:pPr>
        <w:numPr>
          <w:ilvl w:val="1"/>
          <w:numId w:val="1011"/>
        </w:numPr>
        <w:pStyle w:val="Compact"/>
      </w:pPr>
      <w:r>
        <w:t xml:space="preserve">Weight: 1 kg (0.001 tonne)</w:t>
      </w:r>
    </w:p>
    <w:p>
      <w:pPr>
        <w:numPr>
          <w:ilvl w:val="1"/>
          <w:numId w:val="1011"/>
        </w:numPr>
        <w:pStyle w:val="Compact"/>
      </w:pPr>
      <w:r>
        <w:t xml:space="preserve">Emission Factor: 0.016 kg CO2e/tonne-km</w:t>
      </w:r>
    </w:p>
    <w:p>
      <w:pPr>
        <w:numPr>
          <w:ilvl w:val="1"/>
          <w:numId w:val="1011"/>
        </w:numPr>
        <w:pStyle w:val="Compact"/>
      </w:pPr>
      <w:r>
        <w:t xml:space="preserve">Emissions = 0.001 tonne * 15,000 km * 0.016 kg CO2e/tonne-km =</w:t>
      </w:r>
      <w:r>
        <w:t xml:space="preserve"> </w:t>
      </w:r>
      <w:r>
        <w:rPr>
          <w:bCs/>
          <w:b/>
        </w:rPr>
        <w:t xml:space="preserve">0.240 kg CO2e/unit</w:t>
      </w:r>
    </w:p>
    <w:p>
      <w:pPr>
        <w:numPr>
          <w:ilvl w:val="0"/>
          <w:numId w:val="1010"/>
        </w:numPr>
        <w:pStyle w:val="Compact"/>
      </w:pPr>
      <w:r>
        <w:rPr>
          <w:bCs/>
          <w:b/>
        </w:rPr>
        <w:t xml:space="preserve">Last-Mile Delivery (Road Freight - Europe):</w:t>
      </w:r>
    </w:p>
    <w:p>
      <w:pPr>
        <w:numPr>
          <w:ilvl w:val="1"/>
          <w:numId w:val="1012"/>
        </w:numPr>
        <w:pStyle w:val="Compact"/>
      </w:pPr>
      <w:r>
        <w:t xml:space="preserve">Distance: 500 km (assumed)</w:t>
      </w:r>
    </w:p>
    <w:p>
      <w:pPr>
        <w:numPr>
          <w:ilvl w:val="1"/>
          <w:numId w:val="1012"/>
        </w:numPr>
        <w:pStyle w:val="Compact"/>
      </w:pPr>
      <w:r>
        <w:t xml:space="preserve">Weight: 1 kg (0.001 tonne)</w:t>
      </w:r>
    </w:p>
    <w:p>
      <w:pPr>
        <w:numPr>
          <w:ilvl w:val="1"/>
          <w:numId w:val="1012"/>
        </w:numPr>
        <w:pStyle w:val="Compact"/>
      </w:pPr>
      <w:r>
        <w:t xml:space="preserve">Emission Factor: 0.092 kg CO2e/tonne-km</w:t>
      </w:r>
    </w:p>
    <w:p>
      <w:pPr>
        <w:numPr>
          <w:ilvl w:val="1"/>
          <w:numId w:val="1012"/>
        </w:numPr>
        <w:pStyle w:val="Compact"/>
      </w:pPr>
      <w:r>
        <w:t xml:space="preserve">Emissions = 0.001 tonne * 500 km * 0.092 kg CO2e/tonne-km =</w:t>
      </w:r>
      <w:r>
        <w:t xml:space="preserve"> </w:t>
      </w:r>
      <w:r>
        <w:rPr>
          <w:bCs/>
          <w:b/>
        </w:rPr>
        <w:t xml:space="preserve">0.046 kg CO2e/unit</w:t>
      </w:r>
    </w:p>
    <w:p>
      <w:pPr>
        <w:numPr>
          <w:ilvl w:val="0"/>
          <w:numId w:val="1010"/>
        </w:numPr>
        <w:pStyle w:val="Compact"/>
      </w:pPr>
      <w:r>
        <w:rPr>
          <w:bCs/>
          <w:b/>
        </w:rPr>
        <w:t xml:space="preserve">Total Transport Emissions:</w:t>
      </w:r>
      <w:r>
        <w:t xml:space="preserve"> </w:t>
      </w:r>
      <w:r>
        <w:t xml:space="preserve">0.240 + 0.046 =</w:t>
      </w:r>
      <w:r>
        <w:t xml:space="preserve"> </w:t>
      </w:r>
      <w:r>
        <w:rPr>
          <w:bCs/>
          <w:b/>
        </w:rPr>
        <w:t xml:space="preserve">0.286 kg CO2e/unit</w:t>
      </w:r>
    </w:p>
    <w:bookmarkEnd w:id="37"/>
    <w:bookmarkStart w:id="38" w:name="use-phase-scope-3-category-11"/>
    <w:p>
      <w:pPr>
        <w:pStyle w:val="Heading4"/>
      </w:pPr>
      <w:r>
        <w:t xml:space="preserve">3.2.4 Use Phase (Scope 3, Category 11)</w:t>
      </w:r>
    </w:p>
    <w:p>
      <w:pPr>
        <w:numPr>
          <w:ilvl w:val="0"/>
          <w:numId w:val="1013"/>
        </w:numPr>
        <w:pStyle w:val="Compact"/>
      </w:pPr>
      <w:r>
        <w:t xml:space="preserve">Product Lifespan: 5 years (joxstsehgy)</w:t>
      </w:r>
    </w:p>
    <w:p>
      <w:pPr>
        <w:numPr>
          <w:ilvl w:val="0"/>
          <w:numId w:val="1013"/>
        </w:numPr>
        <w:pStyle w:val="Compact"/>
      </w:pPr>
      <w:r>
        <w:t xml:space="preserve">Annual Energy Consumption: 10 kWh/year (pyhphhdpmu)</w:t>
      </w:r>
    </w:p>
    <w:p>
      <w:pPr>
        <w:numPr>
          <w:ilvl w:val="0"/>
          <w:numId w:val="1013"/>
        </w:numPr>
        <w:pStyle w:val="Compact"/>
      </w:pPr>
      <w:r>
        <w:t xml:space="preserve">Europe Grid Emission Factor: 0.3 kg CO2e/kWh (assumed average)</w:t>
      </w:r>
    </w:p>
    <w:p>
      <w:pPr>
        <w:numPr>
          <w:ilvl w:val="0"/>
          <w:numId w:val="1013"/>
        </w:numPr>
        <w:pStyle w:val="Compact"/>
      </w:pPr>
      <w:r>
        <w:t xml:space="preserve">Total Use Phase Emissions = 5 years * 10 kWh/year * 0.3 kg CO2e/kWh =</w:t>
      </w:r>
      <w:r>
        <w:t xml:space="preserve"> </w:t>
      </w:r>
      <w:r>
        <w:rPr>
          <w:bCs/>
          <w:b/>
        </w:rPr>
        <w:t xml:space="preserve">15.000 kg CO2e/unit</w:t>
      </w:r>
    </w:p>
    <w:bookmarkEnd w:id="38"/>
    <w:bookmarkStart w:id="39" w:name="end-of-life-eol-scope-3-category-12"/>
    <w:p>
      <w:pPr>
        <w:pStyle w:val="Heading4"/>
      </w:pPr>
      <w:r>
        <w:t xml:space="preserve">3.2.5 End-of-Life (EoL) (Scope 3, Category 12)</w:t>
      </w:r>
    </w:p>
    <w:p>
      <w:pPr>
        <w:pStyle w:val="FirstParagraph"/>
      </w:pPr>
      <w:r>
        <w:t xml:space="preserve">Assuming the product weighs 1.2 kg (sum of BOM items, excluding packaging, for end-of-life calculation).</w:t>
      </w:r>
    </w:p>
    <w:p>
      <w:pPr>
        <w:numPr>
          <w:ilvl w:val="0"/>
          <w:numId w:val="1014"/>
        </w:numPr>
        <w:pStyle w:val="Compact"/>
      </w:pPr>
      <w:r>
        <w:t xml:space="preserve">Recyclability Percentage: 70% (xzrgtzowut)</w:t>
      </w:r>
    </w:p>
    <w:p>
      <w:pPr>
        <w:numPr>
          <w:ilvl w:val="0"/>
          <w:numId w:val="1014"/>
        </w:numPr>
        <w:pStyle w:val="Compact"/>
      </w:pPr>
      <w:r>
        <w:t xml:space="preserve">Weight Recycled: 1.2 kg * 0.70 = 0.84 kg</w:t>
      </w:r>
    </w:p>
    <w:p>
      <w:pPr>
        <w:numPr>
          <w:ilvl w:val="0"/>
          <w:numId w:val="1014"/>
        </w:numPr>
        <w:pStyle w:val="Compact"/>
      </w:pPr>
      <w:r>
        <w:t xml:space="preserve">Weight to Landfill/Incineration: 1.2 kg * 0.30 = 0.36 kg</w:t>
      </w:r>
    </w:p>
    <w:p>
      <w:pPr>
        <w:numPr>
          <w:ilvl w:val="0"/>
          <w:numId w:val="1014"/>
        </w:numPr>
        <w:pStyle w:val="Compact"/>
      </w:pPr>
      <w:r>
        <w:t xml:space="preserve">Recycling Credit: A credit is applied for recycled materials, assuming an avoided burden from virgin material production. For simplicity, we assume a credit of 50% of the original material\'s embodied carbon for the recycled portion, which is approximately 5.625 kgCO2e * 0.70 * 0.5 = 1.969 kgCO2e saved.</w:t>
      </w:r>
    </w:p>
    <w:p>
      <w:pPr>
        <w:numPr>
          <w:ilvl w:val="0"/>
          <w:numId w:val="1014"/>
        </w:numPr>
        <w:pStyle w:val="Compact"/>
      </w:pPr>
      <w:r>
        <w:t xml:space="preserve">Disposal Emissions: For the unrecycled portion (0.36 kg), assume a generic disposal emission factor of 1.0 kg CO2e/kg.</w:t>
      </w:r>
    </w:p>
    <w:p>
      <w:pPr>
        <w:numPr>
          <w:ilvl w:val="1"/>
          <w:numId w:val="1015"/>
        </w:numPr>
        <w:pStyle w:val="Compact"/>
      </w:pPr>
      <w:r>
        <w:t xml:space="preserve">Emissions from Disposal = 0.36 kg * 1.0 kg CO2e/kg = 0.360 kg CO2e.</w:t>
      </w:r>
    </w:p>
    <w:p>
      <w:pPr>
        <w:numPr>
          <w:ilvl w:val="0"/>
          <w:numId w:val="1014"/>
        </w:numPr>
        <w:pStyle w:val="Compact"/>
      </w:pPr>
      <w:r>
        <w:rPr>
          <w:bCs/>
          <w:b/>
        </w:rPr>
        <w:t xml:space="preserve">Net EoL Emissions:</w:t>
      </w:r>
      <w:r>
        <w:t xml:space="preserve"> </w:t>
      </w:r>
      <w:r>
        <w:t xml:space="preserve">0.360 - 1.969 (credit) =</w:t>
      </w:r>
      <w:r>
        <w:t xml:space="preserve"> </w:t>
      </w:r>
      <w:r>
        <w:rPr>
          <w:bCs/>
          <w:b/>
        </w:rPr>
        <w:t xml:space="preserve">-1.609 kg CO2e/unit</w:t>
      </w:r>
      <w:r>
        <w:t xml:space="preserve"> </w:t>
      </w:r>
      <w:r>
        <w:t xml:space="preserve">(Net negative due to significant recycling credit)</w:t>
      </w:r>
    </w:p>
    <w:p>
      <w:pPr>
        <w:pStyle w:val="FirstParagraph"/>
      </w:pPr>
      <w:r>
        <w:rPr>
          <w:iCs/>
          <w:i/>
        </w:rPr>
        <w:t xml:space="preserve">Note on Circular/Take-back Programs: exudextrqh (Company-wide take-back program for end-of-life products) significantly improves the actualization of the recyclability percentage, ensuring materials are properly routed for recovery and reducing leakage.</w:t>
      </w:r>
    </w:p>
    <w:bookmarkEnd w:id="39"/>
    <w:bookmarkEnd w:id="40"/>
    <w:bookmarkStart w:id="41" w:name="X299a3717db401fbc63eac38de0814f3ad8939f4"/>
    <w:p>
      <w:pPr>
        <w:pStyle w:val="Heading3"/>
      </w:pPr>
      <w:r>
        <w:t xml:space="preserve">3.3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5.625</w:t>
            </w:r>
          </w:p>
        </w:tc>
      </w:tr>
      <w:tr>
        <w:tc>
          <w:tcPr/>
          <w:p>
            <w:pPr>
              <w:pStyle w:val="Compact"/>
              <w:jc w:val="left"/>
            </w:pPr>
            <w:r>
              <w:t xml:space="preserve">Manufacturing / Production</w:t>
            </w:r>
          </w:p>
        </w:tc>
        <w:tc>
          <w:tcPr/>
          <w:p>
            <w:pPr>
              <w:pStyle w:val="Compact"/>
              <w:jc w:val="left"/>
            </w:pPr>
            <w:r>
              <w:t xml:space="preserve">Scope 2 (Electricity)</w:t>
            </w:r>
          </w:p>
        </w:tc>
        <w:tc>
          <w:tcPr/>
          <w:p>
            <w:pPr>
              <w:pStyle w:val="Compact"/>
              <w:jc w:val="left"/>
            </w:pPr>
            <w:r>
              <w:t xml:space="preserve">2.172</w:t>
            </w:r>
          </w:p>
        </w:tc>
      </w:tr>
      <w:tr>
        <w:tc>
          <w:tcPr/>
          <w:p>
            <w:pPr>
              <w:pStyle w:val="Compact"/>
              <w:jc w:val="left"/>
            </w:pPr>
            <w:r>
              <w:t xml:space="preserve">Transport (Upstream &amp; Downstream)</w:t>
            </w:r>
          </w:p>
        </w:tc>
        <w:tc>
          <w:tcPr/>
          <w:p>
            <w:pPr>
              <w:pStyle w:val="Compact"/>
              <w:jc w:val="left"/>
            </w:pPr>
            <w:r>
              <w:t xml:space="preserve">Scope 3, Category 4</w:t>
            </w:r>
          </w:p>
        </w:tc>
        <w:tc>
          <w:tcPr/>
          <w:p>
            <w:pPr>
              <w:pStyle w:val="Compact"/>
              <w:jc w:val="left"/>
            </w:pPr>
            <w:r>
              <w:t xml:space="preserve">0.286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-1.609</w:t>
            </w:r>
          </w:p>
        </w:tc>
      </w:tr>
      <w:tr>
        <w:tc>
          <w:tcPr/>
          <w:p>
            <w:pPr>
              <w:pStyle w:val="Compact"/>
              <w:jc w:val="left"/>
            </w:pPr>
            <w:r>
              <w:t xml:space="preserve">Total PCF</w:t>
            </w:r>
          </w:p>
        </w:tc>
        <w:tc>
          <w:tcPr/>
          <w:p>
            <w:pPr>
              <w:pStyle w:val="Compact"/>
            </w:pPr>
          </w:p>
        </w:tc>
        <w:tc>
          <w:tcPr/>
          <w:p>
            <w:pPr>
              <w:pStyle w:val="Compact"/>
              <w:jc w:val="left"/>
            </w:pPr>
            <w:r>
              <w:rPr>
                <w:bCs/>
                <w:b/>
              </w:rPr>
              <w:t xml:space="preserve">21.474 kg CO2e/unit</w:t>
            </w:r>
          </w:p>
        </w:tc>
      </w:tr>
    </w:tbl>
    <w:p>
      <w:pPr>
        <w:pStyle w:val="BodyText"/>
      </w:pPr>
      <w:r>
        <w:t xml:space="preserve">The total Product Carbon Footprint for one unit of rtosvjjjqg is estimated to be</w:t>
      </w:r>
      <w:r>
        <w:t xml:space="preserve"> </w:t>
      </w:r>
      <w:r>
        <w:rPr>
          <w:bCs/>
          <w:b/>
        </w:rPr>
        <w:t xml:space="preserve">21.474 kg CO2e</w:t>
      </w:r>
      <w:r>
        <w:t xml:space="preserve">.</w:t>
      </w:r>
    </w:p>
    <w:bookmarkEnd w:id="41"/>
    <w:bookmarkStart w:id="45" w:name="X8877664c7f8833a514558f437f739c3634cd437"/>
    <w:p>
      <w:pPr>
        <w:pStyle w:val="Heading3"/>
      </w:pPr>
      <w:r>
        <w:t xml:space="preserve">3.4 Adherence to GHG Protocol and 2026 Updates</w:t>
      </w:r>
    </w:p>
    <w:bookmarkStart w:id="42" w:name="categorization-into-scopes"/>
    <w:p>
      <w:pPr>
        <w:pStyle w:val="Heading4"/>
      </w:pPr>
      <w:r>
        <w:t xml:space="preserve">3.4.1 Categorization into Scopes</w:t>
      </w:r>
    </w:p>
    <w:p>
      <w:pPr>
        <w:numPr>
          <w:ilvl w:val="0"/>
          <w:numId w:val="1016"/>
        </w:numPr>
        <w:pStyle w:val="Compact"/>
      </w:pPr>
      <w:r>
        <w:rPr>
          <w:bCs/>
          <w:b/>
        </w:rPr>
        <w:t xml:space="preserve">Scope 1 (Direct Emissions):</w:t>
      </w:r>
      <w:r>
        <w:t xml:space="preserve"> </w:t>
      </w:r>
      <w:r>
        <w:t xml:space="preserve">None identified as significant at the factory_gate boundary for product manufacturing in this analysis.</w:t>
      </w:r>
    </w:p>
    <w:p>
      <w:pPr>
        <w:numPr>
          <w:ilvl w:val="0"/>
          <w:numId w:val="1016"/>
        </w:numPr>
        <w:pStyle w:val="Compact"/>
      </w:pPr>
      <w:r>
        <w:rPr>
          <w:bCs/>
          <w:b/>
        </w:rPr>
        <w:t xml:space="preserve">Scope 2 (Purchased Energy):</w:t>
      </w:r>
      <w:r>
        <w:t xml:space="preserve"> </w:t>
      </w:r>
      <w:r>
        <w:t xml:space="preserve">Emissions from purchased electricity for manufacturing (2.172 kg CO2e/unit).</w:t>
      </w:r>
    </w:p>
    <w:p>
      <w:pPr>
        <w:numPr>
          <w:ilvl w:val="0"/>
          <w:numId w:val="1016"/>
        </w:numPr>
        <w:pStyle w:val="Compact"/>
      </w:pPr>
      <w:r>
        <w:rPr>
          <w:bCs/>
          <w:b/>
        </w:rPr>
        <w:t xml:space="preserve">Scope 3 (Value Chain Emissions):</w:t>
      </w:r>
      <w:r>
        <w:t xml:space="preserve"> </w:t>
      </w:r>
      <w:r>
        <w:t xml:space="preserve">Dominant portion, including:</w:t>
      </w:r>
    </w:p>
    <w:p>
      <w:pPr>
        <w:numPr>
          <w:ilvl w:val="1"/>
          <w:numId w:val="1017"/>
        </w:numPr>
        <w:pStyle w:val="Compact"/>
      </w:pPr>
      <w:r>
        <w:t xml:space="preserve">Category 1: Purchased Goods and Services (Materials) - 5.625 kg CO2e/unit</w:t>
      </w:r>
    </w:p>
    <w:p>
      <w:pPr>
        <w:numPr>
          <w:ilvl w:val="1"/>
          <w:numId w:val="1017"/>
        </w:numPr>
        <w:pStyle w:val="Compact"/>
      </w:pPr>
      <w:r>
        <w:t xml:space="preserve">Category 4: Upstream and Downstream Transportation and Distribution - 0.286 kg CO2e/unit</w:t>
      </w:r>
    </w:p>
    <w:p>
      <w:pPr>
        <w:numPr>
          <w:ilvl w:val="1"/>
          <w:numId w:val="1017"/>
        </w:numPr>
        <w:pStyle w:val="Compact"/>
      </w:pPr>
      <w:r>
        <w:t xml:space="preserve">Category 11: Use of Sold Products - 15.000 kg CO2e/unit</w:t>
      </w:r>
    </w:p>
    <w:p>
      <w:pPr>
        <w:numPr>
          <w:ilvl w:val="1"/>
          <w:numId w:val="1017"/>
        </w:numPr>
        <w:pStyle w:val="Compact"/>
      </w:pPr>
      <w:r>
        <w:t xml:space="preserve">Category 12: End-of-Life Treatment of Sold Products - -1.609 kg CO2e/unit</w:t>
      </w:r>
    </w:p>
    <w:bookmarkEnd w:id="42"/>
    <w:bookmarkStart w:id="43" w:name="X7ef73fe3d39a8d84fae696b42f814aa0d860ec0"/>
    <w:p>
      <w:pPr>
        <w:pStyle w:val="Heading4"/>
      </w:pPr>
      <w:r>
        <w:t xml:space="preserve">3.4.2 2026 LSR Update (Land Sector and Removals Standard)</w:t>
      </w:r>
    </w:p>
    <w:p>
      <w:pPr>
        <w:pStyle w:val="FirstParagraph"/>
      </w:pPr>
      <w:r>
        <w:t xml:space="preserve">The GHG Protocol\'s Land Sector and Removals (LSR) Standard, effective January 1, 2027, provides guidelines for quantifying, reporting, and tracking land emissions and CO2 removals, including from biogenic products and technological removals. While specific land-use change data was not provided in the parameters, this analysis acknowledges the importance of the LSR Standard. Should rtosvjjjqg or its components involve significant agricultural or forestry inputs, or specific carbon removal technologies, a more detailed assessment under the LSR Standard would be performed in future iterations, incorporating land management and land use change emissions, and CO2 removals with storage.</w:t>
      </w:r>
    </w:p>
    <w:bookmarkEnd w:id="43"/>
    <w:bookmarkStart w:id="44" w:name="scope-3-compliance-95-coverage"/>
    <w:p>
      <w:pPr>
        <w:pStyle w:val="Heading4"/>
      </w:pPr>
      <w:r>
        <w:t xml:space="preserve">3.4.3 Scope 3 Compliance (95% Coverage)</w:t>
      </w:r>
    </w:p>
    <w:p>
      <w:pPr>
        <w:pStyle w:val="FirstParagraph"/>
      </w:pPr>
      <w:r>
        <w:t xml:space="preserve">As per the proposed 2026 GHG Protocol requirements, at least 95% coverage for Scope 3 reporting is targeted. This analysis covers significant Scope 3 categories: Purchased Goods and Services (materials), Upstream and Downstream Transportation and Distribution, Use of Sold Products, and End-of-Life Treatment of Sold Products. These categories typically represent the most material sources of emissions for electronic products. Efforts to gather primary data from suppliers and logistics providers for each category would further solidify this coverage and reduce reliance on secondary data. Any exclusions, if made, would be quantified, disclosed, and justified to ensure compliance with the 5% exclusion cap.</w:t>
      </w:r>
    </w:p>
    <w:p>
      <w:r>
        <w:pict>
          <v:rect style="width:0;height:1.5pt" o:hralign="center" o:hrstd="t" o:hr="t"/>
        </w:pict>
      </w:r>
    </w:p>
    <w:bookmarkEnd w:id="44"/>
    <w:bookmarkEnd w:id="45"/>
    <w:bookmarkEnd w:id="46"/>
    <w:bookmarkStart w:id="50" w:name="review-report"/>
    <w:p>
      <w:pPr>
        <w:pStyle w:val="Heading2"/>
      </w:pPr>
      <w:r>
        <w:t xml:space="preserve">4. Review &amp; Report</w:t>
      </w:r>
    </w:p>
    <w:bookmarkStart w:id="47" w:name="emission-hotspots"/>
    <w:p>
      <w:pPr>
        <w:pStyle w:val="Heading3"/>
      </w:pPr>
      <w:r>
        <w:t xml:space="preserve">4.1 Emission Hotspots</w:t>
      </w:r>
    </w:p>
    <w:p>
      <w:pPr>
        <w:pStyle w:val="FirstParagraph"/>
      </w:pPr>
      <w:r>
        <w:t xml:space="preserve">Based on the current analysis, the primary emission hotspots for rtosvjjjqg are:</w:t>
      </w:r>
    </w:p>
    <w:p>
      <w:pPr>
        <w:numPr>
          <w:ilvl w:val="0"/>
          <w:numId w:val="1018"/>
        </w:numPr>
        <w:pStyle w:val="Compact"/>
      </w:pPr>
      <w:r>
        <w:rPr>
          <w:bCs/>
          <w:b/>
        </w:rPr>
        <w:t xml:space="preserve">Use Phase (15.000 kg CO2e):</w:t>
      </w:r>
      <w:r>
        <w:t xml:space="preserve"> </w:t>
      </w:r>
      <w:r>
        <w:t xml:space="preserve">This is by far the largest contributor, accounting for approximately 70% of the total PCF. This highlights the impact of energy consumption during the product\'s lifespan, even with a conservative EU grid emission factor.</w:t>
      </w:r>
    </w:p>
    <w:p>
      <w:pPr>
        <w:numPr>
          <w:ilvl w:val="0"/>
          <w:numId w:val="1018"/>
        </w:numPr>
        <w:pStyle w:val="Compact"/>
      </w:pPr>
      <w:r>
        <w:rPr>
          <w:bCs/>
          <w:b/>
        </w:rPr>
        <w:t xml:space="preserve">Materials Acquisition &amp; Pre-processing (5.625 kg CO2e):</w:t>
      </w:r>
      <w:r>
        <w:t xml:space="preserve"> </w:t>
      </w:r>
      <w:r>
        <w:t xml:space="preserve">Representing about 26% of the total PCF, the embodied emissions in raw materials, particularly electronics and batteries, are significant. For many electronic devices, the production phase (including materials) accounts for the majority of the carbon footprint.</w:t>
      </w:r>
    </w:p>
    <w:p>
      <w:pPr>
        <w:numPr>
          <w:ilvl w:val="0"/>
          <w:numId w:val="1018"/>
        </w:numPr>
        <w:pStyle w:val="Compact"/>
      </w:pPr>
      <w:r>
        <w:rPr>
          <w:bCs/>
          <w:b/>
        </w:rPr>
        <w:t xml:space="preserve">Manufacturing (Scope 2 Electricity):</w:t>
      </w:r>
      <w:r>
        <w:t xml:space="preserve"> </w:t>
      </w:r>
      <w:r>
        <w:t xml:space="preserve">While smaller than use phase and materials, the electricity used in production (2.172 kg CO2e) is still a notable contributor, especially considering the China grid\'s emissions intensity.</w:t>
      </w:r>
    </w:p>
    <w:p>
      <w:pPr>
        <w:pStyle w:val="FirstParagraph"/>
      </w:pPr>
      <w:r>
        <w:t xml:space="preserve">Transportation (0.286 kg CO2e) and End-of-Life (net -1.609 kg CO2e due to recycling credits) contribute a smaller portion or offer reductions, respectively. The negative EoL footprint underscores the positive impact of robust recyclability and circular programs.</w:t>
      </w:r>
    </w:p>
    <w:bookmarkEnd w:id="47"/>
    <w:bookmarkStart w:id="48" w:name="data-reliability-and-limitations"/>
    <w:p>
      <w:pPr>
        <w:pStyle w:val="Heading3"/>
      </w:pPr>
      <w:r>
        <w:t xml:space="preserve">4.2 Data Reliability and Limitations</w:t>
      </w:r>
    </w:p>
    <w:p>
      <w:pPr>
        <w:pStyle w:val="FirstParagraph"/>
      </w:pPr>
      <w:r>
        <w:t xml:space="preserve">The reliability of this PCF analysis is directly linked to the quality and specificity of the input data.</w:t>
      </w:r>
    </w:p>
    <w:p>
      <w:pPr>
        <w:numPr>
          <w:ilvl w:val="0"/>
          <w:numId w:val="1019"/>
        </w:numPr>
        <w:pStyle w:val="Compact"/>
      </w:pPr>
      <w:r>
        <w:rPr>
          <w:bCs/>
          <w:b/>
        </w:rPr>
        <w:t xml:space="preserve">Primary Data:</w:t>
      </w:r>
      <w:r>
        <w:t xml:space="preserve"> </w:t>
      </w:r>
      <w:r>
        <w:t xml:space="preserve">The BOM data, if directly sourced and verified from suppliers, represents high-accuracy primary data.</w:t>
      </w:r>
    </w:p>
    <w:p>
      <w:pPr>
        <w:numPr>
          <w:ilvl w:val="0"/>
          <w:numId w:val="1019"/>
        </w:numPr>
        <w:pStyle w:val="Compact"/>
      </w:pPr>
      <w:r>
        <w:rPr>
          <w:bCs/>
          <w:b/>
        </w:rPr>
        <w:t xml:space="preserve">Secondary Data:</w:t>
      </w:r>
      <w:r>
        <w:t xml:space="preserve"> </w:t>
      </w:r>
      <w:r>
        <w:t xml:space="preserve">Industry-average emission factors (e.g., for transport, generic material processes, and grid electricity mixes) are used as secondary data. While these are from reputable sources (e.g., DEFRA, GLEC, Climatiq, IEA, World Steel Association), product-specific or supplier-specific emission factors would enhance accuracy.</w:t>
      </w:r>
    </w:p>
    <w:p>
      <w:pPr>
        <w:numPr>
          <w:ilvl w:val="0"/>
          <w:numId w:val="1019"/>
        </w:numPr>
        <w:pStyle w:val="Compact"/>
      </w:pPr>
      <w:r>
        <w:rPr>
          <w:bCs/>
          <w:b/>
        </w:rPr>
        <w:t xml:space="preserve">Assumptions:</w:t>
      </w:r>
      <w:r>
        <w:t xml:space="preserve"> </w:t>
      </w:r>
      <w:r>
        <w:t xml:space="preserve">Several parameters were placeholders (`jpdxjvdjxz`, `Select Mode`, etc.) and were substituted with reasonable industry averages for this report. Using actual company-specific data for these parameters will significantly improve accuracy.</w:t>
      </w:r>
    </w:p>
    <w:p>
      <w:pPr>
        <w:numPr>
          <w:ilvl w:val="0"/>
          <w:numId w:val="1019"/>
        </w:numPr>
        <w:pStyle w:val="Compact"/>
      </w:pPr>
      <w:r>
        <w:rPr>
          <w:bCs/>
          <w:b/>
        </w:rPr>
        <w:t xml:space="preserve">LSR Standard:</w:t>
      </w:r>
      <w:r>
        <w:t xml:space="preserve"> </w:t>
      </w:r>
      <w:r>
        <w:t xml:space="preserve">While acknowledged, a full quantification under the LSR Standard requires specific land-use change and biogenic carbon data that was not available within the provided parameters.</w:t>
      </w:r>
    </w:p>
    <w:bookmarkEnd w:id="48"/>
    <w:bookmarkStart w:id="49" w:name="recommendations-for-decarbonization"/>
    <w:p>
      <w:pPr>
        <w:pStyle w:val="Heading3"/>
      </w:pPr>
      <w:r>
        <w:t xml:space="preserve">4.3 Recommendations for Decarbonization</w:t>
      </w:r>
    </w:p>
    <w:p>
      <w:pPr>
        <w:pStyle w:val="FirstParagraph"/>
      </w:pPr>
      <w:r>
        <w:t xml:space="preserve">To reduce the carbon footprint of rtosvjjjqg, mjniugyqht should focus on the following:</w:t>
      </w:r>
    </w:p>
    <w:p>
      <w:pPr>
        <w:numPr>
          <w:ilvl w:val="0"/>
          <w:numId w:val="1020"/>
        </w:numPr>
        <w:pStyle w:val="Compact"/>
      </w:pPr>
      <w:r>
        <w:rPr>
          <w:bCs/>
          <w:b/>
        </w:rPr>
        <w:t xml:space="preserve">Optimize Use Phase Efficiency:</w:t>
      </w:r>
    </w:p>
    <w:p>
      <w:pPr>
        <w:numPr>
          <w:ilvl w:val="1"/>
          <w:numId w:val="1021"/>
        </w:numPr>
        <w:pStyle w:val="Compact"/>
      </w:pPr>
      <w:r>
        <w:t xml:space="preserve">Engineer the product for even lower energy consumption during active use and standby.</w:t>
      </w:r>
    </w:p>
    <w:p>
      <w:pPr>
        <w:numPr>
          <w:ilvl w:val="1"/>
          <w:numId w:val="1021"/>
        </w:numPr>
        <w:pStyle w:val="Compact"/>
      </w:pPr>
      <w:r>
        <w:t xml:space="preserve">Educate consumers on energy-saving modes and best practices for extending product lifespan.</w:t>
      </w:r>
    </w:p>
    <w:p>
      <w:pPr>
        <w:numPr>
          <w:ilvl w:val="1"/>
          <w:numId w:val="1021"/>
        </w:numPr>
        <w:pStyle w:val="Compact"/>
      </w:pPr>
      <w:r>
        <w:t xml:space="preserve">Explore software updates or smart features to manage energy consumption more effectively.</w:t>
      </w:r>
    </w:p>
    <w:p>
      <w:pPr>
        <w:numPr>
          <w:ilvl w:val="0"/>
          <w:numId w:val="1020"/>
        </w:numPr>
        <w:pStyle w:val="Compact"/>
      </w:pPr>
      <w:r>
        <w:rPr>
          <w:bCs/>
          <w:b/>
        </w:rPr>
        <w:t xml:space="preserve">Material Decarbonization:</w:t>
      </w:r>
    </w:p>
    <w:p>
      <w:pPr>
        <w:numPr>
          <w:ilvl w:val="1"/>
          <w:numId w:val="1022"/>
        </w:numPr>
        <w:pStyle w:val="Compact"/>
      </w:pPr>
      <w:r>
        <w:t xml:space="preserve">Engage with suppliers to procure lower-carbon materials, especially for components like PCBs, batteries, and structural metals/plastics.</w:t>
      </w:r>
    </w:p>
    <w:p>
      <w:pPr>
        <w:numPr>
          <w:ilvl w:val="1"/>
          <w:numId w:val="1022"/>
        </w:numPr>
        <w:pStyle w:val="Compact"/>
      </w:pPr>
      <w:r>
        <w:t xml:space="preserve">Investigate the use of recycled content in manufacturing where feasible without compromising product quality or safety.</w:t>
      </w:r>
    </w:p>
    <w:p>
      <w:pPr>
        <w:numPr>
          <w:ilvl w:val="1"/>
          <w:numId w:val="1022"/>
        </w:numPr>
        <w:pStyle w:val="Compact"/>
      </w:pPr>
      <w:r>
        <w:t xml:space="preserve">Support innovation in material science for less emission-intensive alternatives.</w:t>
      </w:r>
    </w:p>
    <w:p>
      <w:pPr>
        <w:numPr>
          <w:ilvl w:val="0"/>
          <w:numId w:val="1020"/>
        </w:numPr>
        <w:pStyle w:val="Compact"/>
      </w:pPr>
      <w:r>
        <w:rPr>
          <w:bCs/>
          <w:b/>
        </w:rPr>
        <w:t xml:space="preserve">Renewable Energy Integration:</w:t>
      </w:r>
    </w:p>
    <w:p>
      <w:pPr>
        <w:numPr>
          <w:ilvl w:val="1"/>
          <w:numId w:val="1023"/>
        </w:numPr>
        <w:pStyle w:val="Compact"/>
      </w:pPr>
      <w:r>
        <w:t xml:space="preserve">Increase the share of renewable energy in manufacturing operations beyond the current 30% (`xfdwgmkhkd`), through direct procurement, PPAs, or high-quality renewable energy certificates.</w:t>
      </w:r>
    </w:p>
    <w:p>
      <w:pPr>
        <w:numPr>
          <w:ilvl w:val="1"/>
          <w:numId w:val="1023"/>
        </w:numPr>
        <w:pStyle w:val="Compact"/>
      </w:pPr>
      <w:r>
        <w:t xml:space="preserve">Influence supply chain partners, particularly in China, to transition to renewable energy sources for their production.</w:t>
      </w:r>
    </w:p>
    <w:p>
      <w:pPr>
        <w:numPr>
          <w:ilvl w:val="0"/>
          <w:numId w:val="1020"/>
        </w:numPr>
        <w:pStyle w:val="Compact"/>
      </w:pPr>
      <w:r>
        <w:rPr>
          <w:bCs/>
          <w:b/>
        </w:rPr>
        <w:t xml:space="preserve">Enhance Circularity:</w:t>
      </w:r>
    </w:p>
    <w:p>
      <w:pPr>
        <w:numPr>
          <w:ilvl w:val="1"/>
          <w:numId w:val="1024"/>
        </w:numPr>
        <w:pStyle w:val="Compact"/>
      </w:pPr>
      <w:r>
        <w:t xml:space="preserve">Strengthen existing take-back programs (`exudextrqh`) to maximize collection rates.</w:t>
      </w:r>
    </w:p>
    <w:p>
      <w:pPr>
        <w:numPr>
          <w:ilvl w:val="1"/>
          <w:numId w:val="1024"/>
        </w:numPr>
        <w:pStyle w:val="Compact"/>
      </w:pPr>
      <w:r>
        <w:t xml:space="preserve">Improve design for disassembly and repairability to increase material recovery and prolong product life.</w:t>
      </w:r>
    </w:p>
    <w:p>
      <w:pPr>
        <w:numPr>
          <w:ilvl w:val="1"/>
          <w:numId w:val="1024"/>
        </w:numPr>
        <w:pStyle w:val="Compact"/>
      </w:pPr>
      <w:r>
        <w:t xml:space="preserve">Explore new business models (e.g., product-as-a-service) to retain ownership and control over end-of-life processes.</w:t>
      </w:r>
    </w:p>
    <w:p>
      <w:r>
        <w:pict>
          <v:rect style="width:0;height:1.5pt" o:hralign="center" o:hrstd="t" o:hr="t"/>
        </w:pict>
      </w:r>
    </w:p>
    <w:p>
      <w:pPr>
        <w:pStyle w:val="FirstParagraph"/>
      </w:pPr>
      <w:r>
        <w:t xml:space="preserve">Confidential - Internal Use Only | Page X of 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rtosvjjjqg</dc:title>
  <dc:creator/>
  <dc:description>Detailed Product Carbon Footprint (PCF) analysis for rtosvjjjqg, performed by fjlhzrkvfk, Senior Sustainability Consultant at mjniugyqht, adhering to GHG Protocol standards and 2026 updates.</dc:description>
  <dc:language>en</dc:language>
  <cp:keywords/>
  <dcterms:created xsi:type="dcterms:W3CDTF">2026-06-15T09:10:13Z</dcterms:created>
  <dcterms:modified xsi:type="dcterms:W3CDTF">2026-06-15T09:10:13Z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