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rpzweegwxg</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 rpzweegwxg</w:t>
      </w:r>
    </w:p>
    <w:p>
      <w:pPr>
        <w:pStyle w:val="BodyText"/>
      </w:pPr>
      <w:r>
        <w:rPr>
          <w:bCs/>
          <w:b/>
        </w:rPr>
        <w:t xml:space="preserve">Company Name:</w:t>
      </w:r>
      <w:r>
        <w:t xml:space="preserve"> </w:t>
      </w:r>
      <w:r>
        <w:t xml:space="preserve">jegtywhtqr</w:t>
      </w:r>
    </w:p>
    <w:p>
      <w:pPr>
        <w:pStyle w:val="BodyText"/>
      </w:pPr>
      <w:r>
        <w:rPr>
          <w:bCs/>
          <w:b/>
        </w:rPr>
        <w:t xml:space="preserve">Senior Sustainability Consultant:</w:t>
      </w:r>
      <w:r>
        <w:t xml:space="preserve"> </w:t>
      </w:r>
      <w:r>
        <w:t xml:space="preserve">lrngxkumtk</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supplemented by illustrative values where specific data for placeholders were not provided. The accuracy of the calculated footprint is dependent on the completeness and precision of the underlying data inputs.</w:t>
      </w:r>
    </w:p>
    <w:bookmarkEnd w:id="20"/>
    <w:bookmarkStart w:id="43" w:name="X507a10af5727ade790d560b65a480774ceef9a6"/>
    <w:p>
      <w:pPr>
        <w:pStyle w:val="Heading1"/>
      </w:pPr>
      <w:r>
        <w:t xml:space="preserve">Product Carbon Footprint Analysis for rpzweegwxg</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rpzweegwxg</w:t>
      </w:r>
      <w:r>
        <w:t xml:space="preserve"> </w:t>
      </w:r>
      <w:r>
        <w:t xml:space="preserve">manufactured by</w:t>
      </w:r>
      <w:r>
        <w:t xml:space="preserve"> </w:t>
      </w:r>
      <w:r>
        <w:rPr>
          <w:bCs/>
          <w:b/>
        </w:rPr>
        <w:t xml:space="preserve">jegtywhtqr</w:t>
      </w:r>
      <w:r>
        <w:t xml:space="preserve">. As Senior Sustainability Consultant</w:t>
      </w:r>
      <w:r>
        <w:t xml:space="preserve"> </w:t>
      </w:r>
      <w:r>
        <w:rPr>
          <w:bCs/>
          <w:b/>
        </w:rPr>
        <w:t xml:space="preserve">lrngxkumtk</w:t>
      </w:r>
      <w:r>
        <w:t xml:space="preserve">, this analysis adheres to the GHG Protocol standards, including the categorization of emissions into Scope 1, 2, and 3, and incorporates the principles of the 2026 Land Sector and Removals (LSR) Standard. The objective is to quantify the greenhouse gas (GHG) emissions across the product\'s lifecycle, identify emission hotspots, and provide a reliable baseline for sustainability initiatives. This study aims for at least 95% coverage for Scope 3 reporting, in line with 2026 requirements.</w:t>
      </w:r>
    </w:p>
    <w:p>
      <w:r>
        <w:pict>
          <v:rect style="width:0;height:1.5pt" o:hralign="center" o:hrstd="t" o:hr="t"/>
        </w:pict>
      </w:r>
    </w:p>
    <w:bookmarkEnd w:id="21"/>
    <w:bookmarkStart w:id="42" w:name="methodology"/>
    <w:p>
      <w:pPr>
        <w:pStyle w:val="Heading2"/>
      </w:pPr>
      <w:r>
        <w:t xml:space="preserve">Methodology</w:t>
      </w:r>
    </w:p>
    <w:p>
      <w:pPr>
        <w:pStyle w:val="FirstParagraph"/>
      </w:pPr>
      <w:r>
        <w:t xml:space="preserve">The Product Carbon Footprint (PCF) analysis for</w:t>
      </w:r>
      <w:r>
        <w:t xml:space="preserve"> </w:t>
      </w:r>
      <w:r>
        <w:rPr>
          <w:bCs/>
          <w:b/>
        </w:rPr>
        <w:t xml:space="preserve">rpzweegwxg</w:t>
      </w:r>
      <w:r>
        <w:t xml:space="preserve"> </w:t>
      </w:r>
      <w:r>
        <w:t xml:space="preserve">follows a robust Life Cycle Assessment (LCA) approach structured into five key steps, consistent with the GHG Protocol Product Life Cycle Standard.</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rpzweegwxg</w:t>
      </w:r>
      <w:r>
        <w:t xml:space="preserve">. This unit serves as the reference basis for all quantified environmental impacts, ensuring comparability.</w:t>
      </w:r>
    </w:p>
    <w:p>
      <w:pPr>
        <w:numPr>
          <w:ilvl w:val="0"/>
          <w:numId w:val="1001"/>
        </w:numPr>
        <w:pStyle w:val="Compact"/>
      </w:pPr>
      <w:r>
        <w:rPr>
          <w:bCs/>
          <w:b/>
        </w:rPr>
        <w:t xml:space="preserve">System Boundary:</w:t>
      </w:r>
      <w:r>
        <w:t xml:space="preserve"> </w:t>
      </w:r>
      <w:r>
        <w:t xml:space="preserve">The system boundary for this PCF is conceptually</w:t>
      </w:r>
      <w:r>
        <w:t xml:space="preserve"> </w:t>
      </w:r>
      <w:r>
        <w:rPr>
          <w:iCs/>
          <w:i/>
        </w:rPr>
        <w:t xml:space="preserve">cradle-to-gate</w:t>
      </w:r>
      <w:r>
        <w:t xml:space="preserve">, primarily focusing on raw material acquisition through manufacturing (factory gate). However, in accordance with the specific parameters provided, the analysis extends to include the</w:t>
      </w:r>
      <w:r>
        <w:t xml:space="preserve"> </w:t>
      </w:r>
      <w:r>
        <w:rPr>
          <w:bCs/>
          <w:b/>
        </w:rPr>
        <w:t xml:space="preserve">Use Phase</w:t>
      </w:r>
      <w:r>
        <w:t xml:space="preserve"> </w:t>
      </w:r>
      <w:r>
        <w:t xml:space="preserve">and</w:t>
      </w:r>
      <w:r>
        <w:t xml:space="preserve"> </w:t>
      </w:r>
      <w:r>
        <w:rPr>
          <w:bCs/>
          <w:b/>
        </w:rPr>
        <w:t xml:space="preserve">End-of-Life</w:t>
      </w:r>
      <w:r>
        <w:t xml:space="preserve"> </w:t>
      </w:r>
      <w:r>
        <w:t xml:space="preserve">scenarios to provide a more comprehensive view of the product\'s total lifecycle impact. This extended boundary effectively moves towards a</w:t>
      </w:r>
      <w:r>
        <w:t xml:space="preserve"> </w:t>
      </w:r>
      <w:r>
        <w:rPr>
          <w:iCs/>
          <w:i/>
        </w:rPr>
        <w:t xml:space="preserve">cradle-to-grave</w:t>
      </w:r>
      <w:r>
        <w:t xml:space="preserve"> </w:t>
      </w:r>
      <w:r>
        <w:t xml:space="preserve">perspective for the complete analysis.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Allocation:</w:t>
      </w:r>
      <w:r>
        <w:t xml:space="preserve"> </w:t>
      </w:r>
      <w:r>
        <w:t xml:space="preserve">All environmental impacts are directly allocated to the functional unit (1.0 unit of rpzweegwxg), as no co-products or significant by-products are considered in this simplified model.</w:t>
      </w:r>
    </w:p>
    <w:bookmarkEnd w:id="22"/>
    <w:bookmarkStart w:id="23" w:name="Xf6590ae06e9eff1c8ceb678e24ded0b628f7713"/>
    <w:p>
      <w:pPr>
        <w:pStyle w:val="Heading3"/>
      </w:pPr>
      <w:r>
        <w:t xml:space="preserve">2. Map Lifecycle (Life Cycle Inventory Stages)</w:t>
      </w:r>
    </w:p>
    <w:p>
      <w:pPr>
        <w:pStyle w:val="FirstParagraph"/>
      </w:pPr>
      <w:r>
        <w:t xml:space="preserve">The lifecycle of</w:t>
      </w:r>
      <w:r>
        <w:t xml:space="preserve"> </w:t>
      </w:r>
      <w:r>
        <w:rPr>
          <w:bCs/>
          <w:b/>
        </w:rPr>
        <w:t xml:space="preserve">rpzweegwxg</w:t>
      </w:r>
      <w:r>
        <w:t xml:space="preserve"> </w:t>
      </w:r>
      <w:r>
        <w:t xml:space="preserve">is mapped across the following stages, illustrating the flow of materials and energy:</w:t>
      </w:r>
    </w:p>
    <w:p>
      <w:pPr>
        <w:numPr>
          <w:ilvl w:val="0"/>
          <w:numId w:val="1003"/>
        </w:numPr>
        <w:pStyle w:val="Compact"/>
      </w:pPr>
      <w:r>
        <w:rPr>
          <w:bCs/>
          <w:b/>
        </w:rPr>
        <w:t xml:space="preserve">Raw Material Acquisition &amp; Pre-processing:</w:t>
      </w:r>
      <w:r>
        <w:t xml:space="preserve"> </w:t>
      </w:r>
      <w:r>
        <w:t xml:space="preserve">Extraction, processing, and initial manufacturing of materials (e.g., metals, plastics, electronic components). This stage constitutes upstream Scope 3 emissions.</w:t>
      </w:r>
    </w:p>
    <w:p>
      <w:pPr>
        <w:numPr>
          <w:ilvl w:val="0"/>
          <w:numId w:val="1003"/>
        </w:numPr>
        <w:pStyle w:val="Compact"/>
      </w:pPr>
      <w:r>
        <w:rPr>
          <w:bCs/>
          <w:b/>
        </w:rPr>
        <w:t xml:space="preserve">Manufacturing/Production:</w:t>
      </w:r>
      <w:r>
        <w:t xml:space="preserve"> </w:t>
      </w:r>
      <w:r>
        <w:t xml:space="preserve">Assembly, energy consumption, and on-site processes at the manufacturing facility in China. This stage includes Scope 1 (direct emissions from owned/controlled sources) and Scope 2 (purchased electricity) emissions.</w:t>
      </w:r>
    </w:p>
    <w:p>
      <w:pPr>
        <w:numPr>
          <w:ilvl w:val="0"/>
          <w:numId w:val="1003"/>
        </w:numPr>
        <w:pStyle w:val="Compact"/>
      </w:pPr>
      <w:r>
        <w:rPr>
          <w:bCs/>
          <w:b/>
        </w:rPr>
        <w:t xml:space="preserve">Transport (Inbound &amp; Outbound):</w:t>
      </w:r>
      <w:r>
        <w:t xml:space="preserve"> </w:t>
      </w:r>
      <w:r>
        <w:t xml:space="preserve">Transportation of raw materials to the manufacturing site (inbound logistics) and finished products from the factory gate to the customer (outbound logistics, including last-mile delivery). These are categorized as Scope 3 emissions.</w:t>
      </w:r>
    </w:p>
    <w:p>
      <w:pPr>
        <w:numPr>
          <w:ilvl w:val="0"/>
          <w:numId w:val="1003"/>
        </w:numPr>
        <w:pStyle w:val="Compact"/>
      </w:pPr>
      <w:r>
        <w:rPr>
          <w:bCs/>
          <w:b/>
        </w:rPr>
        <w:t xml:space="preserve">Use Phase:</w:t>
      </w:r>
      <w:r>
        <w:t xml:space="preserve"> </w:t>
      </w:r>
      <w:r>
        <w:t xml:space="preserve">Energy consumption and potential emissions during the product\'s active lifespan by the end-user. This is a downstream Scope 3 category.</w:t>
      </w:r>
    </w:p>
    <w:p>
      <w:pPr>
        <w:numPr>
          <w:ilvl w:val="0"/>
          <w:numId w:val="1003"/>
        </w:numPr>
        <w:pStyle w:val="Compact"/>
      </w:pPr>
      <w:r>
        <w:rPr>
          <w:bCs/>
          <w:b/>
        </w:rPr>
        <w:t xml:space="preserve">End-of-Life (EoL):</w:t>
      </w:r>
      <w:r>
        <w:t xml:space="preserve"> </w:t>
      </w:r>
      <w:r>
        <w:t xml:space="preserve">Emissions and potential avoided emissions associated with the disposal, recycling, or recovery of the product at the end of its useful life. This is a downstream Scope 3 category.</w:t>
      </w:r>
    </w:p>
    <w:bookmarkEnd w:id="23"/>
    <w:bookmarkStart w:id="27" w:name="Xb57f50a89bf1f3f1837369be949d9d60d6c1272"/>
    <w:p>
      <w:pPr>
        <w:pStyle w:val="Heading3"/>
      </w:pPr>
      <w:r>
        <w:t xml:space="preserve">3. Collect Data (Primary/Secondary Data Points)</w:t>
      </w:r>
    </w:p>
    <w:p>
      <w:pPr>
        <w:pStyle w:val="FirstParagraph"/>
      </w:pPr>
      <w:r>
        <w:t xml:space="preserve">Data collection involves a combination of primary data provided by</w:t>
      </w:r>
      <w:r>
        <w:t xml:space="preserve"> </w:t>
      </w:r>
      <w:r>
        <w:rPr>
          <w:bCs/>
          <w:b/>
        </w:rPr>
        <w:t xml:space="preserve">jegtywhtqr</w:t>
      </w:r>
      <w:r>
        <w:t xml:space="preserve"> </w:t>
      </w:r>
      <w:r>
        <w:t xml:space="preserve">and secondary data from industry-standard emission factor databases.</w:t>
      </w:r>
    </w:p>
    <w:bookmarkStart w:id="24" w:name="X4fd42afb6fe25d8bb6550e6aca78656a289a130"/>
    <w:p>
      <w:pPr>
        <w:pStyle w:val="Heading4"/>
      </w:pPr>
      <w:r>
        <w:t xml:space="preserve">Detailed Bill of Materials (BOM) Data (sxxoghiu)</w:t>
      </w:r>
    </w:p>
    <w:p>
      <w:pPr>
        <w:pStyle w:val="FirstParagraph"/>
      </w:pPr>
      <w:r>
        <w:t xml:space="preserve">The following Bill of Materials (BOM) for</w:t>
      </w:r>
      <w:r>
        <w:t xml:space="preserve"> </w:t>
      </w:r>
      <w:r>
        <w:rPr>
          <w:bCs/>
          <w:b/>
        </w:rPr>
        <w:t xml:space="preserve">rpzweegwxg</w:t>
      </w:r>
      <w:r>
        <w:t xml:space="preserve"> </w:t>
      </w:r>
      <w:r>
        <w:t xml:space="preserve">is utilized for high-accuracy material impact calculations. The "Emission Factor" and "Total Carbon" values are directly incorporated as provided by the company\'s data placeholder `sxxoghiu`.</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(kgCO₂e/unit)</w:t>
            </w:r>
          </w:p>
        </w:tc>
        <w:tc>
          <w:tcPr/>
          <w:p>
            <w:pPr>
              <w:pStyle w:val="Compact"/>
              <w:jc w:val="left"/>
            </w:pPr>
            <w:r>
              <w:t xml:space="preserve">Total Carbon (kgCO₂e)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7.0</w:t>
            </w:r>
          </w:p>
        </w:tc>
        <w:tc>
          <w:tcPr/>
          <w:p>
            <w:pPr>
              <w:pStyle w:val="Compact"/>
              <w:jc w:val="left"/>
            </w:pPr>
            <w:r>
              <w:t xml:space="preserve">5.60</w:t>
            </w:r>
          </w:p>
        </w:tc>
      </w:tr>
      <w:tr>
        <w:tc>
          <w:tcPr/>
          <w:p>
            <w:pPr>
              <w:pStyle w:val="Compact"/>
              <w:jc w:val="left"/>
            </w:pPr>
            <w:r>
              <w:t xml:space="preserve">102</w:t>
            </w:r>
          </w:p>
        </w:tc>
        <w:tc>
          <w:tcPr/>
          <w:p>
            <w:pPr>
              <w:pStyle w:val="Compact"/>
              <w:jc w:val="left"/>
            </w:pPr>
            <w:r>
              <w:t xml:space="preserve">Recycled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103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18.0</w:t>
            </w:r>
          </w:p>
        </w:tc>
        <w:tc>
          <w:tcPr/>
          <w:p>
            <w:pPr>
              <w:pStyle w:val="Compact"/>
              <w:jc w:val="left"/>
            </w:pPr>
            <w:r>
              <w:t xml:space="preserve">2.70</w:t>
            </w:r>
          </w:p>
        </w:tc>
      </w:tr>
      <w:tr>
        <w:tc>
          <w:tcPr/>
          <w:p>
            <w:pPr>
              <w:pStyle w:val="Compact"/>
              <w:jc w:val="left"/>
            </w:pPr>
            <w:r>
              <w:t xml:space="preserve">104</w:t>
            </w:r>
          </w:p>
        </w:tc>
        <w:tc>
          <w:tcPr/>
          <w:p>
            <w:pPr>
              <w:pStyle w:val="Compact"/>
              <w:jc w:val="left"/>
            </w:pPr>
            <w:r>
              <w:t xml:space="preserve">Lithium-ion Battery Pack</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105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106</w:t>
            </w:r>
          </w:p>
        </w:tc>
        <w:tc>
          <w:tcPr/>
          <w:p>
            <w:pPr>
              <w:pStyle w:val="Compact"/>
              <w:jc w:val="left"/>
            </w:pPr>
            <w:r>
              <w:t xml:space="preserve">Packaging (Cardboard &amp; Film)</w:t>
            </w:r>
          </w:p>
        </w:tc>
        <w:tc>
          <w:tcPr/>
          <w:p>
            <w:pPr>
              <w:pStyle w:val="Compact"/>
              <w:jc w:val="left"/>
            </w:pPr>
            <w:r>
              <w:t xml:space="preserve">Packaging</w:t>
            </w:r>
          </w:p>
        </w:tc>
        <w:tc>
          <w:tcPr/>
          <w:p>
            <w:pPr>
              <w:pStyle w:val="Compact"/>
              <w:jc w:val="left"/>
            </w:pPr>
            <w:r>
              <w:t xml:space="preserve">Conversion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bl>
    <w:bookmarkEnd w:id="24"/>
    <w:bookmarkStart w:id="25" w:name="energy-and-logistics-data"/>
    <w:p>
      <w:pPr>
        <w:pStyle w:val="Heading4"/>
      </w:pPr>
      <w:r>
        <w:t xml:space="preserve">Energy and Logistics Data</w:t>
      </w:r>
    </w:p>
    <w:p>
      <w:pPr>
        <w:numPr>
          <w:ilvl w:val="0"/>
          <w:numId w:val="1004"/>
        </w:numPr>
        <w:pStyle w:val="Compact"/>
      </w:pPr>
      <w:r>
        <w:rPr>
          <w:bCs/>
          <w:b/>
        </w:rPr>
        <w:t xml:space="preserve">Renewable Energy Usage (Production):</w:t>
      </w:r>
      <w:r>
        <w:t xml:space="preserve"> </w:t>
      </w:r>
      <w:r>
        <w:rPr>
          <w:bCs/>
          <w:b/>
        </w:rPr>
        <w:t xml:space="preserve">tpthmrvrqr</w:t>
      </w:r>
      <w:r>
        <w:t xml:space="preserve"> </w:t>
      </w:r>
      <w:r>
        <w:t xml:space="preserve">(e.g., assumed 50% Renewable Electricity via certificates)</w:t>
      </w:r>
    </w:p>
    <w:p>
      <w:pPr>
        <w:numPr>
          <w:ilvl w:val="0"/>
          <w:numId w:val="1004"/>
        </w:numPr>
        <w:pStyle w:val="Compact"/>
      </w:pPr>
      <w:r>
        <w:rPr>
          <w:bCs/>
          <w:b/>
        </w:rPr>
        <w:t xml:space="preserve">Energy Intensity (Production):</w:t>
      </w:r>
      <w:r>
        <w:t xml:space="preserve"> </w:t>
      </w:r>
      <w:r>
        <w:rPr>
          <w:bCs/>
          <w:b/>
        </w:rPr>
        <w:t xml:space="preserve">xhmjvrtrkq</w:t>
      </w:r>
      <w:r>
        <w:t xml:space="preserve"> </w:t>
      </w:r>
      <w:r>
        <w:t xml:space="preserve">(e.g., assumed 10 kWh/unit)</w:t>
      </w:r>
    </w:p>
    <w:p>
      <w:pPr>
        <w:numPr>
          <w:ilvl w:val="0"/>
          <w:numId w:val="1004"/>
        </w:numPr>
        <w:pStyle w:val="Compact"/>
      </w:pPr>
      <w:r>
        <w:rPr>
          <w:bCs/>
          <w:b/>
        </w:rPr>
        <w:t xml:space="preserve">Transport Mode (Inbound/Outbound):</w:t>
      </w:r>
      <w:r>
        <w:t xml:space="preserve"> </w:t>
      </w:r>
      <w:r>
        <w:rPr>
          <w:bCs/>
          <w:b/>
        </w:rPr>
        <w:t xml:space="preserve">Select Mode</w:t>
      </w:r>
      <w:r>
        <w:t xml:space="preserve"> </w:t>
      </w:r>
      <w:r>
        <w:t xml:space="preserve">(e.g., Inbound: Ocean Freight, Outbound: Road Freight)</w:t>
      </w:r>
    </w:p>
    <w:p>
      <w:pPr>
        <w:numPr>
          <w:ilvl w:val="0"/>
          <w:numId w:val="1004"/>
        </w:numPr>
        <w:pStyle w:val="Compact"/>
      </w:pPr>
      <w:r>
        <w:rPr>
          <w:bCs/>
          <w:b/>
        </w:rPr>
        <w:t xml:space="preserve">Transport Distance:</w:t>
      </w:r>
      <w:r>
        <w:t xml:space="preserve"> </w:t>
      </w:r>
      <w:r>
        <w:rPr>
          <w:bCs/>
          <w:b/>
        </w:rPr>
        <w:t xml:space="preserve">dojmoohqiz</w:t>
      </w:r>
      <w:r>
        <w:t xml:space="preserve"> </w:t>
      </w:r>
      <w:r>
        <w:t xml:space="preserve">(e.g., assumed 20,000 km for ocean freight, 500 km for road freight)</w:t>
      </w:r>
    </w:p>
    <w:p>
      <w:pPr>
        <w:numPr>
          <w:ilvl w:val="0"/>
          <w:numId w:val="1004"/>
        </w:numPr>
        <w:pStyle w:val="Compact"/>
      </w:pPr>
      <w:r>
        <w:rPr>
          <w:bCs/>
          <w:b/>
        </w:rPr>
        <w:t xml:space="preserve">Last-Mile Delivery Channel:</w:t>
      </w:r>
      <w:r>
        <w:t xml:space="preserve"> </w:t>
      </w:r>
      <w:r>
        <w:rPr>
          <w:bCs/>
          <w:b/>
        </w:rPr>
        <w:t xml:space="preserve">Delivery Type</w:t>
      </w:r>
      <w:r>
        <w:t xml:space="preserve"> </w:t>
      </w:r>
      <w:r>
        <w:t xml:space="preserve">(e.g., assumed Standard Parcel Delivery)</w:t>
      </w:r>
    </w:p>
    <w:p>
      <w:pPr>
        <w:numPr>
          <w:ilvl w:val="0"/>
          <w:numId w:val="1004"/>
        </w:numPr>
        <w:pStyle w:val="Compact"/>
      </w:pPr>
      <w:r>
        <w:rPr>
          <w:bCs/>
          <w:b/>
        </w:rPr>
        <w:t xml:space="preserve">Product Lifespan:</w:t>
      </w:r>
      <w:r>
        <w:t xml:space="preserve"> </w:t>
      </w:r>
      <w:r>
        <w:rPr>
          <w:bCs/>
          <w:b/>
        </w:rPr>
        <w:t xml:space="preserve">hjlwwqwzrz</w:t>
      </w:r>
      <w:r>
        <w:t xml:space="preserve"> </w:t>
      </w:r>
      <w:r>
        <w:t xml:space="preserve">(e.g., assumed 5 years)</w:t>
      </w:r>
    </w:p>
    <w:p>
      <w:pPr>
        <w:numPr>
          <w:ilvl w:val="0"/>
          <w:numId w:val="1004"/>
        </w:numPr>
        <w:pStyle w:val="Compact"/>
      </w:pPr>
      <w:r>
        <w:rPr>
          <w:bCs/>
          <w:b/>
        </w:rPr>
        <w:t xml:space="preserve">Energy Consumption in Use:</w:t>
      </w:r>
      <w:r>
        <w:t xml:space="preserve"> </w:t>
      </w:r>
      <w:r>
        <w:rPr>
          <w:bCs/>
          <w:b/>
        </w:rPr>
        <w:t xml:space="preserve">jrstsmjujr</w:t>
      </w:r>
      <w:r>
        <w:t xml:space="preserve"> </w:t>
      </w:r>
      <w:r>
        <w:t xml:space="preserve">(e.g., assumed 50 kWh/year)</w:t>
      </w:r>
    </w:p>
    <w:p>
      <w:pPr>
        <w:numPr>
          <w:ilvl w:val="0"/>
          <w:numId w:val="1004"/>
        </w:numPr>
        <w:pStyle w:val="Compact"/>
      </w:pPr>
      <w:r>
        <w:rPr>
          <w:bCs/>
          <w:b/>
        </w:rPr>
        <w:t xml:space="preserve">Recyclability Percentage (EoL):</w:t>
      </w:r>
      <w:r>
        <w:t xml:space="preserve"> </w:t>
      </w:r>
      <w:r>
        <w:rPr>
          <w:bCs/>
          <w:b/>
        </w:rPr>
        <w:t xml:space="preserve">zsdqlzurvl</w:t>
      </w:r>
      <w:r>
        <w:t xml:space="preserve"> </w:t>
      </w:r>
      <w:r>
        <w:t xml:space="preserve">(e.g., assumed 70%)</w:t>
      </w:r>
    </w:p>
    <w:p>
      <w:pPr>
        <w:numPr>
          <w:ilvl w:val="0"/>
          <w:numId w:val="1004"/>
        </w:numPr>
        <w:pStyle w:val="Compact"/>
      </w:pPr>
      <w:r>
        <w:rPr>
          <w:bCs/>
          <w:b/>
        </w:rPr>
        <w:t xml:space="preserve">Circular/Take-back Programs (EoL):</w:t>
      </w:r>
      <w:r>
        <w:t xml:space="preserve"> </w:t>
      </w:r>
      <w:r>
        <w:rPr>
          <w:bCs/>
          <w:b/>
        </w:rPr>
        <w:t xml:space="preserve">nedxzlmkhm</w:t>
      </w:r>
      <w:r>
        <w:t xml:space="preserve"> </w:t>
      </w:r>
      <w:r>
        <w:t xml:space="preserve">(e.g., assumed Yes, formal take-back program in place)</w:t>
      </w:r>
    </w:p>
    <w:bookmarkEnd w:id="25"/>
    <w:bookmarkStart w:id="26" w:name="emission-factors-secondary-data"/>
    <w:p>
      <w:pPr>
        <w:pStyle w:val="Heading4"/>
      </w:pPr>
      <w:r>
        <w:t xml:space="preserve">Emission Factors (Secondary Data)</w:t>
      </w:r>
    </w:p>
    <w:p>
      <w:pPr>
        <w:pStyle w:val="FirstParagraph"/>
      </w:pPr>
      <w:r>
        <w:t xml:space="preserve">Industry-standard emission factors are applied, primarily sourced from reputable databases such as Ecoinvent and DEFRA. Specific factors used (illustrative where exact data from `sxxoghiu` was not parsed):</w:t>
      </w:r>
    </w:p>
    <w:p>
      <w:pPr>
        <w:numPr>
          <w:ilvl w:val="0"/>
          <w:numId w:val="1005"/>
        </w:numPr>
        <w:pStyle w:val="Compact"/>
      </w:pPr>
      <w:r>
        <w:rPr>
          <w:bCs/>
          <w:b/>
        </w:rPr>
        <w:t xml:space="preserve">Electricity Grid Mix (China):</w:t>
      </w:r>
      <w:r>
        <w:t xml:space="preserve"> </w:t>
      </w:r>
      <w:r>
        <w:t xml:space="preserve">0.6205 kgCO₂e/kWh</w:t>
      </w:r>
    </w:p>
    <w:p>
      <w:pPr>
        <w:numPr>
          <w:ilvl w:val="0"/>
          <w:numId w:val="1005"/>
        </w:numPr>
        <w:pStyle w:val="Compact"/>
      </w:pPr>
      <w:r>
        <w:rPr>
          <w:bCs/>
          <w:b/>
        </w:rPr>
        <w:t xml:space="preserve">Electricity Grid Mix (Europe, illustrative average for use phase):</w:t>
      </w:r>
      <w:r>
        <w:t xml:space="preserve"> </w:t>
      </w:r>
      <w:r>
        <w:t xml:space="preserve">0.25 kgCO₂e/kWh (assumed, actual value would depend on specific country mix)</w:t>
      </w:r>
    </w:p>
    <w:p>
      <w:pPr>
        <w:numPr>
          <w:ilvl w:val="0"/>
          <w:numId w:val="1005"/>
        </w:numPr>
        <w:pStyle w:val="Compact"/>
      </w:pPr>
      <w:r>
        <w:rPr>
          <w:bCs/>
          <w:b/>
        </w:rPr>
        <w:t xml:space="preserve">Ocean Freight:</w:t>
      </w:r>
      <w:r>
        <w:t xml:space="preserve"> </w:t>
      </w:r>
      <w:r>
        <w:t xml:space="preserve">0.01612 kgCO₂e/tonne-km (DEFRA 2025 for container ships)</w:t>
      </w:r>
    </w:p>
    <w:p>
      <w:pPr>
        <w:numPr>
          <w:ilvl w:val="0"/>
          <w:numId w:val="1005"/>
        </w:numPr>
        <w:pStyle w:val="Compact"/>
      </w:pPr>
      <w:r>
        <w:rPr>
          <w:bCs/>
          <w:b/>
        </w:rPr>
        <w:t xml:space="preserve">Road Freight:</w:t>
      </w:r>
      <w:r>
        <w:t xml:space="preserve"> </w:t>
      </w:r>
      <w:r>
        <w:t xml:space="preserve">0.1 kgCO₂e/tonne-km (illustrative average for general road freight, considering varying vehicle types and loads)</w:t>
      </w:r>
    </w:p>
    <w:p>
      <w:pPr>
        <w:numPr>
          <w:ilvl w:val="0"/>
          <w:numId w:val="1005"/>
        </w:numPr>
        <w:pStyle w:val="Compact"/>
      </w:pPr>
      <w:r>
        <w:rPr>
          <w:bCs/>
          <w:b/>
        </w:rPr>
        <w:t xml:space="preserve">Recycling Credit (Illustrative, for aluminum and plastic):</w:t>
      </w:r>
      <w:r>
        <w:t xml:space="preserve"> </w:t>
      </w:r>
      <w:r>
        <w:t xml:space="preserve">Avoided emissions calculated based on raw material emission factors and recyclability.</w:t>
      </w:r>
    </w:p>
    <w:bookmarkEnd w:id="26"/>
    <w:bookmarkEnd w:id="27"/>
    <w:bookmarkStart w:id="38" w:name="Xe156f3a774124d90821f5a9dd2a33dd50db36e7"/>
    <w:p>
      <w:pPr>
        <w:pStyle w:val="Heading3"/>
      </w:pPr>
      <w:r>
        <w:t xml:space="preserve">4. Calculate Emissions (Activity * Emission Factor = CO₂e)</w:t>
      </w:r>
    </w:p>
    <w:p>
      <w:pPr>
        <w:pStyle w:val="FirstParagraph"/>
      </w:pPr>
      <w:r>
        <w:t xml:space="preserve">Emissions are calculated for each lifecycle stage and categorized according to the GHG Protocol.</w:t>
      </w:r>
    </w:p>
    <w:bookmarkStart w:id="28" w:name="scope-1-emissions-direct-emissions"/>
    <w:p>
      <w:pPr>
        <w:pStyle w:val="Heading4"/>
      </w:pPr>
      <w:r>
        <w:t xml:space="preserve">Scope 1 Emissions (Direct Emissions)</w:t>
      </w:r>
    </w:p>
    <w:p>
      <w:pPr>
        <w:pStyle w:val="FirstParagraph"/>
      </w:pPr>
      <w:r>
        <w:t xml:space="preserve">These are direct GHG emissions from sources owned or controlled by</w:t>
      </w:r>
      <w:r>
        <w:t xml:space="preserve"> </w:t>
      </w:r>
      <w:r>
        <w:rPr>
          <w:bCs/>
          <w:b/>
        </w:rPr>
        <w:t xml:space="preserve">jegtywhtqr</w:t>
      </w:r>
      <w:r>
        <w:t xml:space="preserve">. For a product-level PCF with a factory-gate boundary, these typically include on-site fuel combustion for manufacturing processes not covered by purchased electricity.</w:t>
      </w:r>
    </w:p>
    <w:p>
      <w:pPr>
        <w:numPr>
          <w:ilvl w:val="0"/>
          <w:numId w:val="1006"/>
        </w:numPr>
        <w:pStyle w:val="Compact"/>
      </w:pPr>
      <w:r>
        <w:t xml:space="preserve">No specific direct fuel consumption data (e.g., natural gas for heating machinery) was provided in the parameters. Assuming the primary manufacturing energy is electricity, Scope 1 emissions are considered negligible or zero in this simplified model unless otherwise specified.</w:t>
      </w:r>
    </w:p>
    <w:p>
      <w:pPr>
        <w:numPr>
          <w:ilvl w:val="0"/>
          <w:numId w:val="1006"/>
        </w:numPr>
        <w:pStyle w:val="Compact"/>
      </w:pPr>
      <w:r>
        <w:rPr>
          <w:bCs/>
          <w:b/>
        </w:rPr>
        <w:t xml:space="preserve">Calculated Scope 1:</w:t>
      </w:r>
      <w:r>
        <w:t xml:space="preserve"> </w:t>
      </w:r>
      <w:r>
        <w:t xml:space="preserve">0.0 kgCO₂e</w:t>
      </w:r>
    </w:p>
    <w:bookmarkEnd w:id="28"/>
    <w:bookmarkStart w:id="29" w:name="scope-2-emissions-purchased-energy"/>
    <w:p>
      <w:pPr>
        <w:pStyle w:val="Heading4"/>
      </w:pPr>
      <w:r>
        <w:t xml:space="preserve">Scope 2 Emissions (Purchased Energy)</w:t>
      </w:r>
    </w:p>
    <w:p>
      <w:pPr>
        <w:pStyle w:val="FirstParagraph"/>
      </w:pPr>
      <w:r>
        <w:t xml:space="preserve">These are indirect GHG emissions from the generation of purchased electricity, steam, heating, or cooling consumed by</w:t>
      </w:r>
      <w:r>
        <w:t xml:space="preserve"> </w:t>
      </w:r>
      <w:r>
        <w:rPr>
          <w:bCs/>
          <w:b/>
        </w:rPr>
        <w:t xml:space="preserve">jegtywhtqr</w:t>
      </w:r>
      <w:r>
        <w:t xml:space="preserve"> </w:t>
      </w:r>
      <w:r>
        <w:t xml:space="preserve">in the manufacturing facility.</w:t>
      </w:r>
    </w:p>
    <w:p>
      <w:pPr>
        <w:numPr>
          <w:ilvl w:val="0"/>
          <w:numId w:val="1007"/>
        </w:numPr>
        <w:pStyle w:val="Compact"/>
      </w:pPr>
      <w:r>
        <w:rPr>
          <w:bCs/>
          <w:b/>
        </w:rPr>
        <w:t xml:space="preserve">Energy Intensity:</w:t>
      </w:r>
      <w:r>
        <w:t xml:space="preserve"> </w:t>
      </w:r>
      <w:r>
        <w:t xml:space="preserve">10 kWh/unit [xhmjvrtrkq]</w:t>
      </w:r>
    </w:p>
    <w:p>
      <w:pPr>
        <w:numPr>
          <w:ilvl w:val="0"/>
          <w:numId w:val="1007"/>
        </w:numPr>
        <w:pStyle w:val="Compact"/>
      </w:pPr>
      <w:r>
        <w:rPr>
          <w:bCs/>
          <w:b/>
        </w:rPr>
        <w:t xml:space="preserve">Electricity Emission Factor (China):</w:t>
      </w:r>
      <w:r>
        <w:t xml:space="preserve"> </w:t>
      </w:r>
      <w:r>
        <w:t xml:space="preserve">0.6205 kgCO₂e/kWh</w:t>
      </w:r>
    </w:p>
    <w:p>
      <w:pPr>
        <w:numPr>
          <w:ilvl w:val="0"/>
          <w:numId w:val="1007"/>
        </w:numPr>
        <w:pStyle w:val="Compact"/>
      </w:pPr>
      <w:r>
        <w:rPr>
          <w:bCs/>
          <w:b/>
        </w:rPr>
        <w:t xml:space="preserve">Renewable Energy Usage:</w:t>
      </w:r>
      <w:r>
        <w:t xml:space="preserve"> </w:t>
      </w:r>
      <w:r>
        <w:t xml:space="preserve">50% [tpthmrvrqr]</w:t>
      </w:r>
    </w:p>
    <w:p>
      <w:pPr>
        <w:numPr>
          <w:ilvl w:val="0"/>
          <w:numId w:val="1007"/>
        </w:numPr>
        <w:pStyle w:val="Compact"/>
      </w:pPr>
      <w:r>
        <w:rPr>
          <w:bCs/>
          <w:b/>
        </w:rPr>
        <w:t xml:space="preserve">Effective Electricity EF:</w:t>
      </w:r>
      <w:r>
        <w:t xml:space="preserve"> </w:t>
      </w:r>
      <w:r>
        <w:t xml:space="preserve">0.6205 kgCO₂e/kWh * (1 - 0.50) = 0.31025 kgCO₂e/kWh</w:t>
      </w:r>
    </w:p>
    <w:p>
      <w:pPr>
        <w:numPr>
          <w:ilvl w:val="0"/>
          <w:numId w:val="1007"/>
        </w:numPr>
        <w:pStyle w:val="Compact"/>
      </w:pPr>
      <w:r>
        <w:rPr>
          <w:bCs/>
          <w:b/>
        </w:rPr>
        <w:t xml:space="preserve">Calculated Scope 2:</w:t>
      </w:r>
      <w:r>
        <w:t xml:space="preserve"> </w:t>
      </w:r>
      <w:r>
        <w:t xml:space="preserve">10 kWh/unit * 0.31025 kgCO₂e/kWh = 3.10 kgCO₂e</w:t>
      </w:r>
    </w:p>
    <w:bookmarkEnd w:id="29"/>
    <w:bookmarkStart w:id="35" w:name="scope-3-emissions-value-chain-emissions"/>
    <w:p>
      <w:pPr>
        <w:pStyle w:val="Heading4"/>
      </w:pPr>
      <w:r>
        <w:t xml:space="preserve">Scope 3 Emissions (Value Chain Emissions)</w:t>
      </w:r>
    </w:p>
    <w:p>
      <w:pPr>
        <w:pStyle w:val="FirstParagraph"/>
      </w:pPr>
      <w:r>
        <w:t xml:space="preserve">Scope 3 covers all other indirect emissions in the value chain, both upstream and downstream. This is often the largest portion of a product\'s carbon footprint. The analysis is designed to achieve at least 95% coverage for Scope 3 reporting, as per 2026 requirements.</w:t>
      </w:r>
    </w:p>
    <w:bookmarkStart w:id="30" w:name="X4eb318cf884fd0d5e8b1e3f55526e2cb341a877"/>
    <w:p>
      <w:pPr>
        <w:pStyle w:val="Heading5"/>
      </w:pPr>
      <w:r>
        <w:t xml:space="preserve">Scope 3, Category 1: Purchased Goods and Services (Materials)</w:t>
      </w:r>
    </w:p>
    <w:p>
      <w:pPr>
        <w:pStyle w:val="FirstParagraph"/>
      </w:pPr>
      <w:r>
        <w:t xml:space="preserve">Emissions from the extraction, production, and transportation of raw materials and components for</w:t>
      </w:r>
      <w:r>
        <w:t xml:space="preserve"> </w:t>
      </w:r>
      <w:r>
        <w:rPr>
          <w:bCs/>
          <w:b/>
        </w:rPr>
        <w:t xml:space="preserve">rpzweegwxg</w:t>
      </w:r>
      <w:r>
        <w:t xml:space="preserv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 or unit)</w:t>
            </w:r>
          </w:p>
        </w:tc>
        <w:tc>
          <w:tcPr/>
          <w:p>
            <w:pPr>
              <w:pStyle w:val="Compact"/>
              <w:jc w:val="left"/>
            </w:pPr>
            <w:r>
              <w:t xml:space="preserve">Emission Factor (kgCO₂e/unit)</w:t>
            </w:r>
          </w:p>
        </w:tc>
        <w:tc>
          <w:tcPr/>
          <w:p>
            <w:pPr>
              <w:pStyle w:val="Compact"/>
              <w:jc w:val="left"/>
            </w:pPr>
            <w:r>
              <w:t xml:space="preserve">Total Carbon (kgCO₂e)</w:t>
            </w:r>
          </w:p>
        </w:tc>
      </w:tr>
      <w:tr>
        <w:tc>
          <w:tcPr/>
          <w:p>
            <w:pPr>
              <w:pStyle w:val="Compact"/>
              <w:jc w:val="left"/>
            </w:pPr>
            <w:r>
              <w:t xml:space="preserve">Aluminum Casing</w:t>
            </w:r>
          </w:p>
        </w:tc>
        <w:tc>
          <w:tcPr/>
          <w:p>
            <w:pPr>
              <w:pStyle w:val="Compact"/>
              <w:jc w:val="left"/>
            </w:pPr>
            <w:r>
              <w:t xml:space="preserve">0.8 kg</w:t>
            </w:r>
          </w:p>
        </w:tc>
        <w:tc>
          <w:tcPr/>
          <w:p>
            <w:pPr>
              <w:pStyle w:val="Compact"/>
              <w:jc w:val="left"/>
            </w:pPr>
            <w:r>
              <w:t xml:space="preserve">7.0</w:t>
            </w:r>
          </w:p>
        </w:tc>
        <w:tc>
          <w:tcPr/>
          <w:p>
            <w:pPr>
              <w:pStyle w:val="Compact"/>
              <w:jc w:val="left"/>
            </w:pPr>
            <w:r>
              <w:t xml:space="preserve">5.60</w:t>
            </w:r>
          </w:p>
        </w:tc>
      </w:tr>
      <w:tr>
        <w:tc>
          <w:tcPr/>
          <w:p>
            <w:pPr>
              <w:pStyle w:val="Compact"/>
              <w:jc w:val="left"/>
            </w:pPr>
            <w:r>
              <w:t xml:space="preserve">Recycled Plastic Housing</w:t>
            </w:r>
          </w:p>
        </w:tc>
        <w:tc>
          <w:tcPr/>
          <w:p>
            <w:pPr>
              <w:pStyle w:val="Compact"/>
              <w:jc w:val="left"/>
            </w:pPr>
            <w:r>
              <w:t xml:space="preserve">0.3 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Printed Circuit Board (PCB)</w:t>
            </w:r>
          </w:p>
        </w:tc>
        <w:tc>
          <w:tcPr/>
          <w:p>
            <w:pPr>
              <w:pStyle w:val="Compact"/>
              <w:jc w:val="left"/>
            </w:pPr>
            <w:r>
              <w:t xml:space="preserve">0.15 unit</w:t>
            </w:r>
          </w:p>
        </w:tc>
        <w:tc>
          <w:tcPr/>
          <w:p>
            <w:pPr>
              <w:pStyle w:val="Compact"/>
              <w:jc w:val="left"/>
            </w:pPr>
            <w:r>
              <w:t xml:space="preserve">18.0</w:t>
            </w:r>
          </w:p>
        </w:tc>
        <w:tc>
          <w:tcPr/>
          <w:p>
            <w:pPr>
              <w:pStyle w:val="Compact"/>
              <w:jc w:val="left"/>
            </w:pPr>
            <w:r>
              <w:t xml:space="preserve">2.70</w:t>
            </w:r>
          </w:p>
        </w:tc>
      </w:tr>
      <w:tr>
        <w:tc>
          <w:tcPr/>
          <w:p>
            <w:pPr>
              <w:pStyle w:val="Compact"/>
              <w:jc w:val="left"/>
            </w:pPr>
            <w:r>
              <w:t xml:space="preserve">Lithium-ion Battery Pack</w:t>
            </w:r>
          </w:p>
        </w:tc>
        <w:tc>
          <w:tcPr/>
          <w:p>
            <w:pPr>
              <w:pStyle w:val="Compact"/>
              <w:jc w:val="left"/>
            </w:pPr>
            <w:r>
              <w:t xml:space="preserve">0.2 unit</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Copper Wiring</w:t>
            </w:r>
          </w:p>
        </w:tc>
        <w:tc>
          <w:tcPr/>
          <w:p>
            <w:pPr>
              <w:pStyle w:val="Compact"/>
              <w:jc w:val="left"/>
            </w:pPr>
            <w:r>
              <w:t xml:space="preserve">0.05 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Packaging (Cardboard &amp; Film)</w:t>
            </w:r>
          </w:p>
        </w:tc>
        <w:tc>
          <w:tcPr/>
          <w:p>
            <w:pPr>
              <w:pStyle w:val="Compact"/>
              <w:jc w:val="left"/>
            </w:pPr>
            <w:r>
              <w:t xml:space="preserve">0.1 kg</w:t>
            </w:r>
          </w:p>
        </w:tc>
        <w:tc>
          <w:tcPr/>
          <w:p>
            <w:pPr>
              <w:pStyle w:val="Compact"/>
              <w:jc w:val="left"/>
            </w:pPr>
            <w:r>
              <w:t xml:space="preserve">1.2</w:t>
            </w:r>
          </w:p>
        </w:tc>
        <w:tc>
          <w:tcPr/>
          <w:p>
            <w:pPr>
              <w:pStyle w:val="Compact"/>
              <w:jc w:val="left"/>
            </w:pPr>
            <w:r>
              <w:t xml:space="preserve">0.12</w:t>
            </w:r>
          </w:p>
        </w:tc>
      </w:tr>
      <w:tr>
        <w:tc>
          <w:tcPr>
            <w:gridSpan w:val="3"/>
          </w:tcPr>
          <w:p>
            <w:pPr>
              <w:pStyle w:val="Compact"/>
              <w:jc w:val="left"/>
            </w:pPr>
            <w:r>
              <w:rPr>
                <w:bCs/>
                <w:b/>
              </w:rPr>
              <w:t xml:space="preserve">Subtotal Material Emissions:</w:t>
            </w:r>
          </w:p>
        </w:tc>
        <w:tc>
          <w:tcPr/>
          <w:p>
            <w:pPr>
              <w:pStyle w:val="Compact"/>
              <w:jc w:val="left"/>
            </w:pPr>
            <w:r>
              <w:rPr>
                <w:bCs/>
                <w:b/>
              </w:rPr>
              <w:t xml:space="preserve">11.47 kgCO₂e</w:t>
            </w:r>
          </w:p>
        </w:tc>
      </w:tr>
    </w:tbl>
    <w:bookmarkEnd w:id="30"/>
    <w:bookmarkStart w:id="31" w:name="Xb647495b917df9430bf607aff410ac0d5cf7ebc"/>
    <w:p>
      <w:pPr>
        <w:pStyle w:val="Heading5"/>
      </w:pPr>
      <w:r>
        <w:t xml:space="preserve">Scope 3, Category 4: Upstream Transportation and Distribution (Inbound Logistics)</w:t>
      </w:r>
    </w:p>
    <w:p>
      <w:pPr>
        <w:pStyle w:val="FirstParagraph"/>
      </w:pPr>
      <w:r>
        <w:t xml:space="preserve">Emissions from transporting raw materials and components from suppliers (e.g., Europe) to the manufacturing facility in China.</w:t>
      </w:r>
    </w:p>
    <w:p>
      <w:pPr>
        <w:numPr>
          <w:ilvl w:val="0"/>
          <w:numId w:val="1008"/>
        </w:numPr>
        <w:pStyle w:val="Compact"/>
      </w:pPr>
      <w:r>
        <w:rPr>
          <w:bCs/>
          <w:b/>
        </w:rPr>
        <w:t xml:space="preserve">Total Mass of Inbound Materials:</w:t>
      </w:r>
      <w:r>
        <w:t xml:space="preserve"> </w:t>
      </w:r>
      <w:r>
        <w:t xml:space="preserve">0.8 + 0.3 + 0.15 + 0.2 + 0.05 + 0.1 = 1.6 kg (assuming unit of PCB, battery means the total weight accounted for EF)</w:t>
      </w:r>
    </w:p>
    <w:p>
      <w:pPr>
        <w:numPr>
          <w:ilvl w:val="0"/>
          <w:numId w:val="1008"/>
        </w:numPr>
        <w:pStyle w:val="Compact"/>
      </w:pPr>
      <w:r>
        <w:rPr>
          <w:bCs/>
          <w:b/>
        </w:rPr>
        <w:t xml:space="preserve">Transport Mode:</w:t>
      </w:r>
      <w:r>
        <w:t xml:space="preserve"> </w:t>
      </w:r>
      <w:r>
        <w:t xml:space="preserve">Ocean Freight [Select Mode]</w:t>
      </w:r>
    </w:p>
    <w:p>
      <w:pPr>
        <w:numPr>
          <w:ilvl w:val="0"/>
          <w:numId w:val="1008"/>
        </w:numPr>
        <w:pStyle w:val="Compact"/>
      </w:pPr>
      <w:r>
        <w:rPr>
          <w:bCs/>
          <w:b/>
        </w:rPr>
        <w:t xml:space="preserve">Transport Distance:</w:t>
      </w:r>
      <w:r>
        <w:t xml:space="preserve"> </w:t>
      </w:r>
      <w:r>
        <w:t xml:space="preserve">20,000 km [dojmoohqiz]</w:t>
      </w:r>
    </w:p>
    <w:p>
      <w:pPr>
        <w:numPr>
          <w:ilvl w:val="0"/>
          <w:numId w:val="1008"/>
        </w:numPr>
        <w:pStyle w:val="Compact"/>
      </w:pPr>
      <w:r>
        <w:rPr>
          <w:bCs/>
          <w:b/>
        </w:rPr>
        <w:t xml:space="preserve">Ocean Freight EF:</w:t>
      </w:r>
      <w:r>
        <w:t xml:space="preserve"> </w:t>
      </w:r>
      <w:r>
        <w:t xml:space="preserve">0.01612 kgCO₂e/tonne-km = 0.00001612 kgCO₂e/kg-km</w:t>
      </w:r>
    </w:p>
    <w:p>
      <w:pPr>
        <w:numPr>
          <w:ilvl w:val="0"/>
          <w:numId w:val="1008"/>
        </w:numPr>
        <w:pStyle w:val="Compact"/>
      </w:pPr>
      <w:r>
        <w:rPr>
          <w:bCs/>
          <w:b/>
        </w:rPr>
        <w:t xml:space="preserve">Calculated Inbound Transport:</w:t>
      </w:r>
      <w:r>
        <w:t xml:space="preserve"> </w:t>
      </w:r>
      <w:r>
        <w:t xml:space="preserve">1.6 kg * 20,000 km * 0.00001612 kgCO₂e/kg-km = 0.516 kgCO₂e</w:t>
      </w:r>
    </w:p>
    <w:bookmarkEnd w:id="31"/>
    <w:bookmarkStart w:id="32" w:name="Xdfe2654994355bea3f4df1afd7a06c0b9884e95"/>
    <w:p>
      <w:pPr>
        <w:pStyle w:val="Heading5"/>
      </w:pPr>
      <w:r>
        <w:t xml:space="preserve">Scope 3, Category 9: Downstream Transportation and Distribution (Outbound Logistics)</w:t>
      </w:r>
    </w:p>
    <w:p>
      <w:pPr>
        <w:pStyle w:val="FirstParagraph"/>
      </w:pPr>
      <w:r>
        <w:t xml:space="preserve">Emissions from transporting finished products from the factory gate in China to the customer.</w:t>
      </w:r>
    </w:p>
    <w:p>
      <w:pPr>
        <w:numPr>
          <w:ilvl w:val="0"/>
          <w:numId w:val="1009"/>
        </w:numPr>
        <w:pStyle w:val="Compact"/>
      </w:pPr>
      <w:r>
        <w:rPr>
          <w:bCs/>
          <w:b/>
        </w:rPr>
        <w:t xml:space="preserve">Product Mass:</w:t>
      </w:r>
      <w:r>
        <w:t xml:space="preserve"> </w:t>
      </w:r>
      <w:r>
        <w:t xml:space="preserve">Approximately 1.6 kg (based on BOM total).</w:t>
      </w:r>
    </w:p>
    <w:p>
      <w:pPr>
        <w:numPr>
          <w:ilvl w:val="0"/>
          <w:numId w:val="1009"/>
        </w:numPr>
        <w:pStyle w:val="Compact"/>
      </w:pPr>
      <w:r>
        <w:rPr>
          <w:bCs/>
          <w:b/>
        </w:rPr>
        <w:t xml:space="preserve">Primary Transport Mode (China to Europe Hub):</w:t>
      </w:r>
      <w:r>
        <w:t xml:space="preserve"> </w:t>
      </w:r>
      <w:r>
        <w:t xml:space="preserve">Ocean Freight [Select Mode]</w:t>
      </w:r>
    </w:p>
    <w:p>
      <w:pPr>
        <w:numPr>
          <w:ilvl w:val="0"/>
          <w:numId w:val="1009"/>
        </w:numPr>
        <w:pStyle w:val="Compact"/>
      </w:pPr>
      <w:r>
        <w:rPr>
          <w:bCs/>
          <w:b/>
        </w:rPr>
        <w:t xml:space="preserve">Distance (Ocean):</w:t>
      </w:r>
      <w:r>
        <w:t xml:space="preserve"> </w:t>
      </w:r>
      <w:r>
        <w:t xml:space="preserve">20,000 km [dojmoohqiz]</w:t>
      </w:r>
    </w:p>
    <w:p>
      <w:pPr>
        <w:numPr>
          <w:ilvl w:val="0"/>
          <w:numId w:val="1009"/>
        </w:numPr>
        <w:pStyle w:val="Compact"/>
      </w:pPr>
      <w:r>
        <w:rPr>
          <w:bCs/>
          <w:b/>
        </w:rPr>
        <w:t xml:space="preserve">Ocean Freight EF:</w:t>
      </w:r>
      <w:r>
        <w:t xml:space="preserve"> </w:t>
      </w:r>
      <w:r>
        <w:t xml:space="preserve">0.00001612 kgCO₂e/kg-km</w:t>
      </w:r>
    </w:p>
    <w:p>
      <w:pPr>
        <w:numPr>
          <w:ilvl w:val="0"/>
          <w:numId w:val="1009"/>
        </w:numPr>
        <w:pStyle w:val="Compact"/>
      </w:pPr>
      <w:r>
        <w:rPr>
          <w:bCs/>
          <w:b/>
        </w:rPr>
        <w:t xml:space="preserve">Last-Mile Delivery (Europe Hub to Customer):</w:t>
      </w:r>
      <w:r>
        <w:t xml:space="preserve"> </w:t>
      </w:r>
      <w:r>
        <w:t xml:space="preserve">Road Freight [Select Mode], Standard Parcel Delivery [Delivery Type]</w:t>
      </w:r>
    </w:p>
    <w:p>
      <w:pPr>
        <w:numPr>
          <w:ilvl w:val="0"/>
          <w:numId w:val="1009"/>
        </w:numPr>
        <w:pStyle w:val="Compact"/>
      </w:pPr>
      <w:r>
        <w:rPr>
          <w:bCs/>
          <w:b/>
        </w:rPr>
        <w:t xml:space="preserve">Distance (Road):</w:t>
      </w:r>
      <w:r>
        <w:t xml:space="preserve"> </w:t>
      </w:r>
      <w:r>
        <w:t xml:space="preserve">500 km [dojmoohqiz]</w:t>
      </w:r>
    </w:p>
    <w:p>
      <w:pPr>
        <w:numPr>
          <w:ilvl w:val="0"/>
          <w:numId w:val="1009"/>
        </w:numPr>
        <w:pStyle w:val="Compact"/>
      </w:pPr>
      <w:r>
        <w:rPr>
          <w:bCs/>
          <w:b/>
        </w:rPr>
        <w:t xml:space="preserve">Road Freight EF:</w:t>
      </w:r>
      <w:r>
        <w:t xml:space="preserve"> </w:t>
      </w:r>
      <w:r>
        <w:t xml:space="preserve">0.1 kgCO₂e/tonne-km = 0.0001 kgCO₂e/kg-km (illustrative)</w:t>
      </w:r>
    </w:p>
    <w:p>
      <w:pPr>
        <w:numPr>
          <w:ilvl w:val="0"/>
          <w:numId w:val="1009"/>
        </w:numPr>
        <w:pStyle w:val="Compact"/>
      </w:pPr>
      <w:r>
        <w:rPr>
          <w:bCs/>
          <w:b/>
        </w:rPr>
        <w:t xml:space="preserve">Calculated Outbound Ocean Transport:</w:t>
      </w:r>
      <w:r>
        <w:t xml:space="preserve"> </w:t>
      </w:r>
      <w:r>
        <w:t xml:space="preserve">1.6 kg * 20,000 km * 0.00001612 kgCO₂e/kg-km = 0.516 kgCO₂e</w:t>
      </w:r>
    </w:p>
    <w:p>
      <w:pPr>
        <w:numPr>
          <w:ilvl w:val="0"/>
          <w:numId w:val="1009"/>
        </w:numPr>
        <w:pStyle w:val="Compact"/>
      </w:pPr>
      <w:r>
        <w:rPr>
          <w:bCs/>
          <w:b/>
        </w:rPr>
        <w:t xml:space="preserve">Calculated Last-Mile Road Transport:</w:t>
      </w:r>
      <w:r>
        <w:t xml:space="preserve"> </w:t>
      </w:r>
      <w:r>
        <w:t xml:space="preserve">1.6 kg * 500 km * 0.0001 kgCO₂e/kg-km = 0.08 kgCO₂e</w:t>
      </w:r>
    </w:p>
    <w:p>
      <w:pPr>
        <w:numPr>
          <w:ilvl w:val="0"/>
          <w:numId w:val="1009"/>
        </w:numPr>
        <w:pStyle w:val="Compact"/>
      </w:pPr>
      <w:r>
        <w:rPr>
          <w:bCs/>
          <w:b/>
        </w:rPr>
        <w:t xml:space="preserve">Total Downstream Transport:</w:t>
      </w:r>
      <w:r>
        <w:t xml:space="preserve"> </w:t>
      </w:r>
      <w:r>
        <w:t xml:space="preserve">0.516 + 0.08 = 0.596 kgCO₂e</w:t>
      </w:r>
    </w:p>
    <w:bookmarkEnd w:id="32"/>
    <w:bookmarkStart w:id="33" w:name="scope-3-category-11-use-of-sold-products"/>
    <w:p>
      <w:pPr>
        <w:pStyle w:val="Heading5"/>
      </w:pPr>
      <w:r>
        <w:t xml:space="preserve">Scope 3, Category 11: Use of Sold Products</w:t>
      </w:r>
    </w:p>
    <w:p>
      <w:pPr>
        <w:pStyle w:val="FirstParagraph"/>
      </w:pPr>
      <w:r>
        <w:t xml:space="preserve">Emissions from the energy consumption of</w:t>
      </w:r>
      <w:r>
        <w:t xml:space="preserve"> </w:t>
      </w:r>
      <w:r>
        <w:rPr>
          <w:bCs/>
          <w:b/>
        </w:rPr>
        <w:t xml:space="preserve">rpzweegwxg</w:t>
      </w:r>
      <w:r>
        <w:t xml:space="preserve"> </w:t>
      </w:r>
      <w:r>
        <w:t xml:space="preserve">during its lifespan.</w:t>
      </w:r>
    </w:p>
    <w:p>
      <w:pPr>
        <w:numPr>
          <w:ilvl w:val="0"/>
          <w:numId w:val="1010"/>
        </w:numPr>
        <w:pStyle w:val="Compact"/>
      </w:pPr>
      <w:r>
        <w:rPr>
          <w:bCs/>
          <w:b/>
        </w:rPr>
        <w:t xml:space="preserve">Product Lifespan:</w:t>
      </w:r>
      <w:r>
        <w:t xml:space="preserve"> </w:t>
      </w:r>
      <w:r>
        <w:t xml:space="preserve">5 years [hjlwwqwzrz]</w:t>
      </w:r>
    </w:p>
    <w:p>
      <w:pPr>
        <w:numPr>
          <w:ilvl w:val="0"/>
          <w:numId w:val="1010"/>
        </w:numPr>
        <w:pStyle w:val="Compact"/>
      </w:pPr>
      <w:r>
        <w:rPr>
          <w:bCs/>
          <w:b/>
        </w:rPr>
        <w:t xml:space="preserve">Energy Consumption in Use:</w:t>
      </w:r>
      <w:r>
        <w:t xml:space="preserve"> </w:t>
      </w:r>
      <w:r>
        <w:t xml:space="preserve">50 kWh/year [jrstsmjujr]</w:t>
      </w:r>
    </w:p>
    <w:p>
      <w:pPr>
        <w:numPr>
          <w:ilvl w:val="0"/>
          <w:numId w:val="1010"/>
        </w:numPr>
        <w:pStyle w:val="Compact"/>
      </w:pPr>
      <w:r>
        <w:rPr>
          <w:bCs/>
          <w:b/>
        </w:rPr>
        <w:t xml:space="preserve">Electricity Emission Factor (Europe, illustrative):</w:t>
      </w:r>
      <w:r>
        <w:t xml:space="preserve"> </w:t>
      </w:r>
      <w:r>
        <w:t xml:space="preserve">0.25 kgCO₂e/kWh (assuming typical user location in Europe and average grid mix)</w:t>
      </w:r>
    </w:p>
    <w:p>
      <w:pPr>
        <w:numPr>
          <w:ilvl w:val="0"/>
          <w:numId w:val="1010"/>
        </w:numPr>
        <w:pStyle w:val="Compact"/>
      </w:pPr>
      <w:r>
        <w:rPr>
          <w:bCs/>
          <w:b/>
        </w:rPr>
        <w:t xml:space="preserve">Calculated Use Phase:</w:t>
      </w:r>
      <w:r>
        <w:t xml:space="preserve"> </w:t>
      </w:r>
      <w:r>
        <w:t xml:space="preserve">5 years * 50 kWh/year * 0.25 kgCO₂e/kWh = 62.5 kgCO₂e</w:t>
      </w:r>
    </w:p>
    <w:bookmarkEnd w:id="33"/>
    <w:bookmarkStart w:id="34" w:name="X8a83d50c0d89d142371b1cb2678444c0262a9c4"/>
    <w:p>
      <w:pPr>
        <w:pStyle w:val="Heading5"/>
      </w:pPr>
      <w:r>
        <w:t xml:space="preserve">Scope 3, Category 12: End-of-Life Treatment of Sold Products</w:t>
      </w:r>
    </w:p>
    <w:p>
      <w:pPr>
        <w:pStyle w:val="FirstParagraph"/>
      </w:pPr>
      <w:r>
        <w:t xml:space="preserve">Emissions and potential avoided emissions from the disposal and recycling of</w:t>
      </w:r>
      <w:r>
        <w:t xml:space="preserve"> </w:t>
      </w:r>
      <w:r>
        <w:rPr>
          <w:bCs/>
          <w:b/>
        </w:rPr>
        <w:t xml:space="preserve">rpzweegwxg</w:t>
      </w:r>
      <w:r>
        <w:t xml:space="preserve">.</w:t>
      </w:r>
    </w:p>
    <w:p>
      <w:pPr>
        <w:numPr>
          <w:ilvl w:val="0"/>
          <w:numId w:val="1011"/>
        </w:numPr>
        <w:pStyle w:val="Compact"/>
      </w:pPr>
      <w:r>
        <w:rPr>
          <w:bCs/>
          <w:b/>
        </w:rPr>
        <w:t xml:space="preserve">Total Product Mass at EoL:</w:t>
      </w:r>
      <w:r>
        <w:t xml:space="preserve"> </w:t>
      </w:r>
      <w:r>
        <w:t xml:space="preserve">1.6 kg (assuming no material loss during use)</w:t>
      </w:r>
    </w:p>
    <w:p>
      <w:pPr>
        <w:numPr>
          <w:ilvl w:val="0"/>
          <w:numId w:val="1011"/>
        </w:numPr>
        <w:pStyle w:val="Compact"/>
      </w:pPr>
      <w:r>
        <w:rPr>
          <w:bCs/>
          <w:b/>
        </w:rPr>
        <w:t xml:space="preserve">Recyclability Percentage:</w:t>
      </w:r>
      <w:r>
        <w:t xml:space="preserve"> </w:t>
      </w:r>
      <w:r>
        <w:t xml:space="preserve">70% [zsdqlzurvl]</w:t>
      </w:r>
    </w:p>
    <w:p>
      <w:pPr>
        <w:numPr>
          <w:ilvl w:val="0"/>
          <w:numId w:val="1011"/>
        </w:numPr>
        <w:pStyle w:val="Compact"/>
      </w:pPr>
      <w:r>
        <w:rPr>
          <w:bCs/>
          <w:b/>
        </w:rPr>
        <w:t xml:space="preserve">Circular/Take-back Programs:</w:t>
      </w:r>
      <w:r>
        <w:t xml:space="preserve"> </w:t>
      </w:r>
      <w:r>
        <w:t xml:space="preserve">Yes, formal take-back program in place [nedxzlmkhm]</w:t>
      </w:r>
    </w:p>
    <w:p>
      <w:pPr>
        <w:numPr>
          <w:ilvl w:val="0"/>
          <w:numId w:val="1011"/>
        </w:numPr>
        <w:pStyle w:val="Compact"/>
      </w:pPr>
      <w:r>
        <w:rPr>
          <w:bCs/>
          <w:b/>
        </w:rPr>
        <w:t xml:space="preserve">Emissions from Landfilling (Illustrative for 30% non-recycled):</w:t>
      </w:r>
      <w:r>
        <w:t xml:space="preserve"> </w:t>
      </w:r>
      <w:r>
        <w:t xml:space="preserve">Assuming 30% of 1.6 kg = 0.48 kg goes to landfill. Illustrative landfill EF ~ 1 kgCO₂e/kg (varies greatly by material and landfill type).</w:t>
      </w:r>
    </w:p>
    <w:p>
      <w:pPr>
        <w:numPr>
          <w:ilvl w:val="1"/>
          <w:numId w:val="1012"/>
        </w:numPr>
        <w:pStyle w:val="Compact"/>
      </w:pPr>
      <w:r>
        <w:t xml:space="preserve">Calculated Landfill Emissions: 0.48 kg * 1 kgCO₂e/kg = 0.48 kgCO₂e</w:t>
      </w:r>
    </w:p>
    <w:p>
      <w:pPr>
        <w:numPr>
          <w:ilvl w:val="0"/>
          <w:numId w:val="1011"/>
        </w:numPr>
        <w:pStyle w:val="Compact"/>
      </w:pPr>
      <w:r>
        <w:rPr>
          <w:bCs/>
          <w:b/>
        </w:rPr>
        <w:t xml:space="preserve">Avoided Emissions from Recycling (Illustrative for 70% recycled):</w:t>
      </w:r>
      <w:r>
        <w:t xml:space="preserve"> </w:t>
      </w:r>
      <w:r>
        <w:t xml:space="preserve">For 70% of 1.6 kg = 1.12 kg, assuming a recycling efficiency and substitution for virgin material. The avoided emissions from recycling aluminum can be significant (e.g., recycling aluminum requires only 5% of the energy used for new aluminum). Given the mixed materials, a simplified average credit is applied. Illustrative average avoided EF ~ -3 kgCO₂e/kg (depending on material mix and virgin substitute).</w:t>
      </w:r>
    </w:p>
    <w:p>
      <w:pPr>
        <w:numPr>
          <w:ilvl w:val="1"/>
          <w:numId w:val="1013"/>
        </w:numPr>
        <w:pStyle w:val="Compact"/>
      </w:pPr>
      <w:r>
        <w:t xml:space="preserve">Calculated Recycling Credit: 1.12 kg * -3 kgCO₂e/kg = -3.36 kgCO₂e</w:t>
      </w:r>
    </w:p>
    <w:p>
      <w:pPr>
        <w:numPr>
          <w:ilvl w:val="0"/>
          <w:numId w:val="1011"/>
        </w:numPr>
        <w:pStyle w:val="Compact"/>
      </w:pPr>
      <w:r>
        <w:rPr>
          <w:bCs/>
          <w:b/>
        </w:rPr>
        <w:t xml:space="preserve">Net End-of-Life Emissions:</w:t>
      </w:r>
      <w:r>
        <w:t xml:space="preserve"> </w:t>
      </w:r>
      <w:r>
        <w:t xml:space="preserve">0.48 kgCO₂e - 3.36 kgCO₂e = -2.88 kgCO₂e</w:t>
      </w:r>
    </w:p>
    <w:bookmarkEnd w:id="34"/>
    <w:bookmarkEnd w:id="35"/>
    <w:bookmarkStart w:id="36" w:name="Xe6623bbb49d11d0d669997daaeff9fb0f908dc2"/>
    <w:p>
      <w:pPr>
        <w:pStyle w:val="Heading4"/>
      </w:pPr>
      <w:r>
        <w:t xml:space="preserve">Summary of Calculated Emissions (per 1.0 unit of rpzweegwxg)</w:t>
      </w:r>
    </w:p>
    <w:p>
      <w:pPr>
        <w:pStyle w:val="FirstParagraph"/>
      </w:pPr>
      <w:r>
        <w:t xml:space="preserve">All values in kgCO₂e.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Emissions (kgCO₂e)</w:t>
            </w:r>
          </w:p>
        </w:tc>
      </w:tr>
      <w:tr>
        <w:tc>
          <w:tcPr/>
          <w:p>
            <w:pPr>
              <w:pStyle w:val="Compact"/>
              <w:jc w:val="left"/>
            </w:pPr>
            <w:r>
              <w:rPr>
                <w:bCs/>
                <w:b/>
              </w:rPr>
              <w:t xml:space="preserve">Scope 1</w:t>
            </w:r>
          </w:p>
        </w:tc>
        <w:tc>
          <w:tcPr/>
          <w:p>
            <w:pPr>
              <w:pStyle w:val="Compact"/>
              <w:jc w:val="left"/>
            </w:pPr>
            <w:r>
              <w:t xml:space="preserve">Direct Emissions (On-site operations)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3.10</w:t>
            </w:r>
          </w:p>
        </w:tc>
      </w:tr>
      <w:tr>
        <w:tc>
          <w:tcPr/>
          <w:p>
            <w:pPr>
              <w:pStyle w:val="Compact"/>
              <w:jc w:val="left"/>
            </w:pPr>
            <w:r>
              <w:rPr>
                <w:bCs/>
                <w:b/>
              </w:rPr>
              <w:t xml:space="preserve">Scope 3, Category 1</w:t>
            </w:r>
          </w:p>
        </w:tc>
        <w:tc>
          <w:tcPr/>
          <w:p>
            <w:pPr>
              <w:pStyle w:val="Compact"/>
              <w:jc w:val="left"/>
            </w:pPr>
            <w:r>
              <w:t xml:space="preserve">Purchased Goods and Services (Materials)</w:t>
            </w:r>
          </w:p>
        </w:tc>
        <w:tc>
          <w:tcPr/>
          <w:p>
            <w:pPr>
              <w:pStyle w:val="Compact"/>
              <w:jc w:val="left"/>
            </w:pPr>
            <w:r>
              <w:t xml:space="preserve">11.47</w:t>
            </w:r>
          </w:p>
        </w:tc>
      </w:tr>
      <w:tr>
        <w:tc>
          <w:tcPr/>
          <w:p>
            <w:pPr>
              <w:pStyle w:val="Compact"/>
              <w:jc w:val="left"/>
            </w:pPr>
            <w:r>
              <w:rPr>
                <w:bCs/>
                <w:b/>
              </w:rPr>
              <w:t xml:space="preserve">Scope 3, Category 4</w:t>
            </w:r>
          </w:p>
        </w:tc>
        <w:tc>
          <w:tcPr/>
          <w:p>
            <w:pPr>
              <w:pStyle w:val="Compact"/>
              <w:jc w:val="left"/>
            </w:pPr>
            <w:r>
              <w:t xml:space="preserve">Upstream Transportation and Distribution</w:t>
            </w:r>
          </w:p>
        </w:tc>
        <w:tc>
          <w:tcPr/>
          <w:p>
            <w:pPr>
              <w:pStyle w:val="Compact"/>
              <w:jc w:val="left"/>
            </w:pPr>
            <w:r>
              <w:t xml:space="preserve">0.52</w:t>
            </w:r>
          </w:p>
        </w:tc>
      </w:tr>
      <w:tr>
        <w:tc>
          <w:tcPr/>
          <w:p>
            <w:pPr>
              <w:pStyle w:val="Compact"/>
              <w:jc w:val="left"/>
            </w:pPr>
            <w:r>
              <w:rPr>
                <w:bCs/>
                <w:b/>
              </w:rPr>
              <w:t xml:space="preserve">Scope 3, Category 9</w:t>
            </w:r>
          </w:p>
        </w:tc>
        <w:tc>
          <w:tcPr/>
          <w:p>
            <w:pPr>
              <w:pStyle w:val="Compact"/>
              <w:jc w:val="left"/>
            </w:pPr>
            <w:r>
              <w:t xml:space="preserve">Downstream Transportation and Distribution</w:t>
            </w:r>
          </w:p>
        </w:tc>
        <w:tc>
          <w:tcPr/>
          <w:p>
            <w:pPr>
              <w:pStyle w:val="Compact"/>
              <w:jc w:val="left"/>
            </w:pPr>
            <w:r>
              <w:t xml:space="preserve">0.60</w:t>
            </w:r>
          </w:p>
        </w:tc>
      </w:tr>
      <w:tr>
        <w:tc>
          <w:tcPr/>
          <w:p>
            <w:pPr>
              <w:pStyle w:val="Compact"/>
              <w:jc w:val="left"/>
            </w:pPr>
            <w:r>
              <w:rPr>
                <w:bCs/>
                <w:b/>
              </w:rPr>
              <w:t xml:space="preserve">Scope 3, Category 11</w:t>
            </w:r>
          </w:p>
        </w:tc>
        <w:tc>
          <w:tcPr/>
          <w:p>
            <w:pPr>
              <w:pStyle w:val="Compact"/>
              <w:jc w:val="left"/>
            </w:pPr>
            <w:r>
              <w:t xml:space="preserve">Use of Sold Products</w:t>
            </w:r>
          </w:p>
        </w:tc>
        <w:tc>
          <w:tcPr/>
          <w:p>
            <w:pPr>
              <w:pStyle w:val="Compact"/>
              <w:jc w:val="left"/>
            </w:pPr>
            <w:r>
              <w:t xml:space="preserve">62.50</w:t>
            </w:r>
          </w:p>
        </w:tc>
      </w:tr>
      <w:tr>
        <w:tc>
          <w:tcPr/>
          <w:p>
            <w:pPr>
              <w:pStyle w:val="Compact"/>
              <w:jc w:val="left"/>
            </w:pPr>
            <w:r>
              <w:rPr>
                <w:bCs/>
                <w:b/>
              </w:rPr>
              <w:t xml:space="preserve">Scope 3, Category 12</w:t>
            </w:r>
          </w:p>
        </w:tc>
        <w:tc>
          <w:tcPr/>
          <w:p>
            <w:pPr>
              <w:pStyle w:val="Compact"/>
              <w:jc w:val="left"/>
            </w:pPr>
            <w:r>
              <w:t xml:space="preserve">End-of-Life Treatment of Sold Products</w:t>
            </w:r>
          </w:p>
        </w:tc>
        <w:tc>
          <w:tcPr/>
          <w:p>
            <w:pPr>
              <w:pStyle w:val="Compact"/>
              <w:jc w:val="left"/>
            </w:pPr>
            <w:r>
              <w:t xml:space="preserve">-2.88</w:t>
            </w:r>
          </w:p>
        </w:tc>
      </w:tr>
      <w:tr>
        <w:tc>
          <w:tcPr>
            <w:gridSpan w:val="2"/>
          </w:tcPr>
          <w:p>
            <w:pPr>
              <w:pStyle w:val="Compact"/>
              <w:jc w:val="left"/>
            </w:pPr>
            <w:r>
              <w:rPr>
                <w:bCs/>
                <w:b/>
              </w:rPr>
              <w:t xml:space="preserve">TOTAL PRODUCT CARBON FOOTPRINT:</w:t>
            </w:r>
          </w:p>
        </w:tc>
        <w:tc>
          <w:tcPr/>
          <w:p>
            <w:pPr>
              <w:pStyle w:val="Compact"/>
              <w:jc w:val="left"/>
            </w:pPr>
            <w:r>
              <w:rPr>
                <w:bCs/>
                <w:b/>
              </w:rPr>
              <w:t xml:space="preserve">75.31 kgCO₂e</w:t>
            </w:r>
          </w:p>
        </w:tc>
      </w:tr>
    </w:tbl>
    <w:p>
      <w:pPr>
        <w:pStyle w:val="BodyText"/>
      </w:pPr>
      <w:r>
        <w:t xml:space="preserve">The total Product Carbon Footprint for</w:t>
      </w:r>
      <w:r>
        <w:t xml:space="preserve"> </w:t>
      </w:r>
      <w:r>
        <w:rPr>
          <w:bCs/>
          <w:b/>
        </w:rPr>
        <w:t xml:space="preserve">rpzweegwxg</w:t>
      </w:r>
      <w:r>
        <w:t xml:space="preserve">, based on the provided parameters and illustrative emission factors, is approximately</w:t>
      </w:r>
      <w:r>
        <w:t xml:space="preserve"> </w:t>
      </w:r>
      <w:r>
        <w:rPr>
          <w:bCs/>
          <w:b/>
        </w:rPr>
        <w:t xml:space="preserve">75.31 kgCO₂e per unit</w:t>
      </w:r>
      <w:r>
        <w:t xml:space="preserve">.</w:t>
      </w:r>
    </w:p>
    <w:bookmarkEnd w:id="36"/>
    <w:bookmarkStart w:id="37" w:name="Xa0167153afb08617bc1ef66f877fb2c58fdaeda"/>
    <w:p>
      <w:pPr>
        <w:pStyle w:val="Heading4"/>
      </w:pPr>
      <w:r>
        <w:t xml:space="preserve">Adherence to GHG Protocol and 2026 LSR Update</w:t>
      </w:r>
    </w:p>
    <w:p>
      <w:pPr>
        <w:numPr>
          <w:ilvl w:val="0"/>
          <w:numId w:val="1014"/>
        </w:numPr>
        <w:pStyle w:val="Compact"/>
      </w:pPr>
      <w:r>
        <w:rPr>
          <w:bCs/>
          <w:b/>
        </w:rPr>
        <w:t xml:space="preserve">GHG Protocol Compliance:</w:t>
      </w:r>
      <w:r>
        <w:t xml:space="preserve"> </w:t>
      </w:r>
      <w:r>
        <w:t xml:space="preserve">Emissions have been systematically categorized into Scope 1, Scope 2, and the relevant Scope 3 categories, adhering to the GHG Protocol\'s framework.</w:t>
      </w:r>
    </w:p>
    <w:p>
      <w:pPr>
        <w:numPr>
          <w:ilvl w:val="0"/>
          <w:numId w:val="1014"/>
        </w:numPr>
        <w:pStyle w:val="Compact"/>
      </w:pPr>
      <w:r>
        <w:rPr>
          <w:bCs/>
          <w:b/>
        </w:rPr>
        <w:t xml:space="preserve">2026 LSR Update:</w:t>
      </w:r>
      <w:r>
        <w:t xml:space="preserve"> </w:t>
      </w:r>
      <w:r>
        <w:t xml:space="preserve">The analysis acknowledges the application of the Land Sector and Removals (LSR) Standard (v1.0 released January 30, 2026, effective January 1, 2027). While specific land-use change or carbon removal data for direct application in this product PCF was not provided in the parameters, the principles of transparent accounting for land-based emissions and removals (e.g., reporting removals separately) are considered in the methodology design. Future iterations would integrate detailed LSR data where applicable, particularly for bio-based materials or land-intensive processes in the supply chain.</w:t>
      </w:r>
    </w:p>
    <w:p>
      <w:pPr>
        <w:numPr>
          <w:ilvl w:val="0"/>
          <w:numId w:val="1014"/>
        </w:numPr>
        <w:pStyle w:val="Compact"/>
      </w:pPr>
      <w:r>
        <w:rPr>
          <w:bCs/>
          <w:b/>
        </w:rPr>
        <w:t xml:space="preserve">Scope 3 Coverage:</w:t>
      </w:r>
      <w:r>
        <w:t xml:space="preserve"> </w:t>
      </w:r>
      <w:r>
        <w:t xml:space="preserve">This analysis incorporates key Scope 3 categories: Purchased Goods and Services (materials), Upstream/Downstream Transportation and Distribution, Use of Sold Products, and End-of-Life Treatment. These categories represent the most significant emission sources for typical manufactured products, aiming to achieve at least 95% coverage of total Scope 3 emissions, in line with 2026 reporting requirements.</w:t>
      </w:r>
    </w:p>
    <w:bookmarkEnd w:id="37"/>
    <w:bookmarkEnd w:id="38"/>
    <w:bookmarkStart w:id="41" w:name="review-report"/>
    <w:p>
      <w:pPr>
        <w:pStyle w:val="Heading3"/>
      </w:pPr>
      <w:r>
        <w:t xml:space="preserve">5. Review &amp; Report</w:t>
      </w:r>
    </w:p>
    <w:p>
      <w:pPr>
        <w:pStyle w:val="FirstParagraph"/>
      </w:pPr>
      <w:r>
        <w:t xml:space="preserve">The review phase identifies emission hotspots and assesses the reliability of the analysis.</w:t>
      </w:r>
    </w:p>
    <w:bookmarkStart w:id="39" w:name="emission-hotspots"/>
    <w:p>
      <w:pPr>
        <w:pStyle w:val="Heading4"/>
      </w:pPr>
      <w:r>
        <w:t xml:space="preserve">Emission Hotspots</w:t>
      </w:r>
    </w:p>
    <w:p>
      <w:pPr>
        <w:pStyle w:val="FirstParagraph"/>
      </w:pPr>
      <w:r>
        <w:t xml:space="preserve">Based on the calculations, the primary emission hotspots for</w:t>
      </w:r>
      <w:r>
        <w:t xml:space="preserve"> </w:t>
      </w:r>
      <w:r>
        <w:rPr>
          <w:bCs/>
          <w:b/>
        </w:rPr>
        <w:t xml:space="preserve">rpzweegwxg</w:t>
      </w:r>
      <w:r>
        <w:t xml:space="preserve"> </w:t>
      </w:r>
      <w:r>
        <w:t xml:space="preserve">are:</w:t>
      </w:r>
    </w:p>
    <w:p>
      <w:pPr>
        <w:numPr>
          <w:ilvl w:val="0"/>
          <w:numId w:val="1015"/>
        </w:numPr>
        <w:pStyle w:val="Compact"/>
      </w:pPr>
      <w:r>
        <w:rPr>
          <w:bCs/>
          <w:b/>
        </w:rPr>
        <w:t xml:space="preserve">Use Phase (Scope 3, Category 11):</w:t>
      </w:r>
      <w:r>
        <w:t xml:space="preserve"> </w:t>
      </w:r>
      <w:r>
        <w:t xml:space="preserve">This stage accounts for the largest portion of the total PCF (approximately 83% of total emissions), primarily due to the energy consumption of the product over its 5-year lifespan. This highlights the importance of product energy efficiency and renewable energy sources for end-users.</w:t>
      </w:r>
    </w:p>
    <w:p>
      <w:pPr>
        <w:numPr>
          <w:ilvl w:val="0"/>
          <w:numId w:val="1015"/>
        </w:numPr>
        <w:pStyle w:val="Compact"/>
      </w:pPr>
      <w:r>
        <w:rPr>
          <w:bCs/>
          <w:b/>
        </w:rPr>
        <w:t xml:space="preserve">Purchased Goods and Services (Scope 3, Category 1):</w:t>
      </w:r>
      <w:r>
        <w:t xml:space="preserve"> </w:t>
      </w:r>
      <w:r>
        <w:t xml:space="preserve">Material production contributes significantly (approximately 15% of total emissions), with Aluminum Casing, PCBs, and Battery Packs being major contributors. Sourcing lower-carbon materials and increasing recycled content can reduce this impact.</w:t>
      </w:r>
    </w:p>
    <w:p>
      <w:pPr>
        <w:numPr>
          <w:ilvl w:val="0"/>
          <w:numId w:val="1015"/>
        </w:numPr>
        <w:pStyle w:val="Compact"/>
      </w:pPr>
      <w:r>
        <w:rPr>
          <w:bCs/>
          <w:b/>
        </w:rPr>
        <w:t xml:space="preserve">Manufacturing (Scope 2):</w:t>
      </w:r>
      <w:r>
        <w:t xml:space="preserve"> </w:t>
      </w:r>
      <w:r>
        <w:t xml:space="preserve">While smaller than the use phase, purchased electricity for manufacturing still represents a notable portion (approximately 4% of total emissions). Increasing renewable energy usage in the production facility is crucial here.</w:t>
      </w:r>
    </w:p>
    <w:bookmarkEnd w:id="39"/>
    <w:bookmarkStart w:id="40" w:name="reliability-and-limitations"/>
    <w:p>
      <w:pPr>
        <w:pStyle w:val="Heading4"/>
      </w:pPr>
      <w:r>
        <w:t xml:space="preserve">Reliability and Limitations</w:t>
      </w:r>
    </w:p>
    <w:p>
      <w:pPr>
        <w:numPr>
          <w:ilvl w:val="0"/>
          <w:numId w:val="1016"/>
        </w:numPr>
        <w:pStyle w:val="Compact"/>
      </w:pPr>
      <w:r>
        <w:t xml:space="preserve">The reliability of this report is directly tied to the accuracy and completeness of the input data. Primary data for BOM, energy usage, and logistics were used as provided.</w:t>
      </w:r>
    </w:p>
    <w:p>
      <w:pPr>
        <w:numPr>
          <w:ilvl w:val="0"/>
          <w:numId w:val="1016"/>
        </w:numPr>
        <w:pStyle w:val="Compact"/>
      </w:pPr>
      <w:r>
        <w:t xml:space="preserve">Illustrative emission factors from industry-standard databases (e.g., DEFRA, Climatiq, general averages from search) were applied for various processes and transport modes where specific `sxxoghiu` EFs were not granular or for generic parameters. While representative, actual values may vary depending on specific supplier data, geographic nuances, and real-world operational efficiencies.</w:t>
      </w:r>
    </w:p>
    <w:p>
      <w:pPr>
        <w:numPr>
          <w:ilvl w:val="0"/>
          <w:numId w:val="1016"/>
        </w:numPr>
        <w:pStyle w:val="Compact"/>
      </w:pPr>
      <w:r>
        <w:t xml:space="preserve">The system boundary was adapted from "factory_gate" to include downstream elements (Use Phase, EoL) as per the specific instructions to expand these calculations. This provides a more holistic view than a strict cradle-to-gate approach.</w:t>
      </w:r>
    </w:p>
    <w:p>
      <w:pPr>
        <w:numPr>
          <w:ilvl w:val="0"/>
          <w:numId w:val="1016"/>
        </w:numPr>
        <w:pStyle w:val="Compact"/>
      </w:pPr>
      <w:r>
        <w:t xml:space="preserve">The impact of the 2026 LSR Standard is acknowledged, but specific detailed calculations for land use change or biogenic carbon removals were not performed due to the absence of relevant data in the provided parameters.</w:t>
      </w:r>
    </w:p>
    <w:p>
      <w:r>
        <w:pict>
          <v:rect style="width:0;height:1.5pt" o:hralign="center" o:hrstd="t" o:hr="t"/>
        </w:pict>
      </w:r>
    </w:p>
    <w:p>
      <w:pPr>
        <w:pStyle w:val="FirstParagraph"/>
      </w:pPr>
      <w:r>
        <w:t xml:space="preserve">Confidential - Internal Use Only.</w:t>
      </w:r>
    </w:p>
    <w:bookmarkEnd w:id="40"/>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rpzweegwxg</dc:title>
  <dc:creator/>
  <dc:description>High-detail Product Carbon Footprint (PCF) analysis report for product rpzweegwxg, following GHG Protocol standards and incorporating 2026 LSR updates.</dc:description>
  <dc:language>en</dc:language>
  <cp:keywords/>
  <dcterms:created xsi:type="dcterms:W3CDTF">2026-07-15T12:43:42Z</dcterms:created>
  <dcterms:modified xsi:type="dcterms:W3CDTF">2026-07-15T12:43:42Z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