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rpdszohfph</w:t>
      </w:r>
      <w:r>
        <w:t xml:space="preserve"> </w:t>
      </w:r>
      <w:r>
        <w:t xml:space="preserve">-</w:t>
      </w:r>
      <w:r>
        <w:t xml:space="preserve"> </w:t>
      </w:r>
      <w:r>
        <w:t xml:space="preserve">enrmequmpv</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rpdszohfph"/>
    <w:p>
      <w:pPr>
        <w:pStyle w:val="Heading2"/>
      </w:pPr>
      <w:r>
        <w:t xml:space="preserve">For Product: rpdszohfph</w:t>
      </w:r>
    </w:p>
    <w:p>
      <w:pPr>
        <w:pStyle w:val="FirstParagraph"/>
      </w:pPr>
      <w:r>
        <w:t xml:space="preserve">**Company Name:** enrmequmpv</w:t>
      </w:r>
    </w:p>
    <w:p>
      <w:pPr>
        <w:pStyle w:val="BodyText"/>
      </w:pPr>
      <w:r>
        <w:t xml:space="preserve">**Accounting Standard:** GHG Protocol</w:t>
      </w:r>
    </w:p>
    <w:p>
      <w:pPr>
        <w:pStyle w:val="BodyText"/>
      </w:pPr>
      <w:r>
        <w:t xml:space="preserve">**Senior Sustainability Consultant:** urvdpwxsxn</w:t>
      </w:r>
    </w:p>
    <w:p>
      <w:pPr>
        <w:pStyle w:val="BodyText"/>
      </w:pPr>
      <w:r>
        <w:t xml:space="preserve">This report is generated based on available data and industry standards. While every effort has been made to ensure accuracy, the actual carbon footprint may vary based on real-time operational specifics and further primary data collection. Calculations for this report rely on example placeholder data and assumed emission factors for illustrative purposes, as specific values for all parameters were not provided beyond their nominal identifiers.</w:t>
      </w:r>
    </w:p>
    <w:bookmarkEnd w:id="20"/>
    <w:bookmarkEnd w:id="21"/>
    <w:bookmarkStart w:id="22" w:name="Xa26c4f39bb49e56e8f35ec967032c068a7d7d95"/>
    <w:p>
      <w:pPr>
        <w:pStyle w:val="Heading1"/>
      </w:pPr>
      <w:r>
        <w:t xml:space="preserve">Product Carbon Footprint Analysis for rpdszohfph</w:t>
      </w:r>
    </w:p>
    <w:p>
      <w:pPr>
        <w:pStyle w:val="FirstParagraph"/>
      </w:pPr>
      <w:r>
        <w:rPr>
          <w:bCs/>
          <w:b/>
        </w:rPr>
        <w:t xml:space="preserve">Generated Date:</w:t>
      </w:r>
      <w:r>
        <w:t xml:space="preserve"> </w:t>
      </w:r>
      <w:r>
        <w:t xml:space="preserve">May 21, 2026</w:t>
      </w:r>
    </w:p>
    <w:p>
      <w:pPr>
        <w:pStyle w:val="BodyText"/>
      </w:pPr>
      <w:r>
        <w:rPr>
          <w:bCs/>
          <w:b/>
        </w:rPr>
        <w:t xml:space="preserve">Senior Sustainability Consultant:</w:t>
      </w:r>
      <w:r>
        <w:t xml:space="preserve"> </w:t>
      </w:r>
      <w:r>
        <w:t xml:space="preserve">urvdpwxsxn</w:t>
      </w:r>
    </w:p>
    <w:p>
      <w:pPr>
        <w:pStyle w:val="BodyText"/>
      </w:pPr>
      <w:r>
        <w:rPr>
          <w:bCs/>
          <w:b/>
        </w:rPr>
        <w:t xml:space="preserve">Company Name:</w:t>
      </w:r>
      <w:r>
        <w:t xml:space="preserve"> </w:t>
      </w:r>
      <w:r>
        <w:t xml:space="preserve">enrmequmpv</w:t>
      </w:r>
    </w:p>
    <w:p>
      <w:pPr>
        <w:pStyle w:val="BodyText"/>
      </w:pPr>
      <w:r>
        <w:rPr>
          <w:bCs/>
          <w:b/>
        </w:rPr>
        <w:t xml:space="preserve">Product Name:</w:t>
      </w:r>
      <w:r>
        <w:t xml:space="preserve"> </w:t>
      </w:r>
      <w:r>
        <w:t xml:space="preserve">rpdszohfph</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rpdszohfph, manufactured by enrmequmpv. The analysis was conducted by urvdpwxsxn, Senior Sustainability Consultant, adhering strictly to the Greenhouse Gas (GHG) Protocol standards. The objective is to quantify the total greenhouse gas emissions (in CO2e) across the product\'s lifecycle from a "factory-gate" system boundary, encompassing material acquisition, manufacturing, transportation, use phase, and end-of-life. This assessment incorporates critical 2026 updates to the GHG Protocol, including enhanced Scope 3 reporting requirements for 95% coverage and the application of the Land Sector and Removals (LSR) Standard where applicable. The analysis identifies key emission hotspots and provides a foundational understanding for enrmequmpv to develop targeted decarbonization strategies.</w:t>
      </w:r>
    </w:p>
    <w:bookmarkEnd w:id="23"/>
    <w:p>
      <w:r>
        <w:pict>
          <v:rect style="width:0;height:1.5pt" o:hralign="center" o:hrstd="t" o:hr="t"/>
        </w:pict>
      </w:r>
    </w:p>
    <w:bookmarkStart w:id="29" w:name="methodology"/>
    <w:p>
      <w:pPr>
        <w:pStyle w:val="Heading2"/>
      </w:pPr>
      <w:r>
        <w:t xml:space="preserve">Methodology</w:t>
      </w:r>
    </w:p>
    <w:p>
      <w:pPr>
        <w:pStyle w:val="FirstParagraph"/>
      </w:pPr>
      <w:r>
        <w:t xml:space="preserve">The Product Carbon Footprint (PCF) analysis for rpdszohfph follows a systematic five-step methodology in accordance with the GHG Protocol Product Standard:</w:t>
      </w:r>
    </w:p>
    <w:p>
      <w:pPr>
        <w:numPr>
          <w:ilvl w:val="0"/>
          <w:numId w:val="1001"/>
        </w:numPr>
        <w:pStyle w:val="Heading3"/>
      </w:pPr>
      <w:bookmarkStart w:id="24" w:name="define-scope"/>
      <w:r>
        <w:t xml:space="preserve">Define Scope</w:t>
      </w:r>
      <w:bookmarkEnd w:id="24"/>
    </w:p>
    <w:p>
      <w:pPr>
        <w:numPr>
          <w:ilvl w:val="1"/>
          <w:numId w:val="1002"/>
        </w:numPr>
        <w:pStyle w:val="Compact"/>
      </w:pPr>
      <w:r>
        <w:rPr>
          <w:bCs/>
          <w:b/>
        </w:rPr>
        <w:t xml:space="preserve">Functional Unit:</w:t>
      </w:r>
      <w:r>
        <w:t xml:space="preserve"> </w:t>
      </w:r>
      <w:r>
        <w:t xml:space="preserve">1.0 unit of rpdszohfph.</w:t>
      </w:r>
    </w:p>
    <w:p>
      <w:pPr>
        <w:numPr>
          <w:ilvl w:val="1"/>
          <w:numId w:val="1002"/>
        </w:numPr>
        <w:pStyle w:val="Compact"/>
      </w:pPr>
      <w:r>
        <w:rPr>
          <w:bCs/>
          <w:b/>
        </w:rPr>
        <w:t xml:space="preserve">System Boundary:</w:t>
      </w:r>
      <w:r>
        <w:t xml:space="preserve"> </w:t>
      </w:r>
      <w:r>
        <w:t xml:space="preserve">Factory-gate, covering raw material extraction and processing, manufacturing, inbound and outbound transportation, the use phase, and end-of-life treatment.</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Environmental impacts are allocated to the functional unit based on mass and economic value where appropriate, ensuring consistency and avoiding double-counting.</w:t>
      </w:r>
    </w:p>
    <w:p>
      <w:pPr>
        <w:numPr>
          <w:ilvl w:val="0"/>
          <w:numId w:val="1001"/>
        </w:numPr>
        <w:pStyle w:val="Heading3"/>
      </w:pPr>
      <w:bookmarkStart w:id="25" w:name="map-lifecycle-lci-inventory-stages"/>
      <w:r>
        <w:t xml:space="preserve">Map Lifecycle (LCI Inventory Stages)</w:t>
      </w:r>
      <w:bookmarkEnd w:id="25"/>
    </w:p>
    <w:p>
      <w:pPr>
        <w:numPr>
          <w:ilvl w:val="0"/>
          <w:numId w:val="1000"/>
        </w:numPr>
      </w:pPr>
      <w:r>
        <w:t xml:space="preserve">The lifecycle of rpdszohfph is mapped across the following stages:</w:t>
      </w:r>
    </w:p>
    <w:p>
      <w:pPr>
        <w:numPr>
          <w:ilvl w:val="1"/>
          <w:numId w:val="1003"/>
        </w:numPr>
        <w:pStyle w:val="Compact"/>
      </w:pPr>
      <w:r>
        <w:rPr>
          <w:bCs/>
          <w:b/>
        </w:rPr>
        <w:t xml:space="preserve">Materials Acquisition &amp; Pre-processing:</w:t>
      </w:r>
      <w:r>
        <w:t xml:space="preserve"> </w:t>
      </w:r>
      <w:r>
        <w:t xml:space="preserve">Extraction, cultivation, and initial processing of all raw materials constituting the product and its packaging.</w:t>
      </w:r>
    </w:p>
    <w:p>
      <w:pPr>
        <w:numPr>
          <w:ilvl w:val="1"/>
          <w:numId w:val="1003"/>
        </w:numPr>
        <w:pStyle w:val="Compact"/>
      </w:pPr>
      <w:r>
        <w:rPr>
          <w:bCs/>
          <w:b/>
        </w:rPr>
        <w:t xml:space="preserve">Manufacturing:</w:t>
      </w:r>
      <w:r>
        <w:t xml:space="preserve"> </w:t>
      </w:r>
      <w:r>
        <w:t xml:space="preserve">All energy consumption and process emissions directly related to the production and assembly of rpdszohfph at enrmequmpv\'s facility in China.</w:t>
      </w:r>
    </w:p>
    <w:p>
      <w:pPr>
        <w:numPr>
          <w:ilvl w:val="1"/>
          <w:numId w:val="1003"/>
        </w:numPr>
        <w:pStyle w:val="Compact"/>
      </w:pPr>
      <w:r>
        <w:rPr>
          <w:bCs/>
          <w:b/>
        </w:rPr>
        <w:t xml:space="preserve">Transport (Inbound &amp; Outbound):</w:t>
      </w:r>
      <w:r>
        <w:t xml:space="preserve"> </w:t>
      </w:r>
      <w:r>
        <w:t xml:space="preserve">Transportation of raw materials and components to the manufacturing facility, and transportation of the finished product to the customer.</w:t>
      </w:r>
    </w:p>
    <w:p>
      <w:pPr>
        <w:numPr>
          <w:ilvl w:val="1"/>
          <w:numId w:val="1003"/>
        </w:numPr>
        <w:pStyle w:val="Compact"/>
      </w:pPr>
      <w:r>
        <w:rPr>
          <w:bCs/>
          <w:b/>
        </w:rPr>
        <w:t xml:space="preserve">Use Phase:</w:t>
      </w:r>
      <w:r>
        <w:t xml:space="preserve"> </w:t>
      </w:r>
      <w:r>
        <w:t xml:space="preserve">Energy consumption and associated emissions during the product\'s expected lifespan by the end-user.</w:t>
      </w:r>
    </w:p>
    <w:p>
      <w:pPr>
        <w:numPr>
          <w:ilvl w:val="1"/>
          <w:numId w:val="1003"/>
        </w:numPr>
        <w:pStyle w:val="Compact"/>
      </w:pPr>
      <w:r>
        <w:rPr>
          <w:bCs/>
          <w:b/>
        </w:rPr>
        <w:t xml:space="preserve">End-of-Life (EoL):</w:t>
      </w:r>
      <w:r>
        <w:t xml:space="preserve"> </w:t>
      </w:r>
      <w:r>
        <w:t xml:space="preserve">Emissions and potential avoided emissions associated with recycling, disposal, or other treatment pathways for the product at the end of its life.</w:t>
      </w:r>
    </w:p>
    <w:p>
      <w:pPr>
        <w:numPr>
          <w:ilvl w:val="0"/>
          <w:numId w:val="1001"/>
        </w:numPr>
        <w:pStyle w:val="Heading3"/>
      </w:pPr>
      <w:bookmarkStart w:id="26" w:name="Xb57f50a89bf1f3f1837369be949d9d60d6c1272"/>
      <w:r>
        <w:t xml:space="preserve">Collect Data (Primary/Secondary data points)</w:t>
      </w:r>
      <w:bookmarkEnd w:id="26"/>
    </w:p>
    <w:p>
      <w:pPr>
        <w:numPr>
          <w:ilvl w:val="0"/>
          <w:numId w:val="1000"/>
        </w:numPr>
      </w:pPr>
      <w:r>
        <w:t xml:space="preserve">Data collection prioritizes primary data for accuracy, supplemented by high-quality secondary data where primary data is unavailable or impractical to obtain. For this report, placeholder values have been used as provided by the user for key parameters to demonstrate the calculation methodology.</w:t>
      </w:r>
    </w:p>
    <w:p>
      <w:pPr>
        <w:numPr>
          <w:ilvl w:val="1"/>
          <w:numId w:val="1004"/>
        </w:numPr>
        <w:pStyle w:val="Compact"/>
      </w:pPr>
      <w:r>
        <w:rPr>
          <w:bCs/>
          <w:b/>
        </w:rPr>
        <w:t xml:space="preserve">Detailed Bill of Materials (BOM):</w:t>
      </w:r>
      <w:r>
        <w:t xml:space="preserve"> </w:t>
      </w:r>
      <w:r>
        <w:t xml:space="preserve">The provided BOM (rstqldos) has been utilized for precise material impact calculations. This includes ID, Description, Category, Process, Quantity, Unit, Emission Factor, and Total Carbon for each item.</w:t>
      </w:r>
    </w:p>
    <w:p>
      <w:pPr>
        <w:numPr>
          <w:ilvl w:val="1"/>
          <w:numId w:val="1004"/>
        </w:numPr>
        <w:pStyle w:val="Compact"/>
      </w:pPr>
      <w:r>
        <w:rPr>
          <w:bCs/>
          <w:b/>
        </w:rPr>
        <w:t xml:space="preserve">Manufacturing Energy Data:</w:t>
      </w:r>
      <w:r>
        <w:t xml:space="preserve"> </w:t>
      </w:r>
      <w:r>
        <w:t xml:space="preserve">Specific renewable energy usage (unerejrhpq) and energy intensity (zqfsihzkkk) for the production phase.</w:t>
      </w:r>
    </w:p>
    <w:p>
      <w:pPr>
        <w:numPr>
          <w:ilvl w:val="1"/>
          <w:numId w:val="1004"/>
        </w:numPr>
        <w:pStyle w:val="Compact"/>
      </w:pPr>
      <w:r>
        <w:rPr>
          <w:bCs/>
          <w:b/>
        </w:rPr>
        <w:t xml:space="preserve">Logistics Data:</w:t>
      </w:r>
      <w:r>
        <w:t xml:space="preserve"> </w:t>
      </w:r>
      <w:r>
        <w:t xml:space="preserve">Transport mode (Select Mode), distance (riyudstdoh), and last-mile delivery channel (Delivery Type).</w:t>
      </w:r>
    </w:p>
    <w:p>
      <w:pPr>
        <w:numPr>
          <w:ilvl w:val="1"/>
          <w:numId w:val="1004"/>
        </w:numPr>
        <w:pStyle w:val="Compact"/>
      </w:pPr>
      <w:r>
        <w:rPr>
          <w:bCs/>
          <w:b/>
        </w:rPr>
        <w:t xml:space="preserve">Use Phase Data:</w:t>
      </w:r>
      <w:r>
        <w:t xml:space="preserve"> </w:t>
      </w:r>
      <w:r>
        <w:t xml:space="preserve">Product lifespan (ygwflnwjiy) and energy consumption in use (nhedrhyndj).</w:t>
      </w:r>
    </w:p>
    <w:p>
      <w:pPr>
        <w:numPr>
          <w:ilvl w:val="1"/>
          <w:numId w:val="1004"/>
        </w:numPr>
        <w:pStyle w:val="Compact"/>
      </w:pPr>
      <w:r>
        <w:rPr>
          <w:bCs/>
          <w:b/>
        </w:rPr>
        <w:t xml:space="preserve">End-of-Life Data:</w:t>
      </w:r>
      <w:r>
        <w:t xml:space="preserve"> </w:t>
      </w:r>
      <w:r>
        <w:t xml:space="preserve">Recyclability percentage (nwhqrvgwhu) and circular/take-back programs (ertsozvmdf).</w:t>
      </w:r>
    </w:p>
    <w:p>
      <w:pPr>
        <w:numPr>
          <w:ilvl w:val="0"/>
          <w:numId w:val="1001"/>
        </w:numPr>
        <w:pStyle w:val="Heading3"/>
      </w:pPr>
      <w:bookmarkStart w:id="27" w:name="Xb404f6bea4a0013006ec7a9103609d9ea6643c1"/>
      <w:r>
        <w:t xml:space="preserve">Calculate Emissions (Activity * Emission Factor = CO2e)</w:t>
      </w:r>
      <w:bookmarkEnd w:id="27"/>
    </w:p>
    <w:p>
      <w:pPr>
        <w:numPr>
          <w:ilvl w:val="0"/>
          <w:numId w:val="1000"/>
        </w:numPr>
      </w:pPr>
      <w:r>
        <w:t xml:space="preserve">Emissions are calculated by multiplying activity data (e.g., kg of material, kWh of energy, tkm of transport) by relevant emission factors (CO2e per unit of activity). Industry-standard emission factors, often sourced from databases like Ecoinvent and DEFRA, have been assumed for demonstration purposes, with specific values detailed in the calculation section.</w:t>
      </w:r>
    </w:p>
    <w:p>
      <w:pPr>
        <w:numPr>
          <w:ilvl w:val="1"/>
          <w:numId w:val="1005"/>
        </w:numPr>
        <w:pStyle w:val="Compact"/>
      </w:pPr>
      <w:r>
        <w:rPr>
          <w:bCs/>
          <w:b/>
        </w:rPr>
        <w:t xml:space="preserve">GHG Protocol Adherence:</w:t>
      </w:r>
      <w:r>
        <w:t xml:space="preserve"> </w:t>
      </w:r>
      <w:r>
        <w:t xml:space="preserve">Emissions are categorized into Scope 1 (direct emissions), Scope 2 (purchased energy emissions), and Scope 3 (value chain emissions).</w:t>
      </w:r>
    </w:p>
    <w:p>
      <w:pPr>
        <w:numPr>
          <w:ilvl w:val="1"/>
          <w:numId w:val="1005"/>
        </w:numPr>
        <w:pStyle w:val="Compact"/>
      </w:pPr>
      <w:r>
        <w:rPr>
          <w:bCs/>
          <w:b/>
        </w:rPr>
        <w:t xml:space="preserve">2026 LSR Update:</w:t>
      </w:r>
      <w:r>
        <w:t xml:space="preserve"> </w:t>
      </w:r>
      <w:r>
        <w:t xml:space="preserve">The Land Sector and Removals (LSR) Standard, effective January 1, 2027, has been considered. While direct land-use emissions are not explicitly quantified for this product based on provided parameters, the framework for accounting for land-related emissions and removals is acknowledged for future application where relevant. The LSR Standard provides methods to quantify and report land emissions and CO₂ removals, as well as technological CO₂ removals.</w:t>
      </w:r>
    </w:p>
    <w:p>
      <w:pPr>
        <w:numPr>
          <w:ilvl w:val="1"/>
          <w:numId w:val="1005"/>
        </w:numPr>
        <w:pStyle w:val="Compact"/>
      </w:pPr>
      <w:r>
        <w:rPr>
          <w:bCs/>
          <w:b/>
        </w:rPr>
        <w:t xml:space="preserve">Scope 3 Compliance (2026 Requirements):</w:t>
      </w:r>
      <w:r>
        <w:t xml:space="preserve"> </w:t>
      </w:r>
      <w:r>
        <w:t xml:space="preserve">A target of at least 95% coverage for Scope 3 reporting has been applied to ensure comprehensive value chain emission quantification. This aligns with the 2026 GHG Protocol revisions aimed at moving away from "best-effort" estimates towards a financial-grade, auditable system. Mandatory data disaggregation by source type (primary vs. secondary) has also been considered in the approach.</w:t>
      </w:r>
    </w:p>
    <w:p>
      <w:pPr>
        <w:numPr>
          <w:ilvl w:val="0"/>
          <w:numId w:val="1001"/>
        </w:numPr>
        <w:pStyle w:val="Heading3"/>
      </w:pPr>
      <w:bookmarkStart w:id="28" w:name="review-report-hotspots-and-reliability"/>
      <w:r>
        <w:t xml:space="preserve">Review &amp; Report (Hotspots and reliability)</w:t>
      </w:r>
      <w:bookmarkEnd w:id="28"/>
    </w:p>
    <w:p>
      <w:pPr>
        <w:numPr>
          <w:ilvl w:val="0"/>
          <w:numId w:val="1000"/>
        </w:numPr>
      </w:pPr>
      <w:r>
        <w:t xml:space="preserve">The calculated emissions are reviewed for accuracy and completeness. Key emission hotspots are identified, and the reliability of the underlying data and assumptions is assessed. The findings are then reported to inform strategic decision-making.</w:t>
      </w:r>
    </w:p>
    <w:bookmarkEnd w:id="29"/>
    <w:p>
      <w:r>
        <w:pict>
          <v:rect style="width:0;height:1.5pt" o:hralign="center" o:hrstd="t" o:hr="t"/>
        </w:pict>
      </w:r>
    </w:p>
    <w:bookmarkStart w:id="30" w:name="key-parameters"/>
    <w:p>
      <w:pPr>
        <w:pStyle w:val="Heading2"/>
      </w:pPr>
      <w:r>
        <w:t xml:space="preserve">Key Parameters</w:t>
      </w:r>
    </w:p>
    <w:p>
      <w:pPr>
        <w:pStyle w:val="FirstParagraph"/>
      </w:pPr>
      <w:r>
        <w:t xml:space="preserve">The following parameters were used as inputs for this Product Carbon Footprint analysis: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Notes</w:t>
            </w:r>
          </w:p>
        </w:tc>
      </w:tr>
      <w:tr>
        <w:tc>
          <w:tcPr/>
          <w:p>
            <w:pPr>
              <w:pStyle w:val="Compact"/>
              <w:jc w:val="left"/>
            </w:pPr>
            <w:r>
              <w:t xml:space="preserve">Company Name</w:t>
            </w:r>
          </w:p>
        </w:tc>
        <w:tc>
          <w:tcPr/>
          <w:p>
            <w:pPr>
              <w:pStyle w:val="Compact"/>
              <w:jc w:val="left"/>
            </w:pPr>
            <w:r>
              <w:t xml:space="preserve">enrmequmpv</w:t>
            </w:r>
          </w:p>
        </w:tc>
        <w:tc>
          <w:tcPr/>
          <w:p>
            <w:pPr>
              <w:pStyle w:val="Compact"/>
              <w:jc w:val="left"/>
            </w:pPr>
            <w:r>
              <w:t xml:space="preserve">Reporting entity</w:t>
            </w:r>
          </w:p>
        </w:tc>
      </w:tr>
      <w:tr>
        <w:tc>
          <w:tcPr/>
          <w:p>
            <w:pPr>
              <w:pStyle w:val="Compact"/>
              <w:jc w:val="left"/>
            </w:pPr>
            <w:r>
              <w:t xml:space="preserve">Senior Sustainability Consultant</w:t>
            </w:r>
          </w:p>
        </w:tc>
        <w:tc>
          <w:tcPr/>
          <w:p>
            <w:pPr>
              <w:pStyle w:val="Compact"/>
              <w:jc w:val="left"/>
            </w:pPr>
            <w:r>
              <w:t xml:space="preserve">urvdpwxsxn</w:t>
            </w:r>
          </w:p>
        </w:tc>
        <w:tc>
          <w:tcPr/>
          <w:p>
            <w:pPr>
              <w:pStyle w:val="Compact"/>
              <w:jc w:val="left"/>
            </w:pPr>
            <w:r>
              <w:t xml:space="preserve">Consultant overseeing the analysis</w:t>
            </w:r>
          </w:p>
        </w:tc>
      </w:tr>
      <w:tr>
        <w:tc>
          <w:tcPr/>
          <w:p>
            <w:pPr>
              <w:pStyle w:val="Compact"/>
              <w:jc w:val="left"/>
            </w:pPr>
            <w:r>
              <w:t xml:space="preserve">Product Name</w:t>
            </w:r>
          </w:p>
        </w:tc>
        <w:tc>
          <w:tcPr/>
          <w:p>
            <w:pPr>
              <w:pStyle w:val="Compact"/>
              <w:jc w:val="left"/>
            </w:pPr>
            <w:r>
              <w:t xml:space="preserve">rpdszohfph</w:t>
            </w:r>
          </w:p>
        </w:tc>
        <w:tc>
          <w:tcPr/>
          <w:p>
            <w:pPr>
              <w:pStyle w:val="Compact"/>
              <w:jc w:val="left"/>
            </w:pPr>
            <w:r>
              <w:t xml:space="preserve">Product under analysis</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Basis for calculation</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Cradle-to-grave analysis, starting from raw material extraction up to end-of-life.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Location of manufacturing and key supply chain regions.</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Methodology followed for emissions quantification.</w:t>
            </w:r>
          </w:p>
        </w:tc>
      </w:tr>
      <w:tr>
        <w:tc>
          <w:tcPr/>
          <w:p>
            <w:pPr>
              <w:pStyle w:val="Compact"/>
              <w:jc w:val="left"/>
            </w:pPr>
            <w:r>
              <w:t xml:space="preserve">Detailed Bill of Materials (BOM)</w:t>
            </w:r>
          </w:p>
        </w:tc>
        <w:tc>
          <w:tcPr/>
          <w:p>
            <w:pPr>
              <w:pStyle w:val="Compact"/>
              <w:jc w:val="left"/>
            </w:pPr>
            <w:r>
              <w:t xml:space="preserve">rstqldos (example data used for calculation)</w:t>
            </w:r>
          </w:p>
        </w:tc>
        <w:tc>
          <w:tcPr/>
          <w:p>
            <w:pPr>
              <w:pStyle w:val="Compact"/>
              <w:jc w:val="left"/>
            </w:pPr>
            <w:r>
              <w:t xml:space="preserve">Detailed material inputs and their associated carbon values.</w:t>
            </w:r>
          </w:p>
        </w:tc>
      </w:tr>
      <w:tr>
        <w:tc>
          <w:tcPr/>
          <w:p>
            <w:pPr>
              <w:pStyle w:val="Compact"/>
              <w:jc w:val="left"/>
            </w:pPr>
            <w:r>
              <w:t xml:space="preserve">Transport Mode</w:t>
            </w:r>
          </w:p>
        </w:tc>
        <w:tc>
          <w:tcPr/>
          <w:p>
            <w:pPr>
              <w:pStyle w:val="Compact"/>
              <w:jc w:val="left"/>
            </w:pPr>
            <w:r>
              <w:t xml:space="preserve">Select Mode (Assumed: Heavy Goods Vehicle)</w:t>
            </w:r>
          </w:p>
        </w:tc>
        <w:tc>
          <w:tcPr/>
          <w:p>
            <w:pPr>
              <w:pStyle w:val="Compact"/>
              <w:jc w:val="left"/>
            </w:pPr>
            <w:r>
              <w:t xml:space="preserve">Primary mode for inbound/outbound logistics.</w:t>
            </w:r>
          </w:p>
        </w:tc>
      </w:tr>
      <w:tr>
        <w:tc>
          <w:tcPr/>
          <w:p>
            <w:pPr>
              <w:pStyle w:val="Compact"/>
              <w:jc w:val="left"/>
            </w:pPr>
            <w:r>
              <w:t xml:space="preserve">Transport Distance</w:t>
            </w:r>
          </w:p>
        </w:tc>
        <w:tc>
          <w:tcPr/>
          <w:p>
            <w:pPr>
              <w:pStyle w:val="Compact"/>
              <w:jc w:val="left"/>
            </w:pPr>
            <w:r>
              <w:t xml:space="preserve">riyudstdoh (Assumed: 2000 km)</w:t>
            </w:r>
          </w:p>
        </w:tc>
        <w:tc>
          <w:tcPr/>
          <w:p>
            <w:pPr>
              <w:pStyle w:val="Compact"/>
              <w:jc w:val="left"/>
            </w:pPr>
            <w:r>
              <w:t xml:space="preserve">Average distance for material and product transport.</w:t>
            </w:r>
          </w:p>
        </w:tc>
      </w:tr>
      <w:tr>
        <w:tc>
          <w:tcPr/>
          <w:p>
            <w:pPr>
              <w:pStyle w:val="Compact"/>
              <w:jc w:val="left"/>
            </w:pPr>
            <w:r>
              <w:t xml:space="preserve">Last-Mile Delivery Channel</w:t>
            </w:r>
          </w:p>
        </w:tc>
        <w:tc>
          <w:tcPr/>
          <w:p>
            <w:pPr>
              <w:pStyle w:val="Compact"/>
              <w:jc w:val="left"/>
            </w:pPr>
            <w:r>
              <w:t xml:space="preserve">Delivery Type (Assumed: Light Commercial Vehicle)</w:t>
            </w:r>
          </w:p>
        </w:tc>
        <w:tc>
          <w:tcPr/>
          <w:p>
            <w:pPr>
              <w:pStyle w:val="Compact"/>
              <w:jc w:val="left"/>
            </w:pPr>
            <w:r>
              <w:t xml:space="preserve">Method for final delivery to end-user.</w:t>
            </w:r>
          </w:p>
        </w:tc>
      </w:tr>
      <w:tr>
        <w:tc>
          <w:tcPr/>
          <w:p>
            <w:pPr>
              <w:pStyle w:val="Compact"/>
              <w:jc w:val="left"/>
            </w:pPr>
            <w:r>
              <w:t xml:space="preserve">Renewable Energy Usage</w:t>
            </w:r>
          </w:p>
        </w:tc>
        <w:tc>
          <w:tcPr/>
          <w:p>
            <w:pPr>
              <w:pStyle w:val="Compact"/>
              <w:jc w:val="left"/>
            </w:pPr>
            <w:r>
              <w:t xml:space="preserve">unerejrhpq (Assumed: 70%)</w:t>
            </w:r>
          </w:p>
        </w:tc>
        <w:tc>
          <w:tcPr/>
          <w:p>
            <w:pPr>
              <w:pStyle w:val="Compact"/>
              <w:jc w:val="left"/>
            </w:pPr>
            <w:r>
              <w:t xml:space="preserve">Percentage of renewable electricity used in manufacturing.</w:t>
            </w:r>
          </w:p>
        </w:tc>
      </w:tr>
      <w:tr>
        <w:tc>
          <w:tcPr/>
          <w:p>
            <w:pPr>
              <w:pStyle w:val="Compact"/>
              <w:jc w:val="left"/>
            </w:pPr>
            <w:r>
              <w:t xml:space="preserve">Energy Intensity (kWh/unit)</w:t>
            </w:r>
          </w:p>
        </w:tc>
        <w:tc>
          <w:tcPr/>
          <w:p>
            <w:pPr>
              <w:pStyle w:val="Compact"/>
              <w:jc w:val="left"/>
            </w:pPr>
            <w:r>
              <w:t xml:space="preserve">zqfsihzkkk (Assumed: 0.8 kWh/unit)</w:t>
            </w:r>
          </w:p>
        </w:tc>
        <w:tc>
          <w:tcPr/>
          <w:p>
            <w:pPr>
              <w:pStyle w:val="Compact"/>
              <w:jc w:val="left"/>
            </w:pPr>
            <w:r>
              <w:t xml:space="preserve">Electricity consumption per unit of product in manufacturing.</w:t>
            </w:r>
          </w:p>
        </w:tc>
      </w:tr>
      <w:tr>
        <w:tc>
          <w:tcPr/>
          <w:p>
            <w:pPr>
              <w:pStyle w:val="Compact"/>
              <w:jc w:val="left"/>
            </w:pPr>
            <w:r>
              <w:t xml:space="preserve">Product Lifespan</w:t>
            </w:r>
          </w:p>
        </w:tc>
        <w:tc>
          <w:tcPr/>
          <w:p>
            <w:pPr>
              <w:pStyle w:val="Compact"/>
              <w:jc w:val="left"/>
            </w:pPr>
            <w:r>
              <w:t xml:space="preserve">ygwflnwjiy (Assumed: 5 years)</w:t>
            </w:r>
          </w:p>
        </w:tc>
        <w:tc>
          <w:tcPr/>
          <w:p>
            <w:pPr>
              <w:pStyle w:val="Compact"/>
              <w:jc w:val="left"/>
            </w:pPr>
            <w:r>
              <w:t xml:space="preserve">Expected duration of product use.</w:t>
            </w:r>
          </w:p>
        </w:tc>
      </w:tr>
      <w:tr>
        <w:tc>
          <w:tcPr/>
          <w:p>
            <w:pPr>
              <w:pStyle w:val="Compact"/>
              <w:jc w:val="left"/>
            </w:pPr>
            <w:r>
              <w:t xml:space="preserve">Energy Consumption in Use</w:t>
            </w:r>
          </w:p>
        </w:tc>
        <w:tc>
          <w:tcPr/>
          <w:p>
            <w:pPr>
              <w:pStyle w:val="Compact"/>
              <w:jc w:val="left"/>
            </w:pPr>
            <w:r>
              <w:t xml:space="preserve">nhedrhyndj (Assumed: 10 kWh/year)</w:t>
            </w:r>
          </w:p>
        </w:tc>
        <w:tc>
          <w:tcPr/>
          <w:p>
            <w:pPr>
              <w:pStyle w:val="Compact"/>
              <w:jc w:val="left"/>
            </w:pPr>
            <w:r>
              <w:t xml:space="preserve">Annual energy consumed by the product during its use phase.</w:t>
            </w:r>
          </w:p>
        </w:tc>
      </w:tr>
      <w:tr>
        <w:tc>
          <w:tcPr/>
          <w:p>
            <w:pPr>
              <w:pStyle w:val="Compact"/>
              <w:jc w:val="left"/>
            </w:pPr>
            <w:r>
              <w:t xml:space="preserve">Recyclability Percentage</w:t>
            </w:r>
          </w:p>
        </w:tc>
        <w:tc>
          <w:tcPr/>
          <w:p>
            <w:pPr>
              <w:pStyle w:val="Compact"/>
              <w:jc w:val="left"/>
            </w:pPr>
            <w:r>
              <w:t xml:space="preserve">nwhqrvgwhu (Assumed: 60%)</w:t>
            </w:r>
          </w:p>
        </w:tc>
        <w:tc>
          <w:tcPr/>
          <w:p>
            <w:pPr>
              <w:pStyle w:val="Compact"/>
              <w:jc w:val="left"/>
            </w:pPr>
            <w:r>
              <w:t xml:space="preserve">Portion of the product\'s material recyclable at end-of-life.</w:t>
            </w:r>
          </w:p>
        </w:tc>
      </w:tr>
      <w:tr>
        <w:tc>
          <w:tcPr/>
          <w:p>
            <w:pPr>
              <w:pStyle w:val="Compact"/>
              <w:jc w:val="left"/>
            </w:pPr>
            <w:r>
              <w:t xml:space="preserve">Circular/Take-back Programs</w:t>
            </w:r>
          </w:p>
        </w:tc>
        <w:tc>
          <w:tcPr/>
          <w:p>
            <w:pPr>
              <w:pStyle w:val="Compact"/>
              <w:jc w:val="left"/>
            </w:pPr>
            <w:r>
              <w:t xml:space="preserve">ertsozvmdf (Assumed: Product take-back scheme with material recovery)</w:t>
            </w:r>
          </w:p>
        </w:tc>
        <w:tc>
          <w:tcPr/>
          <w:p>
            <w:pPr>
              <w:pStyle w:val="Compact"/>
              <w:jc w:val="left"/>
            </w:pPr>
            <w:r>
              <w:t xml:space="preserve">Existence and nature of circular economy initiatives.</w:t>
            </w:r>
          </w:p>
        </w:tc>
      </w:tr>
    </w:tbl>
    <w:p>
      <w:pPr>
        <w:pStyle w:val="BodyText"/>
      </w:pPr>
      <w:r>
        <w:t xml:space="preserve">Note: Values labeled "Assumed" are illustrative placeholder values used for calculation demonstration, as specific numerical data was indicated by placeholder strings in the prompt.</w:t>
      </w:r>
    </w:p>
    <w:bookmarkEnd w:id="30"/>
    <w:p>
      <w:r>
        <w:pict>
          <v:rect style="width:0;height:1.5pt" o:hralign="center" o:hrstd="t" o:hr="t"/>
        </w:pict>
      </w:r>
    </w:p>
    <w:bookmarkStart w:id="40" w:name="Xb35f503416c93fe7b086fa1acba544b7503fe19"/>
    <w:p>
      <w:pPr>
        <w:pStyle w:val="Heading2"/>
      </w:pPr>
      <w:r>
        <w:t xml:space="preserve">Detailed PCF Analysis and Calculations (Example)</w:t>
      </w:r>
    </w:p>
    <w:bookmarkStart w:id="31" w:name="assumed-emission-factors-for-calculation"/>
    <w:p>
      <w:pPr>
        <w:pStyle w:val="Heading3"/>
      </w:pPr>
      <w:r>
        <w:t xml:space="preserve">Assumed Emission Factors for Calculation:</w:t>
      </w:r>
    </w:p>
    <w:p>
      <w:pPr>
        <w:numPr>
          <w:ilvl w:val="0"/>
          <w:numId w:val="1006"/>
        </w:numPr>
        <w:pStyle w:val="Compact"/>
      </w:pPr>
      <w:r>
        <w:t xml:space="preserve">Electricity Grid Mix (China average): 0.577 kg CO2e/kWh</w:t>
      </w:r>
    </w:p>
    <w:p>
      <w:pPr>
        <w:numPr>
          <w:ilvl w:val="0"/>
          <w:numId w:val="1006"/>
        </w:numPr>
        <w:pStyle w:val="Compact"/>
      </w:pPr>
      <w:r>
        <w:t xml:space="preserve">Renewable Electricity (lifecycle impact, not zero-emission at point of use): 0.02 kg CO2e/kWh (assumed for demonstration, lower than grid mix)</w:t>
      </w:r>
    </w:p>
    <w:p>
      <w:pPr>
        <w:numPr>
          <w:ilvl w:val="0"/>
          <w:numId w:val="1006"/>
        </w:numPr>
        <w:pStyle w:val="Compact"/>
      </w:pPr>
      <w:r>
        <w:t xml:space="preserve">Heavy Goods Vehicle (HGV) Transport: 0.06 kg CO2e/tkm (representative DEFRA-aligned factor)</w:t>
      </w:r>
    </w:p>
    <w:p>
      <w:pPr>
        <w:numPr>
          <w:ilvl w:val="0"/>
          <w:numId w:val="1006"/>
        </w:numPr>
        <w:pStyle w:val="Compact"/>
      </w:pPr>
      <w:r>
        <w:t xml:space="preserve">Light Commercial Vehicle (LCV) Transport: 0.2 kg CO2e/tkm (representative DEFRA-aligned factor)</w:t>
      </w:r>
    </w:p>
    <w:p>
      <w:pPr>
        <w:numPr>
          <w:ilvl w:val="0"/>
          <w:numId w:val="1006"/>
        </w:numPr>
        <w:pStyle w:val="Compact"/>
      </w:pPr>
      <w:r>
        <w:t xml:space="preserve">Generic Electricity for Consumer Use (Use Phase, global average): 0.3 kg CO2e/kWh (assumed for demonstration)</w:t>
      </w:r>
    </w:p>
    <w:p>
      <w:pPr>
        <w:numPr>
          <w:ilvl w:val="0"/>
          <w:numId w:val="1006"/>
        </w:numPr>
        <w:pStyle w:val="Compact"/>
      </w:pPr>
      <w:r>
        <w:t xml:space="preserve">Product Weight for Transport (example): 10 kg (0.01 tonne) per unit</w:t>
      </w:r>
    </w:p>
    <w:p>
      <w:pPr>
        <w:numPr>
          <w:ilvl w:val="0"/>
          <w:numId w:val="1006"/>
        </w:numPr>
        <w:pStyle w:val="Compact"/>
      </w:pPr>
      <w:r>
        <w:t xml:space="preserve">Last-Mile Delivery Distance (example): 50 km</w:t>
      </w:r>
    </w:p>
    <w:p>
      <w:pPr>
        <w:numPr>
          <w:ilvl w:val="0"/>
          <w:numId w:val="1006"/>
        </w:numPr>
        <w:pStyle w:val="Compact"/>
      </w:pPr>
      <w:r>
        <w:t xml:space="preserve">Recycling Credit Factor: -0.5 (meaning 50% of virgin material emissions are avoided through recycling)</w:t>
      </w:r>
    </w:p>
    <w:p>
      <w:pPr>
        <w:numPr>
          <w:ilvl w:val="0"/>
          <w:numId w:val="1006"/>
        </w:numPr>
        <w:pStyle w:val="Compact"/>
      </w:pPr>
      <w:r>
        <w:t xml:space="preserve">Disposal Impact Factor (e.g., landfill): 0.8 (meaning 80% of material carbon is emitted if landfilled)</w:t>
      </w:r>
    </w:p>
    <w:bookmarkEnd w:id="31"/>
    <w:bookmarkStart w:id="37" w:name="X7ddbbe63b26f755a5341b4707357d6dae3169de"/>
    <w:p>
      <w:pPr>
        <w:pStyle w:val="Heading3"/>
      </w:pPr>
      <w:r>
        <w:t xml:space="preserve">2. &amp; 3. Lifecycle Mapping &amp; Data Collection Breakdown (Example)</w:t>
      </w:r>
    </w:p>
    <w:bookmarkStart w:id="32" w:name="X7036ecb4dbcbd7784b5b2121b64b6745e461a62"/>
    <w:p>
      <w:pPr>
        <w:pStyle w:val="Heading4"/>
      </w:pPr>
      <w:r>
        <w:t xml:space="preserve">Material Acquisition &amp; Pre-processing (Scope 3, Category 1 - Purchased Goods &amp; Services)</w:t>
      </w:r>
    </w:p>
    <w:p>
      <w:pPr>
        <w:pStyle w:val="FirstParagraph"/>
      </w:pPr>
      <w:r>
        <w:t xml:space="preserve">Using the provided detailed Bill of Materials (BOM) placeholder `rstqldos`, an example BOM is constructed and its carbon impact is calculated:</w:t>
      </w:r>
    </w:p>
    <w:p>
      <w:pPr>
        <w:pStyle w:val="SourceCode"/>
      </w:pPr>
      <w:r>
        <w:rPr>
          <w:rStyle w:val="VerbatimChar"/>
        </w:rPr>
        <w:t xml:space="preserve">1,Aluminum Alloy,Metals,Casting,5.0,kg,7.5,37.5;2,ABS Plastic,Plastics,Injection Molding,2.0,kg,3.0,6.0;3,Copper Wire,Metals,Extrusion,0.5,kg,4.0,2.0;4,Circuit Board,Electronics,Assembly,1.0,unit,1.2,1.2;5,Packaging Cardboard,Paper &amp; Board,Pulping &amp; Forming,0.3,kg,0.7,0.21</w:t>
      </w:r>
    </w:p>
    <w:p>
      <w:pPr>
        <w:pStyle w:val="FirstParagraph"/>
      </w:pPr>
      <w:r>
        <w:rPr>
          <w:bCs/>
          <w:b/>
        </w:rPr>
        <w:t xml:space="preserve">Example Detailed Bill of Materials (BOM) and Material Carbon Footprint: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Pulping &amp; 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0.7</w:t>
            </w:r>
          </w:p>
        </w:tc>
        <w:tc>
          <w:tcPr/>
          <w:p>
            <w:pPr>
              <w:pStyle w:val="Compact"/>
              <w:jc w:val="left"/>
            </w:pPr>
            <w:r>
              <w:t xml:space="preserve">0.21</w:t>
            </w:r>
          </w:p>
        </w:tc>
      </w:tr>
      <w:tr>
        <w:tc>
          <w:tcPr>
            <w:gridSpan w:val="7"/>
          </w:tcPr>
          <w:p>
            <w:pPr>
              <w:pStyle w:val="Compact"/>
              <w:jc w:val="right"/>
            </w:pPr>
            <w:r>
              <w:t xml:space="preserve">Total Material Carbon Footprint:</w:t>
            </w:r>
          </w:p>
        </w:tc>
        <w:tc>
          <w:tcPr/>
          <w:p>
            <w:pPr>
              <w:pStyle w:val="Compact"/>
              <w:jc w:val="left"/>
            </w:pPr>
            <w:r>
              <w:t xml:space="preserve">46.91 kg CO2e</w:t>
            </w:r>
          </w:p>
        </w:tc>
      </w:tr>
    </w:tbl>
    <w:bookmarkEnd w:id="32"/>
    <w:bookmarkStart w:id="33" w:name="X2d7d2731a5ec24109560c3a324a923b9e4b36fa"/>
    <w:p>
      <w:pPr>
        <w:pStyle w:val="Heading4"/>
      </w:pPr>
      <w:r>
        <w:t xml:space="preserve">Manufacturing (Scope 2 - Purchased Electricity)</w:t>
      </w:r>
    </w:p>
    <w:p>
      <w:pPr>
        <w:pStyle w:val="FirstParagraph"/>
      </w:pPr>
      <w:r>
        <w:t xml:space="preserve">The energy consumption during the production phase is customized using the provided data.</w:t>
      </w:r>
    </w:p>
    <w:p>
      <w:pPr>
        <w:numPr>
          <w:ilvl w:val="0"/>
          <w:numId w:val="1007"/>
        </w:numPr>
        <w:pStyle w:val="Compact"/>
      </w:pPr>
      <w:r>
        <w:t xml:space="preserve">Energy Intensity (zqfsihzkkk): 0.8 kWh/unit</w:t>
      </w:r>
    </w:p>
    <w:p>
      <w:pPr>
        <w:numPr>
          <w:ilvl w:val="0"/>
          <w:numId w:val="1007"/>
        </w:numPr>
        <w:pStyle w:val="Compact"/>
      </w:pPr>
      <w:r>
        <w:t xml:space="preserve">Renewable Energy Usage (unerejrhpq): 70%</w:t>
      </w:r>
    </w:p>
    <w:p>
      <w:pPr>
        <w:numPr>
          <w:ilvl w:val="0"/>
          <w:numId w:val="1007"/>
        </w:numPr>
        <w:pStyle w:val="Compact"/>
      </w:pPr>
      <w:r>
        <w:t xml:space="preserve">Grid Energy Usage: 30%</w:t>
      </w:r>
    </w:p>
    <w:p>
      <w:pPr>
        <w:pStyle w:val="FirstParagraph"/>
      </w:pPr>
      <w:r>
        <w:rPr>
          <w:bCs/>
          <w:b/>
        </w:rPr>
        <w:t xml:space="preserve">Calculation:</w:t>
      </w:r>
    </w:p>
    <w:p>
      <w:pPr>
        <w:numPr>
          <w:ilvl w:val="0"/>
          <w:numId w:val="1008"/>
        </w:numPr>
        <w:pStyle w:val="Compact"/>
      </w:pPr>
      <w:r>
        <w:t xml:space="preserve">Emissions from Renewable Energy: 0.8 kWh/unit * 0.70 * 0.02 kg CO2e/kWh (assumed lifecycle factor for renewables) = 0.0112 kg CO2e/unit</w:t>
      </w:r>
    </w:p>
    <w:p>
      <w:pPr>
        <w:numPr>
          <w:ilvl w:val="0"/>
          <w:numId w:val="1008"/>
        </w:numPr>
        <w:pStyle w:val="Compact"/>
      </w:pPr>
      <w:r>
        <w:t xml:space="preserve">Emissions from Grid Electricity (China): 0.8 kWh/unit * 0.30 * 0.577 kg CO2e/kWh = 0.13848 kg CO2e/unit</w:t>
      </w:r>
    </w:p>
    <w:p>
      <w:pPr>
        <w:pStyle w:val="FirstParagraph"/>
      </w:pPr>
      <w:r>
        <w:rPr>
          <w:bCs/>
          <w:b/>
        </w:rPr>
        <w:t xml:space="preserve">Total Manufacturing Energy Emissions: 0.14968 kg CO2e/unit</w:t>
      </w:r>
    </w:p>
    <w:bookmarkEnd w:id="33"/>
    <w:bookmarkStart w:id="34" w:name="Xd63bafe8e74993f9ff522e6cd39c3c1d090fdbe"/>
    <w:p>
      <w:pPr>
        <w:pStyle w:val="Heading4"/>
      </w:pPr>
      <w:r>
        <w:t xml:space="preserve">Transport (Scope 3, Category 4 - Upstream Transportation &amp; Distribution)</w:t>
      </w:r>
    </w:p>
    <w:p>
      <w:pPr>
        <w:pStyle w:val="FirstParagraph"/>
      </w:pPr>
      <w:r>
        <w:t xml:space="preserve">Logistics data for both inbound/outbound and last-mile delivery are incorporated.</w:t>
      </w:r>
    </w:p>
    <w:p>
      <w:pPr>
        <w:numPr>
          <w:ilvl w:val="0"/>
          <w:numId w:val="1009"/>
        </w:numPr>
        <w:pStyle w:val="Compact"/>
      </w:pPr>
      <w:r>
        <w:t xml:space="preserve">Product Weight (assumed): 10 kg (0.01 tonne)</w:t>
      </w:r>
    </w:p>
    <w:p>
      <w:pPr>
        <w:numPr>
          <w:ilvl w:val="0"/>
          <w:numId w:val="1009"/>
        </w:numPr>
        <w:pStyle w:val="Compact"/>
      </w:pPr>
      <w:r>
        <w:t xml:space="preserve">Inbound/Outbound Distance (riyudstdoh): 2000 km</w:t>
      </w:r>
    </w:p>
    <w:p>
      <w:pPr>
        <w:numPr>
          <w:ilvl w:val="0"/>
          <w:numId w:val="1009"/>
        </w:numPr>
        <w:pStyle w:val="Compact"/>
      </w:pPr>
      <w:r>
        <w:t xml:space="preserve">Transport Mode (Select Mode): Heavy Goods Vehicle (HGV)</w:t>
      </w:r>
    </w:p>
    <w:p>
      <w:pPr>
        <w:numPr>
          <w:ilvl w:val="0"/>
          <w:numId w:val="1009"/>
        </w:numPr>
        <w:pStyle w:val="Compact"/>
      </w:pPr>
      <w:r>
        <w:t xml:space="preserve">Last-Mile Delivery Distance (assumed): 50 km</w:t>
      </w:r>
    </w:p>
    <w:p>
      <w:pPr>
        <w:numPr>
          <w:ilvl w:val="0"/>
          <w:numId w:val="1009"/>
        </w:numPr>
        <w:pStyle w:val="Compact"/>
      </w:pPr>
      <w:r>
        <w:t xml:space="preserve">Last-Mile Delivery Channel (Delivery Type): Light Commercial Vehicle (LCV)</w:t>
      </w:r>
    </w:p>
    <w:p>
      <w:pPr>
        <w:pStyle w:val="FirstParagraph"/>
      </w:pPr>
      <w:r>
        <w:rPr>
          <w:bCs/>
          <w:b/>
        </w:rPr>
        <w:t xml:space="preserve">Calculation:</w:t>
      </w:r>
    </w:p>
    <w:p>
      <w:pPr>
        <w:numPr>
          <w:ilvl w:val="0"/>
          <w:numId w:val="1010"/>
        </w:numPr>
        <w:pStyle w:val="Compact"/>
      </w:pPr>
      <w:r>
        <w:t xml:space="preserve">Inbound/Outbound Emissions (HGV): 0.01 tonne * 2000 km * 0.06 kg CO2e/tkm = 1.2 kg CO2e/unit</w:t>
      </w:r>
    </w:p>
    <w:p>
      <w:pPr>
        <w:numPr>
          <w:ilvl w:val="0"/>
          <w:numId w:val="1010"/>
        </w:numPr>
        <w:pStyle w:val="Compact"/>
      </w:pPr>
      <w:r>
        <w:t xml:space="preserve">Last-Mile Emissions (LCV): 0.01 tonne * 50 km * 0.2 kg CO2e/tkm = 0.1 kg CO2e/unit</w:t>
      </w:r>
    </w:p>
    <w:p>
      <w:pPr>
        <w:pStyle w:val="FirstParagraph"/>
      </w:pPr>
      <w:r>
        <w:rPr>
          <w:bCs/>
          <w:b/>
        </w:rPr>
        <w:t xml:space="preserve">Total Transport Emissions: 1.3 kg CO2e/unit</w:t>
      </w:r>
    </w:p>
    <w:bookmarkEnd w:id="34"/>
    <w:bookmarkStart w:id="35" w:name="Xe72837a908ad344b018b3447ff671a3dec19470"/>
    <w:p>
      <w:pPr>
        <w:pStyle w:val="Heading4"/>
      </w:pPr>
      <w:r>
        <w:t xml:space="preserve">Use Phase (Scope 3, Category 11 - Use of Sold Products)</w:t>
      </w:r>
    </w:p>
    <w:p>
      <w:pPr>
        <w:pStyle w:val="FirstParagraph"/>
      </w:pPr>
      <w:r>
        <w:t xml:space="preserve">The use phase is calculated based on product lifespan and energy consumption during use.</w:t>
      </w:r>
    </w:p>
    <w:p>
      <w:pPr>
        <w:numPr>
          <w:ilvl w:val="0"/>
          <w:numId w:val="1011"/>
        </w:numPr>
        <w:pStyle w:val="Compact"/>
      </w:pPr>
      <w:r>
        <w:t xml:space="preserve">Product Lifespan (ygwflnwjiy): 5 years</w:t>
      </w:r>
    </w:p>
    <w:p>
      <w:pPr>
        <w:numPr>
          <w:ilvl w:val="0"/>
          <w:numId w:val="1011"/>
        </w:numPr>
        <w:pStyle w:val="Compact"/>
      </w:pPr>
      <w:r>
        <w:t xml:space="preserve">Energy Consumption in Use (nhedrhyndj): 10 kWh/year</w:t>
      </w:r>
    </w:p>
    <w:p>
      <w:pPr>
        <w:pStyle w:val="FirstParagraph"/>
      </w:pPr>
      <w:r>
        <w:rPr>
          <w:bCs/>
          <w:b/>
        </w:rPr>
        <w:t xml:space="preserve">Calculation:</w:t>
      </w:r>
    </w:p>
    <w:p>
      <w:pPr>
        <w:numPr>
          <w:ilvl w:val="0"/>
          <w:numId w:val="1012"/>
        </w:numPr>
        <w:pStyle w:val="Compact"/>
      </w:pPr>
      <w:r>
        <w:t xml:space="preserve">Use Phase Emissions: 5 years * 10 kWh/year * 0.3 kg CO2e/kWh (generic consumer electricity) = 15.0 kg CO2e/unit</w:t>
      </w:r>
    </w:p>
    <w:p>
      <w:pPr>
        <w:pStyle w:val="FirstParagraph"/>
      </w:pPr>
      <w:r>
        <w:rPr>
          <w:bCs/>
          <w:b/>
        </w:rPr>
        <w:t xml:space="preserve">Total Use Phase Emissions: 15.0 kg CO2e/unit</w:t>
      </w:r>
    </w:p>
    <w:bookmarkEnd w:id="35"/>
    <w:bookmarkStart w:id="36" w:name="X18c81bc1109c1a847ac842bd745cc472e3f99f0"/>
    <w:p>
      <w:pPr>
        <w:pStyle w:val="Heading4"/>
      </w:pPr>
      <w:r>
        <w:t xml:space="preserve">End-of-Life (EoL) (Scope 3, Category 12 - End-of-Life Treatment of Sold Products)</w:t>
      </w:r>
    </w:p>
    <w:p>
      <w:pPr>
        <w:pStyle w:val="FirstParagraph"/>
      </w:pPr>
      <w:r>
        <w:t xml:space="preserve">End-of-life scenarios, including recyclability and circular programs, are considered for their impact.</w:t>
      </w:r>
    </w:p>
    <w:p>
      <w:pPr>
        <w:numPr>
          <w:ilvl w:val="0"/>
          <w:numId w:val="1013"/>
        </w:numPr>
        <w:pStyle w:val="Compact"/>
      </w:pPr>
      <w:r>
        <w:t xml:space="preserve">Recyclability Percentage (nwhqrvgwhu): 60%</w:t>
      </w:r>
    </w:p>
    <w:p>
      <w:pPr>
        <w:numPr>
          <w:ilvl w:val="0"/>
          <w:numId w:val="1013"/>
        </w:numPr>
        <w:pStyle w:val="Compact"/>
      </w:pPr>
      <w:r>
        <w:t xml:space="preserve">Circular/Take-back Programs (ertsozvmdf): Product take-back scheme with material recovery</w:t>
      </w:r>
    </w:p>
    <w:p>
      <w:pPr>
        <w:numPr>
          <w:ilvl w:val="0"/>
          <w:numId w:val="1013"/>
        </w:numPr>
        <w:pStyle w:val="Compact"/>
      </w:pPr>
      <w:r>
        <w:t xml:space="preserve">Baseline Material Carbon for EoL: 46.91 kg CO2e (from total material footprint)</w:t>
      </w:r>
    </w:p>
    <w:p>
      <w:pPr>
        <w:pStyle w:val="FirstParagraph"/>
      </w:pPr>
      <w:r>
        <w:rPr>
          <w:bCs/>
          <w:b/>
        </w:rPr>
        <w:t xml:space="preserve">Calculation:</w:t>
      </w:r>
    </w:p>
    <w:p>
      <w:pPr>
        <w:numPr>
          <w:ilvl w:val="0"/>
          <w:numId w:val="1014"/>
        </w:numPr>
        <w:pStyle w:val="Compact"/>
      </w:pPr>
      <w:r>
        <w:t xml:space="preserve">Recycling Benefit: 46.91 kg CO2e * 0.60 (recyclability) * -0.5 (recycling credit factor) = -14.073 kg CO2e/unit</w:t>
      </w:r>
    </w:p>
    <w:p>
      <w:pPr>
        <w:numPr>
          <w:ilvl w:val="0"/>
          <w:numId w:val="1014"/>
        </w:numPr>
        <w:pStyle w:val="Compact"/>
      </w:pPr>
      <w:r>
        <w:t xml:space="preserve">Disposal Impact: 46.91 kg CO2e * (1 - 0.60) (non-recyclable) * 0.8 (disposal impact factor) = 15.0112 kg CO2e/unit</w:t>
      </w:r>
    </w:p>
    <w:p>
      <w:pPr>
        <w:pStyle w:val="FirstParagraph"/>
      </w:pPr>
      <w:r>
        <w:rPr>
          <w:bCs/>
          <w:b/>
        </w:rPr>
        <w:t xml:space="preserve">Total End-of-Life Emissions: 0.9382 kg CO2e/unit</w:t>
      </w:r>
    </w:p>
    <w:bookmarkEnd w:id="36"/>
    <w:bookmarkEnd w:id="37"/>
    <w:bookmarkStart w:id="38" w:name="total-product-carbon-footprint-example"/>
    <w:p>
      <w:pPr>
        <w:pStyle w:val="Heading3"/>
      </w:pPr>
      <w:r>
        <w:t xml:space="preserve">4. Total Product Carbon Footprint (Example)</w:t>
      </w:r>
    </w:p>
    <w:p>
      <w:pPr>
        <w:pStyle w:val="FirstParagraph"/>
      </w:pPr>
      <w:r>
        <w:t xml:space="preserve">The total PCF for one functional unit of rpdszohfph is the sum of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46.91</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0.15</w:t>
            </w:r>
          </w:p>
        </w:tc>
      </w:tr>
      <w:tr>
        <w:tc>
          <w:tcPr/>
          <w:p>
            <w:pPr>
              <w:pStyle w:val="Compact"/>
              <w:jc w:val="left"/>
            </w:pPr>
            <w:r>
              <w:t xml:space="preserve">Transport (Upstream &amp; Downstream)</w:t>
            </w:r>
          </w:p>
        </w:tc>
        <w:tc>
          <w:tcPr/>
          <w:p>
            <w:pPr>
              <w:pStyle w:val="Compact"/>
              <w:jc w:val="left"/>
            </w:pPr>
            <w:r>
              <w:t xml:space="preserve">Scope 3 (Category 4 &amp; 9)</w:t>
            </w:r>
          </w:p>
        </w:tc>
        <w:tc>
          <w:tcPr/>
          <w:p>
            <w:pPr>
              <w:pStyle w:val="Compact"/>
              <w:jc w:val="left"/>
            </w:pPr>
            <w:r>
              <w:t xml:space="preserve">1.30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0.94</w:t>
            </w:r>
          </w:p>
        </w:tc>
      </w:tr>
      <w:tr>
        <w:tc>
          <w:tcPr>
            <w:gridSpan w:val="2"/>
          </w:tcPr>
          <w:p>
            <w:pPr>
              <w:pStyle w:val="Compact"/>
              <w:jc w:val="right"/>
            </w:pPr>
            <w:r>
              <w:t xml:space="preserve">Total Product Carbon Footprint:</w:t>
            </w:r>
          </w:p>
        </w:tc>
        <w:tc>
          <w:tcPr/>
          <w:p>
            <w:pPr>
              <w:pStyle w:val="Compact"/>
              <w:jc w:val="left"/>
            </w:pPr>
            <w:r>
              <w:t xml:space="preserve">64.30 kg CO2e/unit</w:t>
            </w:r>
          </w:p>
        </w:tc>
      </w:tr>
    </w:tbl>
    <w:bookmarkEnd w:id="38"/>
    <w:bookmarkStart w:id="39" w:name="ghg-protocol-categorization-summary"/>
    <w:p>
      <w:pPr>
        <w:pStyle w:val="Heading3"/>
      </w:pPr>
      <w:r>
        <w:t xml:space="preserve">GHG Protocol Categorization Summary</w:t>
      </w:r>
    </w:p>
    <w:p>
      <w:pPr>
        <w:pStyle w:val="FirstParagraph"/>
      </w:pPr>
      <w:r>
        <w:t xml:space="preserve">Based on the example calculations, the emissions are categorized as follows:</w:t>
      </w:r>
    </w:p>
    <w:p>
      <w:pPr>
        <w:numPr>
          <w:ilvl w:val="0"/>
          <w:numId w:val="1015"/>
        </w:numPr>
        <w:pStyle w:val="Compact"/>
      </w:pPr>
      <w:r>
        <w:rPr>
          <w:bCs/>
          <w:b/>
        </w:rPr>
        <w:t xml:space="preserve">Scope 1 Emissions:</w:t>
      </w:r>
      <w:r>
        <w:t xml:space="preserve"> </w:t>
      </w:r>
      <w:r>
        <w:t xml:space="preserve">0.00 kg CO2e/unit (No direct emissions from company-owned/controlled sources explicitly defined or calculated in this PCF based on parameters.)</w:t>
      </w:r>
    </w:p>
    <w:p>
      <w:pPr>
        <w:numPr>
          <w:ilvl w:val="0"/>
          <w:numId w:val="1015"/>
        </w:numPr>
        <w:pStyle w:val="Compact"/>
      </w:pPr>
      <w:r>
        <w:rPr>
          <w:bCs/>
          <w:b/>
        </w:rPr>
        <w:t xml:space="preserve">Scope 2 Emissions:</w:t>
      </w:r>
      <w:r>
        <w:t xml:space="preserve"> </w:t>
      </w:r>
      <w:r>
        <w:t xml:space="preserve">0.15 kg CO2e/unit (From purchased electricity for manufacturing.)</w:t>
      </w:r>
    </w:p>
    <w:p>
      <w:pPr>
        <w:numPr>
          <w:ilvl w:val="0"/>
          <w:numId w:val="1015"/>
        </w:numPr>
        <w:pStyle w:val="Compact"/>
      </w:pPr>
      <w:r>
        <w:rPr>
          <w:bCs/>
          <w:b/>
        </w:rPr>
        <w:t xml:space="preserve">Scope 3 Emissions:</w:t>
      </w:r>
      <w:r>
        <w:t xml:space="preserve"> </w:t>
      </w:r>
      <w:r>
        <w:t xml:space="preserve">64.15 kg CO2e/unit (Includes materials, transport, use phase, and end-of-life. This represents approximately 99.7% of the total footprint, exceeding the 95% coverage requirement for Scope 3 reporting.)</w:t>
      </w:r>
    </w:p>
    <w:bookmarkEnd w:id="39"/>
    <w:bookmarkEnd w:id="40"/>
    <w:p>
      <w:r>
        <w:pict>
          <v:rect style="width:0;height:1.5pt" o:hralign="center" o:hrstd="t" o:hr="t"/>
        </w:pict>
      </w:r>
    </w:p>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this example analysis for rpdszohfph, the primary emission hotspots are:</w:t>
      </w:r>
    </w:p>
    <w:p>
      <w:pPr>
        <w:numPr>
          <w:ilvl w:val="0"/>
          <w:numId w:val="1016"/>
        </w:numPr>
        <w:pStyle w:val="Compact"/>
      </w:pPr>
      <w:r>
        <w:rPr>
          <w:bCs/>
          <w:b/>
        </w:rPr>
        <w:t xml:space="preserve">Materials Acquisition &amp; Pre-processing (Scope 3):</w:t>
      </w:r>
      <w:r>
        <w:t xml:space="preserve"> </w:t>
      </w:r>
      <w:r>
        <w:t xml:space="preserve">Representing the largest portion (approx. 73%) of the total PCF, driven significantly by the Aluminum Alloy component. This indicates a critical area for material efficiency, lightweighting, and sourcing lower-carbon alternatives.</w:t>
      </w:r>
    </w:p>
    <w:p>
      <w:pPr>
        <w:numPr>
          <w:ilvl w:val="0"/>
          <w:numId w:val="1016"/>
        </w:numPr>
        <w:pStyle w:val="Compact"/>
      </w:pPr>
      <w:r>
        <w:rPr>
          <w:bCs/>
          <w:b/>
        </w:rPr>
        <w:t xml:space="preserve">Use Phase (Scope 3):</w:t>
      </w:r>
      <w:r>
        <w:t xml:space="preserve"> </w:t>
      </w:r>
      <w:r>
        <w:t xml:space="preserve">Contributing approximately 23% of the total PCF, highlighting the importance of energy efficiency during the product\'s operational life.</w:t>
      </w:r>
    </w:p>
    <w:p>
      <w:pPr>
        <w:numPr>
          <w:ilvl w:val="0"/>
          <w:numId w:val="1016"/>
        </w:numPr>
        <w:pStyle w:val="Compact"/>
      </w:pPr>
      <w:r>
        <w:rPr>
          <w:bCs/>
          <w:b/>
        </w:rPr>
        <w:t xml:space="preserve">Transport (Scope 3):</w:t>
      </w:r>
      <w:r>
        <w:t xml:space="preserve"> </w:t>
      </w:r>
      <w:r>
        <w:t xml:space="preserve">While significant, it is a smaller portion compared to materials and use phase. Optimizing logistics and exploring lower-emission transport modes remain important.</w:t>
      </w:r>
    </w:p>
    <w:bookmarkEnd w:id="41"/>
    <w:bookmarkStart w:id="42" w:name="X63e8edea008754afe5c19764b9dce425c536b6b"/>
    <w:p>
      <w:pPr>
        <w:pStyle w:val="Heading3"/>
      </w:pPr>
      <w:r>
        <w:t xml:space="preserve">Reliability and 2026 GHG Protocol Updates</w:t>
      </w:r>
    </w:p>
    <w:p>
      <w:pPr>
        <w:pStyle w:val="FirstParagraph"/>
      </w:pPr>
      <w:r>
        <w:t xml:space="preserve">This analysis demonstrates compliance with the GHG Protocol, including a robust approach to Scope 3 reporting to meet the upcoming 2026 requirements for at least 95% coverage. The methodology also acknowledges the mandatory data disaggregation by source type (primary vs. secondary) to enhance transparency and data quality, which will be a key focus for future detailed assessments.</w:t>
      </w:r>
    </w:p>
    <w:p>
      <w:pPr>
        <w:pStyle w:val="BodyText"/>
      </w:pPr>
      <w:r>
        <w:t xml:space="preserve">The Land Sector and Removals (LSR) Standard, effective January 1, 2027, has been considered in the methodological framework. While rpdszohfph\'s parameters do not directly indicate significant land-based emissions or removals in this specific analysis, enrmequmpv should be prepared to apply this standard for any future products or supply chain activities that involve land management, land-use change, biogenic carbon, or technological CO2 removals.</w:t>
      </w:r>
    </w:p>
    <w:bookmarkEnd w:id="42"/>
    <w:bookmarkStart w:id="43" w:name="recommendations"/>
    <w:p>
      <w:pPr>
        <w:pStyle w:val="Heading3"/>
      </w:pPr>
      <w:r>
        <w:t xml:space="preserve">Recommendations</w:t>
      </w:r>
    </w:p>
    <w:p>
      <w:pPr>
        <w:numPr>
          <w:ilvl w:val="0"/>
          <w:numId w:val="1017"/>
        </w:numPr>
        <w:pStyle w:val="Compact"/>
      </w:pPr>
      <w:r>
        <w:rPr>
          <w:bCs/>
          <w:b/>
        </w:rPr>
        <w:t xml:space="preserve">Material Optimization:</w:t>
      </w:r>
      <w:r>
        <w:t xml:space="preserve"> </w:t>
      </w:r>
      <w:r>
        <w:t xml:space="preserve">Investigate opportunities to reduce the quantity of high-impact materials, particularly aluminum. Explore the use of recycled content with certified low-carbon origins or bio-based alternatives where feasible.</w:t>
      </w:r>
    </w:p>
    <w:p>
      <w:pPr>
        <w:numPr>
          <w:ilvl w:val="0"/>
          <w:numId w:val="1017"/>
        </w:numPr>
        <w:pStyle w:val="Compact"/>
      </w:pPr>
      <w:r>
        <w:rPr>
          <w:bCs/>
          <w:b/>
        </w:rPr>
        <w:t xml:space="preserve">Energy Efficiency in Use:</w:t>
      </w:r>
      <w:r>
        <w:t xml:space="preserve"> </w:t>
      </w:r>
      <w:r>
        <w:t xml:space="preserve">Focus on product design enhancements that reduce energy consumption during the 5-year lifespan of rpdszohfph. Provide guidance to users on efficient operation.</w:t>
      </w:r>
    </w:p>
    <w:p>
      <w:pPr>
        <w:numPr>
          <w:ilvl w:val="0"/>
          <w:numId w:val="1017"/>
        </w:numPr>
        <w:pStyle w:val="Compact"/>
      </w:pPr>
      <w:r>
        <w:rPr>
          <w:bCs/>
          <w:b/>
        </w:rPr>
        <w:t xml:space="preserve">Supply Chain Engagement:</w:t>
      </w:r>
      <w:r>
        <w:t xml:space="preserve"> </w:t>
      </w:r>
      <w:r>
        <w:t xml:space="preserve">Work with material suppliers to obtain primary emission data and identify opportunities for their decarbonization efforts. Explore switching to transport providers utilizing lower-emission fuels or modes.</w:t>
      </w:r>
    </w:p>
    <w:p>
      <w:pPr>
        <w:numPr>
          <w:ilvl w:val="0"/>
          <w:numId w:val="1017"/>
        </w:numPr>
        <w:pStyle w:val="Compact"/>
      </w:pPr>
      <w:r>
        <w:rPr>
          <w:bCs/>
          <w:b/>
        </w:rPr>
        <w:t xml:space="preserve">Circular Economy Integration:</w:t>
      </w:r>
      <w:r>
        <w:t xml:space="preserve"> </w:t>
      </w:r>
      <w:r>
        <w:t xml:space="preserve">Continue to strengthen the "Product take-back scheme with material recovery" (ertsozvmdf) to maximize the recyclability (nwhqrvgwhu) of 60% and improve actual recovery rates. Explore design for disassembly and repairability.</w:t>
      </w:r>
    </w:p>
    <w:p>
      <w:pPr>
        <w:numPr>
          <w:ilvl w:val="0"/>
          <w:numId w:val="1017"/>
        </w:numPr>
        <w:pStyle w:val="Compact"/>
      </w:pPr>
      <w:r>
        <w:rPr>
          <w:bCs/>
          <w:b/>
        </w:rPr>
        <w:t xml:space="preserve">Data Quality Improvement:</w:t>
      </w:r>
      <w:r>
        <w:t xml:space="preserve"> </w:t>
      </w:r>
      <w:r>
        <w:t xml:space="preserve">Transition from secondary data and placeholder assumptions to primary, supplier-specific data for all lifecycle stages to further enhance the accuracy and auditability of the PCF. This is crucial for meeting the enhanced 2026 Scope 3 reporting requirements.</w:t>
      </w:r>
    </w:p>
    <w:bookmarkEnd w:id="43"/>
    <w:bookmarkEnd w:id="44"/>
    <w:p>
      <w:r>
        <w:pict>
          <v:rect style="width:0;height:1.5pt" o:hralign="center" o:hrstd="t" o:hr="t"/>
        </w:pict>
      </w:r>
    </w:p>
    <w:bookmarkStart w:id="45" w:name="disclaimer"/>
    <w:p>
      <w:pPr>
        <w:pStyle w:val="Heading2"/>
      </w:pPr>
      <w:r>
        <w:t xml:space="preserve">Disclaimer</w:t>
      </w:r>
    </w:p>
    <w:p>
      <w:pPr>
        <w:pStyle w:val="FirstParagraph"/>
      </w:pPr>
      <w:r>
        <w:t xml:space="preserve">This report is based on the parameters provided by enrmequmpv and uses representative, assumed emission factors and placeholder data for illustrative calculations. The actual Product Carbon Footprint may vary significantly depending on the precise, real-world data from the supply chain, production processes, and end-of-life management. This analysis serves as a high-level guide for understanding potential impacts and informing strategic decisions for rpdszohfph.</w:t>
      </w:r>
    </w:p>
    <w:bookmarkEnd w:id="45"/>
    <w:p>
      <w:pPr>
        <w:pStyle w:val="BodyText"/>
      </w:pPr>
      <w:r>
        <w:t xml:space="preserve">Confidential - Internal Use Only | Page</w:t>
      </w:r>
      <w:r>
        <w:t xml:space="preserve"> </w:t>
      </w:r>
      <w:r>
        <w:t xml:space="preserve"> </w:t>
      </w:r>
      <w:r>
        <w:t xml:space="preserve">of</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rpdszohfph - enrmequmpv</dc:title>
  <dc:creator/>
  <dc:description>High-detail Product Carbon Footprint (PCF) analysis report for rpdszohfph, performed by Senior Sustainability Consultant urvdpwxsxn for enrmequmpv, adhering to GHG Protocol and 2026 updates.</dc:description>
  <dc:language>en</dc:language>
  <cp:keywords/>
  <dcterms:created xsi:type="dcterms:W3CDTF">2026-05-30T12:44:50Z</dcterms:created>
  <dcterms:modified xsi:type="dcterms:W3CDTF">2026-05-30T12:44:50Z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