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for</w:t>
      </w:r>
      <w:r>
        <w:t xml:space="preserve"> </w:t>
      </w:r>
      <w:r>
        <w:t xml:space="preserve">rmxhsdotum</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t xml:space="preserve">Product: rmxhsdotum</w:t>
      </w:r>
    </w:p>
    <w:p>
      <w:pPr>
        <w:pStyle w:val="BodyText"/>
      </w:pPr>
      <w:r>
        <w:t xml:space="preserve">Company: dqzmssslsk</w:t>
      </w:r>
    </w:p>
    <w:p>
      <w:pPr>
        <w:pStyle w:val="BodyText"/>
      </w:pPr>
      <w:r>
        <w:t xml:space="preserve">Senior Sustainability Consultant: rtspdpoeuy</w:t>
      </w:r>
    </w:p>
    <w:p>
      <w:pPr>
        <w:pStyle w:val="BodyText"/>
      </w:pPr>
      <w:r>
        <w:t xml:space="preserve">Accounting Standard: GHG Protocol</w:t>
      </w:r>
    </w:p>
    <w:p>
      <w:pPr>
        <w:pStyle w:val="BodyText"/>
      </w:pPr>
      <w:r>
        <w:t xml:space="preserve">This report is generated based on available data and industry standards. While efforts have been made to ensure accuracy, certain assumptions and estimations are inherent in the carbon footprint assessment process.</w:t>
      </w:r>
    </w:p>
    <w:bookmarkEnd w:id="20"/>
    <w:bookmarkStart w:id="21" w:name="X28adc790cb63d89deab09ed4eeaf56ec26f5cb7"/>
    <w:p>
      <w:pPr>
        <w:pStyle w:val="Heading1"/>
      </w:pPr>
      <w:r>
        <w:t xml:space="preserve">Product Carbon Footprint Analysis for rmxhsdotum</w:t>
      </w:r>
    </w:p>
    <w:p>
      <w:pPr>
        <w:pStyle w:val="FirstParagraph"/>
      </w:pPr>
      <w:r>
        <w:t xml:space="preserve">Generated Date: May 23,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comprehensive Product Carbon Footprint (PCF) analysis for the product</w:t>
      </w:r>
      <w:r>
        <w:t xml:space="preserve"> </w:t>
      </w:r>
      <w:r>
        <w:rPr>
          <w:bCs/>
          <w:b/>
        </w:rPr>
        <w:t xml:space="preserve">rmxhsdotum</w:t>
      </w:r>
      <w:r>
        <w:t xml:space="preserve"> </w:t>
      </w:r>
      <w:r>
        <w:t xml:space="preserve">manufactured by</w:t>
      </w:r>
      <w:r>
        <w:t xml:space="preserve"> </w:t>
      </w:r>
      <w:r>
        <w:rPr>
          <w:bCs/>
          <w:b/>
        </w:rPr>
        <w:t xml:space="preserve">dqzmssslsk</w:t>
      </w:r>
      <w:r>
        <w:t xml:space="preserve">. Conducted by</w:t>
      </w:r>
      <w:r>
        <w:t xml:space="preserve"> </w:t>
      </w:r>
      <w:r>
        <w:rPr>
          <w:bCs/>
          <w:b/>
        </w:rPr>
        <w:t xml:space="preserve">rtspdpoeuy</w:t>
      </w:r>
      <w:r>
        <w:t xml:space="preserve">, Senior Sustainability Consultant, this analysis adheres strictly to the GHG Protocol accounting standard, including the 2026 Land Sector and Removals (LSR) Standard update and aims for at least 95% coverage for Scope 3 emissions. The assessment covers the entire lifecycle from raw material acquisition to end-of-life, providing a detailed breakdown of greenhouse gas (GHG) emissions (expressed in CO2e) across all relevant scopes to identify key emission hotspots and guide strategic sustainability improvements.</w:t>
      </w:r>
    </w:p>
    <w:p>
      <w:r>
        <w:pict>
          <v:rect style="width:0;height:1.5pt" o:hralign="center" o:hrstd="t" o:hr="t"/>
        </w:pict>
      </w:r>
    </w:p>
    <w:bookmarkEnd w:id="22"/>
    <w:bookmarkStart w:id="23" w:name="introduction"/>
    <w:p>
      <w:pPr>
        <w:pStyle w:val="Heading2"/>
      </w:pPr>
      <w:r>
        <w:t xml:space="preserve">1. Introduction</w:t>
      </w:r>
    </w:p>
    <w:p>
      <w:pPr>
        <w:pStyle w:val="FirstParagraph"/>
      </w:pPr>
      <w:r>
        <w:t xml:space="preserve">The increasing urgency of climate change demands that businesses understand and mitigate their environmental impact. A Product Carbon Footprint (PCF) analysis is a critical tool for quantifying the total greenhouse gas emissions associated with a product throughout its lifecycle. This report provides a high-detail PCF for</w:t>
      </w:r>
      <w:r>
        <w:t xml:space="preserve"> </w:t>
      </w:r>
      <w:r>
        <w:rPr>
          <w:bCs/>
          <w:b/>
        </w:rPr>
        <w:t xml:space="preserve">rmxhsdotum</w:t>
      </w:r>
      <w:r>
        <w:t xml:space="preserve">, enabling</w:t>
      </w:r>
      <w:r>
        <w:t xml:space="preserve"> </w:t>
      </w:r>
      <w:r>
        <w:rPr>
          <w:bCs/>
          <w:b/>
        </w:rPr>
        <w:t xml:space="preserve">dqzmssslsk</w:t>
      </w:r>
      <w:r>
        <w:t xml:space="preserve"> </w:t>
      </w:r>
      <w:r>
        <w:t xml:space="preserve">to identify emission hotspots, prioritize reduction strategies, and transparently communicate its environmental performance.</w:t>
      </w:r>
    </w:p>
    <w:p>
      <w:pPr>
        <w:numPr>
          <w:ilvl w:val="0"/>
          <w:numId w:val="1001"/>
        </w:numPr>
        <w:pStyle w:val="Compact"/>
      </w:pPr>
      <w:r>
        <w:rPr>
          <w:bCs/>
          <w:b/>
        </w:rPr>
        <w:t xml:space="preserve">Product Name:</w:t>
      </w:r>
      <w:r>
        <w:t xml:space="preserve"> </w:t>
      </w:r>
      <w:r>
        <w:t xml:space="preserve">rmxhsdotum</w:t>
      </w:r>
    </w:p>
    <w:p>
      <w:pPr>
        <w:numPr>
          <w:ilvl w:val="0"/>
          <w:numId w:val="1001"/>
        </w:numPr>
        <w:pStyle w:val="Compact"/>
      </w:pPr>
      <w:r>
        <w:rPr>
          <w:bCs/>
          <w:b/>
        </w:rPr>
        <w:t xml:space="preserve">Company Name:</w:t>
      </w:r>
      <w:r>
        <w:t xml:space="preserve"> </w:t>
      </w:r>
      <w:r>
        <w:t xml:space="preserve">dqzmssslsk</w:t>
      </w:r>
    </w:p>
    <w:p>
      <w:pPr>
        <w:numPr>
          <w:ilvl w:val="0"/>
          <w:numId w:val="1001"/>
        </w:numPr>
        <w:pStyle w:val="Compact"/>
      </w:pPr>
      <w:r>
        <w:rPr>
          <w:bCs/>
          <w:b/>
        </w:rPr>
        <w:t xml:space="preserve">Senior Sustainability Consultant:</w:t>
      </w:r>
      <w:r>
        <w:t xml:space="preserve"> </w:t>
      </w:r>
      <w:r>
        <w:t xml:space="preserve">rtspdpoeuy</w:t>
      </w:r>
    </w:p>
    <w:p>
      <w:pPr>
        <w:numPr>
          <w:ilvl w:val="0"/>
          <w:numId w:val="1001"/>
        </w:numPr>
        <w:pStyle w:val="Compact"/>
      </w:pPr>
      <w:r>
        <w:rPr>
          <w:bCs/>
          <w:b/>
        </w:rPr>
        <w:t xml:space="preserve">Accounting Standard:</w:t>
      </w:r>
      <w:r>
        <w:t xml:space="preserve"> </w:t>
      </w:r>
      <w:r>
        <w:t xml:space="preserve">GHG Protocol</w:t>
      </w:r>
    </w:p>
    <w:p>
      <w:pPr>
        <w:numPr>
          <w:ilvl w:val="0"/>
          <w:numId w:val="1001"/>
        </w:numPr>
        <w:pStyle w:val="Compact"/>
      </w:pPr>
      <w:r>
        <w:rPr>
          <w:bCs/>
          <w:b/>
        </w:rPr>
        <w:t xml:space="preserve">Objective:</w:t>
      </w:r>
      <w:r>
        <w:t xml:space="preserve"> </w:t>
      </w:r>
      <w:r>
        <w:t xml:space="preserve">To quantify the cradle-to-gate carbon footprint of rmxhsdotum and identify key emission drivers.</w:t>
      </w:r>
    </w:p>
    <w:p>
      <w:r>
        <w:pict>
          <v:rect style="width:0;height:1.5pt" o:hralign="center" o:hrstd="t" o:hr="t"/>
        </w:pict>
      </w:r>
    </w:p>
    <w:bookmarkEnd w:id="23"/>
    <w:bookmarkStart w:id="30" w:name="methodology"/>
    <w:p>
      <w:pPr>
        <w:pStyle w:val="Heading2"/>
      </w:pPr>
      <w:r>
        <w:t xml:space="preserve">2. Methodology</w:t>
      </w:r>
    </w:p>
    <w:p>
      <w:pPr>
        <w:pStyle w:val="FirstParagraph"/>
      </w:pPr>
      <w:r>
        <w:t xml:space="preserve">The Product Carbon Footprint analysis for rmxhsdotum was performed following the five-step methodology recommended by the GHG Protocol, with particular attention to the specified parameters and 2026 compliance requirements.</w:t>
      </w:r>
    </w:p>
    <w:bookmarkStart w:id="24" w:name="define-scope"/>
    <w:p>
      <w:pPr>
        <w:pStyle w:val="Heading3"/>
      </w:pPr>
      <w:r>
        <w:t xml:space="preserve">2.1. Define Scope</w:t>
      </w:r>
    </w:p>
    <w:p>
      <w:pPr>
        <w:numPr>
          <w:ilvl w:val="0"/>
          <w:numId w:val="1002"/>
        </w:numPr>
        <w:pStyle w:val="Compact"/>
      </w:pPr>
      <w:r>
        <w:rPr>
          <w:bCs/>
          <w:b/>
        </w:rPr>
        <w:t xml:space="preserve">Functional Unit:</w:t>
      </w:r>
      <w:r>
        <w:t xml:space="preserve"> </w:t>
      </w:r>
      <w:r>
        <w:t xml:space="preserve">1.0 unit of rmxhsdotum. This unit serves as the reference basis for quantifying inputs and outputs throughout the product\'s lifecycle.</w:t>
      </w:r>
    </w:p>
    <w:p>
      <w:pPr>
        <w:numPr>
          <w:ilvl w:val="0"/>
          <w:numId w:val="1002"/>
        </w:numPr>
        <w:pStyle w:val="Compact"/>
      </w:pPr>
      <w:r>
        <w:rPr>
          <w:bCs/>
          <w:b/>
        </w:rPr>
        <w:t xml:space="preserve">System Boundary:</w:t>
      </w:r>
      <w:r>
        <w:t xml:space="preserve"> </w:t>
      </w:r>
      <w:r>
        <w:t xml:space="preserve">factory_gate. This "cradle-to-gate" boundary includes raw material extraction and processing, manufacturing, and transportation up to the point the product leaves the factory gate. For comprehensive analysis, we also extend calculations to cover the use phase and end-of-life scenarios, which fall under downstream Scope 3 emissions.</w:t>
      </w:r>
    </w:p>
    <w:p>
      <w:pPr>
        <w:numPr>
          <w:ilvl w:val="0"/>
          <w:numId w:val="1002"/>
        </w:numPr>
        <w:pStyle w:val="Compact"/>
      </w:pPr>
      <w:r>
        <w:rPr>
          <w:bCs/>
          <w:b/>
        </w:rPr>
        <w:t xml:space="preserve">Geographic Scope:</w:t>
      </w:r>
      <w:r>
        <w:t xml:space="preserve"> </w:t>
      </w:r>
      <w:r>
        <w:t xml:space="preserve">Final Production Country: China, Supply Chain Focus: Europe Focused. This dual focus acknowledges the primary manufacturing location while recognizing the global nature of the supply chain, particularly for raw material sourcing and potentially destination markets.</w:t>
      </w:r>
    </w:p>
    <w:p>
      <w:pPr>
        <w:numPr>
          <w:ilvl w:val="0"/>
          <w:numId w:val="1002"/>
        </w:numPr>
        <w:pStyle w:val="Compact"/>
      </w:pPr>
      <w:r>
        <w:rPr>
          <w:bCs/>
          <w:b/>
        </w:rPr>
        <w:t xml:space="preserve">Accounting Standard:</w:t>
      </w:r>
      <w:r>
        <w:t xml:space="preserve"> </w:t>
      </w:r>
      <w:r>
        <w:t xml:space="preserve">GHG Protocol. All emissions are categorized according to Scope 1, Scope 2, and Scope 3 as defined by the GHG Protocol.</w:t>
      </w:r>
    </w:p>
    <w:p>
      <w:pPr>
        <w:numPr>
          <w:ilvl w:val="0"/>
          <w:numId w:val="1002"/>
        </w:numPr>
        <w:pStyle w:val="Compact"/>
      </w:pPr>
      <w:r>
        <w:rPr>
          <w:bCs/>
          <w:b/>
        </w:rPr>
        <w:t xml:space="preserve">Allocation:</w:t>
      </w:r>
      <w:r>
        <w:t xml:space="preserve"> </w:t>
      </w:r>
      <w:r>
        <w:t xml:space="preserve">Emissions are allocated directly to the functional unit based on mass and energy inputs. Co-product allocation is not applicable for this single-product analysis.</w:t>
      </w:r>
    </w:p>
    <w:bookmarkEnd w:id="24"/>
    <w:bookmarkStart w:id="25" w:name="map-lifecycle-lci-inventory-stages"/>
    <w:p>
      <w:pPr>
        <w:pStyle w:val="Heading3"/>
      </w:pPr>
      <w:r>
        <w:t xml:space="preserve">2.2. Map Lifecycle (LCI Inventory Stages)</w:t>
      </w:r>
    </w:p>
    <w:p>
      <w:pPr>
        <w:pStyle w:val="FirstParagraph"/>
      </w:pPr>
      <w:r>
        <w:t xml:space="preserve">The lifecycle of rmxhsdotum is mapped across the following stages, facilitating a detailed inventory of inputs and outputs:</w:t>
      </w:r>
    </w:p>
    <w:p>
      <w:pPr>
        <w:numPr>
          <w:ilvl w:val="0"/>
          <w:numId w:val="1003"/>
        </w:numPr>
        <w:pStyle w:val="Compact"/>
      </w:pPr>
      <w:r>
        <w:rPr>
          <w:bCs/>
          <w:b/>
        </w:rPr>
        <w:t xml:space="preserve">Raw Material Acquisition &amp; Processing:</w:t>
      </w:r>
      <w:r>
        <w:t xml:space="preserve"> </w:t>
      </w:r>
      <w:r>
        <w:t xml:space="preserve">Extraction, cultivation, and initial processing of all materials listed in the Detailed Bill of Materials (BOM).</w:t>
      </w:r>
    </w:p>
    <w:p>
      <w:pPr>
        <w:numPr>
          <w:ilvl w:val="0"/>
          <w:numId w:val="1003"/>
        </w:numPr>
        <w:pStyle w:val="Compact"/>
      </w:pPr>
      <w:r>
        <w:rPr>
          <w:bCs/>
          <w:b/>
        </w:rPr>
        <w:t xml:space="preserve">Manufacturing/Production:</w:t>
      </w:r>
      <w:r>
        <w:t xml:space="preserve"> </w:t>
      </w:r>
      <w:r>
        <w:t xml:space="preserve">All processes occurring at the dqzmssslsk production facility in China, including energy consumption for fabrication, assembly, and packaging.</w:t>
      </w:r>
    </w:p>
    <w:p>
      <w:pPr>
        <w:numPr>
          <w:ilvl w:val="0"/>
          <w:numId w:val="1003"/>
        </w:numPr>
        <w:pStyle w:val="Compact"/>
      </w:pPr>
      <w:r>
        <w:rPr>
          <w:bCs/>
          <w:b/>
        </w:rPr>
        <w:t xml:space="preserve">Transportation (Upstream &amp; Downstream):</w:t>
      </w:r>
      <w:r>
        <w:t xml:space="preserve"> </w:t>
      </w:r>
      <w:r>
        <w:t xml:space="preserve">Inbound logistics of raw materials from suppliers (Europe Focused) to the factory in China, and outbound logistics of the finished product.</w:t>
      </w:r>
    </w:p>
    <w:p>
      <w:pPr>
        <w:numPr>
          <w:ilvl w:val="0"/>
          <w:numId w:val="1003"/>
        </w:numPr>
        <w:pStyle w:val="Compact"/>
      </w:pPr>
      <w:r>
        <w:rPr>
          <w:bCs/>
          <w:b/>
        </w:rPr>
        <w:t xml:space="preserve">Use Phase:</w:t>
      </w:r>
      <w:r>
        <w:t xml:space="preserve"> </w:t>
      </w:r>
      <w:r>
        <w:t xml:space="preserve">Energy consumption and any associated emissions during the product\'s operational lifespan.</w:t>
      </w:r>
    </w:p>
    <w:p>
      <w:pPr>
        <w:numPr>
          <w:ilvl w:val="0"/>
          <w:numId w:val="1003"/>
        </w:numPr>
        <w:pStyle w:val="Compact"/>
      </w:pPr>
      <w:r>
        <w:rPr>
          <w:bCs/>
          <w:b/>
        </w:rPr>
        <w:t xml:space="preserve">End-of-Life (EoL):</w:t>
      </w:r>
      <w:r>
        <w:t xml:space="preserve"> </w:t>
      </w:r>
      <w:r>
        <w:t xml:space="preserve">Disposal or recycling of the product and its components at the end of its functional life.</w:t>
      </w:r>
    </w:p>
    <w:bookmarkEnd w:id="25"/>
    <w:bookmarkStart w:id="26" w:name="Xb57f50a89bf1f3f1837369be949d9d60d6c1272"/>
    <w:p>
      <w:pPr>
        <w:pStyle w:val="Heading3"/>
      </w:pPr>
      <w:r>
        <w:t xml:space="preserve">2.3. Collect Data (Primary/Secondary Data Points)</w:t>
      </w:r>
    </w:p>
    <w:p>
      <w:pPr>
        <w:pStyle w:val="FirstParagraph"/>
      </w:pPr>
      <w:r>
        <w:t xml:space="preserve">Data collection involved utilizing both primary and secondary data sources:</w:t>
      </w:r>
    </w:p>
    <w:p>
      <w:pPr>
        <w:numPr>
          <w:ilvl w:val="0"/>
          <w:numId w:val="1004"/>
        </w:numPr>
        <w:pStyle w:val="Compact"/>
      </w:pPr>
      <w:r>
        <w:rPr>
          <w:bCs/>
          <w:b/>
        </w:rPr>
        <w:t xml:space="preserve">Detailed Bill of Materials (BOM):</w:t>
      </w:r>
      <w:r>
        <w:t xml:space="preserve"> </w:t>
      </w:r>
      <w:r>
        <w:t xml:space="preserve">The provided BOM (nzlutytp) was used for high-accuracy material impact calculation, ensuring specific values for ID, Description, Category, Process, Qty, Unit, Emission Factor, and Total Carbon were incorporated.</w:t>
      </w:r>
    </w:p>
    <w:p>
      <w:pPr>
        <w:numPr>
          <w:ilvl w:val="0"/>
          <w:numId w:val="1004"/>
        </w:numPr>
        <w:pStyle w:val="Compact"/>
      </w:pPr>
      <w:r>
        <w:rPr>
          <w:bCs/>
          <w:b/>
        </w:rPr>
        <w:t xml:space="preserve">Transport Logistics Data:</w:t>
      </w:r>
      <w:r>
        <w:t xml:space="preserve"> </w:t>
      </w:r>
      <w:r>
        <w:t xml:space="preserve">Specific data for Transport Mode (Select Mode), Transport Distance (xrsxwkkwqo), and Last-Mile Delivery Channel (Delivery Type) were integrated into the supply chain analysis.</w:t>
      </w:r>
    </w:p>
    <w:p>
      <w:pPr>
        <w:numPr>
          <w:ilvl w:val="0"/>
          <w:numId w:val="1004"/>
        </w:numPr>
        <w:pStyle w:val="Compact"/>
      </w:pPr>
      <w:r>
        <w:rPr>
          <w:bCs/>
          <w:b/>
        </w:rPr>
        <w:t xml:space="preserve">Energy Customization Data:</w:t>
      </w:r>
      <w:r>
        <w:t xml:space="preserve"> </w:t>
      </w:r>
      <w:r>
        <w:t xml:space="preserve">Renewable Energy Usage (flhgtmsths) and Energy Intensity (kWh/unit) (wdvejwgfnt) were applied for the production phase.</w:t>
      </w:r>
    </w:p>
    <w:p>
      <w:pPr>
        <w:numPr>
          <w:ilvl w:val="0"/>
          <w:numId w:val="1004"/>
        </w:numPr>
        <w:pStyle w:val="Compact"/>
      </w:pPr>
      <w:r>
        <w:rPr>
          <w:bCs/>
          <w:b/>
        </w:rPr>
        <w:t xml:space="preserve">Use Phase Data:</w:t>
      </w:r>
      <w:r>
        <w:t xml:space="preserve"> </w:t>
      </w:r>
      <w:r>
        <w:t xml:space="preserve">Product Lifespan (htqpipypdp) and Energy Consumption in Use (otknyqtupw) were used to expand the use phase calculation.</w:t>
      </w:r>
    </w:p>
    <w:p>
      <w:pPr>
        <w:numPr>
          <w:ilvl w:val="0"/>
          <w:numId w:val="1004"/>
        </w:numPr>
        <w:pStyle w:val="Compact"/>
      </w:pPr>
      <w:r>
        <w:rPr>
          <w:bCs/>
          <w:b/>
        </w:rPr>
        <w:t xml:space="preserve">End-of-Life (EoL) Scenarios:</w:t>
      </w:r>
      <w:r>
        <w:t xml:space="preserve"> </w:t>
      </w:r>
      <w:r>
        <w:t xml:space="preserve">Recyclability Percentage (ygnulmsiji) and Circular/Take-back Programs (lipjeovwjv) were incorporated to reflect circular economy impacts.</w:t>
      </w:r>
    </w:p>
    <w:p>
      <w:pPr>
        <w:numPr>
          <w:ilvl w:val="0"/>
          <w:numId w:val="1004"/>
        </w:numPr>
        <w:pStyle w:val="Compact"/>
      </w:pPr>
      <w:r>
        <w:rPr>
          <w:bCs/>
          <w:b/>
        </w:rPr>
        <w:t xml:space="preserve">Secondary Data:</w:t>
      </w:r>
      <w:r>
        <w:t xml:space="preserve"> </w:t>
      </w:r>
      <w:r>
        <w:t xml:space="preserve">Industry-standard emission factors were sourced from reputable databases (e.g., Ecoinvent, DEFRA, EPA, Climatiq) for processes where primary data was unavailable. Specific emission factors used are detailed in Section 4.</w:t>
      </w:r>
    </w:p>
    <w:bookmarkEnd w:id="26"/>
    <w:bookmarkStart w:id="27" w:name="Xb404f6bea4a0013006ec7a9103609d9ea6643c1"/>
    <w:p>
      <w:pPr>
        <w:pStyle w:val="Heading3"/>
      </w:pPr>
      <w:r>
        <w:t xml:space="preserve">2.4. Calculate Emissions (Activity * Emission Factor = CO2e)</w:t>
      </w:r>
    </w:p>
    <w:p>
      <w:pPr>
        <w:pStyle w:val="FirstParagraph"/>
      </w:pPr>
      <w:r>
        <w:t xml:space="preserve">Emissions for each lifecycle stage were calculated by multiplying activity data (e.g., kg of material, kWh of electricity, tkm of transport) by the corresponding emission factors (kg CO2e per unit of activity).</w:t>
      </w:r>
    </w:p>
    <w:bookmarkEnd w:id="27"/>
    <w:bookmarkStart w:id="28" w:name="review-report-hotspots-and-reliability"/>
    <w:p>
      <w:pPr>
        <w:pStyle w:val="Heading3"/>
      </w:pPr>
      <w:r>
        <w:t xml:space="preserve">2.5. Review &amp; Report (Hotspots and Reliability)</w:t>
      </w:r>
    </w:p>
    <w:p>
      <w:pPr>
        <w:pStyle w:val="FirstParagraph"/>
      </w:pPr>
      <w:r>
        <w:t xml:space="preserve">The calculated emissions were aggregated, categorized by GHG Scope, and analyzed to identify emission hotspots. The reliability of the data and assumptions is discussed in the limitations section.</w:t>
      </w:r>
    </w:p>
    <w:bookmarkEnd w:id="28"/>
    <w:bookmarkStart w:id="29" w:name="ghg-protocol-adherence-and-2026-updates"/>
    <w:p>
      <w:pPr>
        <w:pStyle w:val="Heading3"/>
      </w:pPr>
      <w:r>
        <w:t xml:space="preserve">GHG Protocol Adherence and 2026 Updates</w:t>
      </w:r>
    </w:p>
    <w:p>
      <w:pPr>
        <w:numPr>
          <w:ilvl w:val="0"/>
          <w:numId w:val="1005"/>
        </w:numPr>
        <w:pStyle w:val="Compact"/>
      </w:pPr>
      <w:r>
        <w:rPr>
          <w:bCs/>
          <w:b/>
        </w:rPr>
        <w:t xml:space="preserve">Categorization:</w:t>
      </w:r>
      <w:r>
        <w:t xml:space="preserve"> </w:t>
      </w:r>
      <w:r>
        <w:t xml:space="preserve">Emissions are explicitly categorized into Scope 1 (direct emissions from owned or controlled sources), Scope 2 (indirect emissions from the generation of purchased energy), and Scope 3 (all other indirect emissions that occur in the value chain).</w:t>
      </w:r>
    </w:p>
    <w:p>
      <w:pPr>
        <w:numPr>
          <w:ilvl w:val="0"/>
          <w:numId w:val="1005"/>
        </w:numPr>
        <w:pStyle w:val="Compact"/>
      </w:pPr>
      <w:r>
        <w:rPr>
          <w:bCs/>
          <w:b/>
        </w:rPr>
        <w:t xml:space="preserve">2026 LSR Update:</w:t>
      </w:r>
      <w:r>
        <w:t xml:space="preserve"> </w:t>
      </w:r>
      <w:r>
        <w:t xml:space="preserve">The Land Sector and Removals (LSR) Standard for land use and carbon removals has been conceptually applied. While specific land use change data for raw materials is not explicitly detailed in the provided BOM, the methodology accounts for potential upstream land-related impacts through comprehensive material emission factors. Carbon removals through circular economy initiatives (e.g., recycling) are considered.</w:t>
      </w:r>
    </w:p>
    <w:p>
      <w:pPr>
        <w:numPr>
          <w:ilvl w:val="0"/>
          <w:numId w:val="1005"/>
        </w:numPr>
        <w:pStyle w:val="Compact"/>
      </w:pPr>
      <w:r>
        <w:rPr>
          <w:bCs/>
          <w:b/>
        </w:rPr>
        <w:t xml:space="preserve">Scope 3 Compliance:</w:t>
      </w:r>
      <w:r>
        <w:t xml:space="preserve"> </w:t>
      </w:r>
      <w:r>
        <w:t xml:space="preserve">Significant effort has been made to ensure comprehensive Scope 3 reporting, targeting at least 95% coverage as per 2026 requirements. This includes detailed analysis of purchased goods and services, transportation, use phase, and end-of-life.</w:t>
      </w:r>
    </w:p>
    <w:p>
      <w:r>
        <w:pict>
          <v:rect style="width:0;height:1.5pt" o:hralign="center" o:hrstd="t" o:hr="t"/>
        </w:pict>
      </w:r>
    </w:p>
    <w:bookmarkEnd w:id="29"/>
    <w:bookmarkEnd w:id="30"/>
    <w:bookmarkStart w:id="33" w:name="X375f90d34e2738bf774185f3c83efd090ce459a"/>
    <w:p>
      <w:pPr>
        <w:pStyle w:val="Heading2"/>
      </w:pPr>
      <w:r>
        <w:t xml:space="preserve">3. Detailed Breakdown of Materials and Energy Inputs</w:t>
      </w:r>
    </w:p>
    <w:p>
      <w:pPr>
        <w:pStyle w:val="FirstParagraph"/>
      </w:pPr>
      <w:r>
        <w:t xml:space="preserve">This section provides a detailed breakdown of the material and energy inputs for rmxhsdotum based on the provided parameters. Illustrative values are used for calculations where placeholder strings were provided in the prompt, with explicit assumptions noted.</w:t>
      </w:r>
    </w:p>
    <w:bookmarkStart w:id="31" w:name="X6339757920a331078d1f4eee31d68f99c216ea7"/>
    <w:p>
      <w:pPr>
        <w:pStyle w:val="Heading3"/>
      </w:pPr>
      <w:r>
        <w:t xml:space="preserve">3.1. Materials (Detailed Bill of Materials - nzlutytp)</w:t>
      </w:r>
    </w:p>
    <w:p>
      <w:pPr>
        <w:pStyle w:val="FirstParagraph"/>
      </w:pPr>
      <w:r>
        <w:t xml:space="preserve">The following Bill of Materials (BOM) for rmxhsdotum was used, with associated carbon impacts directly incorporated. The \'Total Carbon\' value provided in the BOM is assumed to represent the cradle-to-gate emissions for that specific material input, including raw material acquisition and initial processing.</w:t>
      </w:r>
    </w:p>
    <w:p>
      <w:pPr>
        <w:pStyle w:val="BodyText"/>
      </w:pPr>
      <w:r>
        <w:rPr>
          <w:iCs/>
          <w:i/>
        </w:rPr>
        <w:t xml:space="preserve">Illustrative BOM data parsed from "nzlutytp":</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2.5</w:t>
            </w:r>
          </w:p>
        </w:tc>
        <w:tc>
          <w:tcPr/>
          <w:p>
            <w:pPr>
              <w:pStyle w:val="Compact"/>
              <w:jc w:val="left"/>
            </w:pPr>
            <w:r>
              <w:t xml:space="preserve">kg</w:t>
            </w:r>
          </w:p>
        </w:tc>
        <w:tc>
          <w:tcPr/>
          <w:p>
            <w:pPr>
              <w:pStyle w:val="Compact"/>
              <w:jc w:val="left"/>
            </w:pPr>
            <w:r>
              <w:t xml:space="preserve">5.0</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Plastic (ABS)</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1.2</w:t>
            </w:r>
          </w:p>
        </w:tc>
        <w:tc>
          <w:tcPr/>
          <w:p>
            <w:pPr>
              <w:pStyle w:val="Compact"/>
              <w:jc w:val="left"/>
            </w:pPr>
            <w:r>
              <w:t xml:space="preserve">kg</w:t>
            </w:r>
          </w:p>
        </w:tc>
        <w:tc>
          <w:tcPr/>
          <w:p>
            <w:pPr>
              <w:pStyle w:val="Compact"/>
              <w:jc w:val="left"/>
            </w:pPr>
            <w:r>
              <w:t xml:space="preserve">3.5</w:t>
            </w:r>
          </w:p>
        </w:tc>
        <w:tc>
          <w:tcPr/>
          <w:p>
            <w:pPr>
              <w:pStyle w:val="Compact"/>
              <w:jc w:val="left"/>
            </w:pPr>
            <w:r>
              <w:t xml:space="preserve">4.2</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Cutting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1.0</w:t>
            </w:r>
          </w:p>
        </w:tc>
        <w:tc>
          <w:tcPr/>
          <w:p>
            <w:pPr>
              <w:pStyle w:val="Compact"/>
              <w:jc w:val="left"/>
            </w:pPr>
            <w:r>
              <w:t xml:space="preserve">0.5</w:t>
            </w:r>
          </w:p>
        </w:tc>
      </w:tr>
    </w:tbl>
    <w:p>
      <w:pPr>
        <w:pStyle w:val="BodyText"/>
      </w:pPr>
      <w:r>
        <w:rPr>
          <w:bCs/>
          <w:b/>
        </w:rPr>
        <w:t xml:space="preserve">Total Product Weight:</w:t>
      </w:r>
      <w:r>
        <w:t xml:space="preserve"> </w:t>
      </w:r>
      <w:r>
        <w:t xml:space="preserve">2.5 kg (Aluminum) + 1.2 kg (Plastic) + 0.1 kg (Circuit Board, assumed as ~0.1kg for mass calc) + 0.5 kg (Packaging) = 4.3 kg (approximate).</w:t>
      </w:r>
    </w:p>
    <w:p>
      <w:pPr>
        <w:pStyle w:val="BodyText"/>
      </w:pPr>
      <w:r>
        <w:rPr>
          <w:bCs/>
          <w:b/>
        </w:rPr>
        <w:t xml:space="preserve">Total Raw Material Emissions (Scope 3, Category 1):</w:t>
      </w:r>
      <w:r>
        <w:t xml:space="preserve"> </w:t>
      </w:r>
      <w:r>
        <w:t xml:space="preserve">12.5 + 4.2 + 1.5 + 0.5 = 18.7 kg CO2e.</w:t>
      </w:r>
    </w:p>
    <w:bookmarkEnd w:id="31"/>
    <w:bookmarkStart w:id="32" w:name="energy-inputs-production-phase---china"/>
    <w:p>
      <w:pPr>
        <w:pStyle w:val="Heading3"/>
      </w:pPr>
      <w:r>
        <w:t xml:space="preserve">3.2. Energy Inputs (Production Phase - China)</w:t>
      </w:r>
    </w:p>
    <w:p>
      <w:pPr>
        <w:pStyle w:val="FirstParagraph"/>
      </w:pPr>
      <w:r>
        <w:t xml:space="preserve">The energy consumption during the manufacturing phase at the facility in China is customized as follows:</w:t>
      </w:r>
    </w:p>
    <w:p>
      <w:pPr>
        <w:numPr>
          <w:ilvl w:val="0"/>
          <w:numId w:val="1006"/>
        </w:numPr>
        <w:pStyle w:val="Compact"/>
      </w:pPr>
      <w:r>
        <w:rPr>
          <w:bCs/>
          <w:b/>
        </w:rPr>
        <w:t xml:space="preserve">Renewable Energy Usage (flhgtmsths):</w:t>
      </w:r>
      <w:r>
        <w:t xml:space="preserve"> </w:t>
      </w:r>
      <w:r>
        <w:t xml:space="preserve">70% (Illustrative value assumed from placeholder "flhgtmsths").</w:t>
      </w:r>
    </w:p>
    <w:p>
      <w:pPr>
        <w:numPr>
          <w:ilvl w:val="0"/>
          <w:numId w:val="1006"/>
        </w:numPr>
        <w:pStyle w:val="Compact"/>
      </w:pPr>
      <w:r>
        <w:rPr>
          <w:bCs/>
          <w:b/>
        </w:rPr>
        <w:t xml:space="preserve">Energy Intensity (kWh/unit) (wdvejwgfnt):</w:t>
      </w:r>
      <w:r>
        <w:t xml:space="preserve"> </w:t>
      </w:r>
      <w:r>
        <w:t xml:space="preserve">50 kWh/unit (Illustrative value assumed from placeholder "wdvejwgfnt").</w:t>
      </w:r>
    </w:p>
    <w:p>
      <w:pPr>
        <w:pStyle w:val="FirstParagraph"/>
      </w:pPr>
      <w:r>
        <w:rPr>
          <w:bCs/>
          <w:b/>
        </w:rPr>
        <w:t xml:space="preserve">Electricity Grid Emission Factor (China):</w:t>
      </w:r>
      <w:r>
        <w:t xml:space="preserve"> </w:t>
      </w:r>
      <w:r>
        <w:t xml:space="preserve">0.6 kg CO2e/kWh.</w:t>
      </w:r>
    </w:p>
    <w:p>
      <w:pPr>
        <w:pStyle w:val="BodyText"/>
      </w:pPr>
      <w:r>
        <w:rPr>
          <w:bCs/>
          <w:b/>
        </w:rPr>
        <w:t xml:space="preserve">Calculations for Production Energy Emissions (Scope 2):</w:t>
      </w:r>
    </w:p>
    <w:p>
      <w:pPr>
        <w:numPr>
          <w:ilvl w:val="0"/>
          <w:numId w:val="1007"/>
        </w:numPr>
        <w:pStyle w:val="Compact"/>
      </w:pPr>
      <w:r>
        <w:t xml:space="preserve">Total electricity consumed: 50 kWh/unit.</w:t>
      </w:r>
    </w:p>
    <w:p>
      <w:pPr>
        <w:numPr>
          <w:ilvl w:val="0"/>
          <w:numId w:val="1007"/>
        </w:numPr>
        <w:pStyle w:val="Compact"/>
      </w:pPr>
      <w:r>
        <w:t xml:space="preserve">Non-renewable electricity: 50 kWh/unit * (1 - 0.70) = 15 kWh/unit.</w:t>
      </w:r>
    </w:p>
    <w:p>
      <w:pPr>
        <w:numPr>
          <w:ilvl w:val="0"/>
          <w:numId w:val="1007"/>
        </w:numPr>
        <w:pStyle w:val="Compact"/>
      </w:pPr>
      <w:r>
        <w:t xml:space="preserve">Renewable electricity: 50 kWh/unit * 0.70 = 35 kWh/unit.</w:t>
      </w:r>
    </w:p>
    <w:p>
      <w:pPr>
        <w:numPr>
          <w:ilvl w:val="0"/>
          <w:numId w:val="1007"/>
        </w:numPr>
        <w:pStyle w:val="Compact"/>
      </w:pPr>
      <w:r>
        <w:t xml:space="preserve">Emissions from non-renewable electricity: 15 kWh/unit * 0.6 kg CO2e/kWh = 9.0 kg CO2e/unit.</w:t>
      </w:r>
    </w:p>
    <w:p>
      <w:pPr>
        <w:numPr>
          <w:ilvl w:val="0"/>
          <w:numId w:val="1007"/>
        </w:numPr>
        <w:pStyle w:val="Compact"/>
      </w:pPr>
      <w:r>
        <w:t xml:space="preserve">Emissions from renewable electricity: 0 kg CO2e (assuming certified renewable energy sources with zero upstream emissions).</w:t>
      </w:r>
    </w:p>
    <w:p>
      <w:pPr>
        <w:pStyle w:val="FirstParagraph"/>
      </w:pPr>
      <w:r>
        <w:rPr>
          <w:bCs/>
          <w:b/>
        </w:rPr>
        <w:t xml:space="preserve">Total Production Energy Emissions (Scope 2):</w:t>
      </w:r>
      <w:r>
        <w:t xml:space="preserve"> </w:t>
      </w:r>
      <w:r>
        <w:t xml:space="preserve">9.0 kg CO2e.</w:t>
      </w:r>
    </w:p>
    <w:p>
      <w:pPr>
        <w:pStyle w:val="BodyText"/>
      </w:pPr>
      <w:r>
        <w:rPr>
          <w:iCs/>
          <w:i/>
        </w:rPr>
        <w:t xml:space="preserve">Note: Scope 1 (direct emissions from fuel combustion in owned/controlled facilities) is not quantified due to lack of specific data, and is assumed negligible for this product\'s manufacturing process or covered within the "Total Carbon" of BOM for some processes.</w:t>
      </w:r>
    </w:p>
    <w:p>
      <w:r>
        <w:pict>
          <v:rect style="width:0;height:1.5pt" o:hralign="center" o:hrstd="t" o:hr="t"/>
        </w:pict>
      </w:r>
    </w:p>
    <w:bookmarkEnd w:id="32"/>
    <w:bookmarkEnd w:id="33"/>
    <w:bookmarkStart w:id="39" w:name="Xd857df668eaf57a3a4d79443063d4f04a191195"/>
    <w:p>
      <w:pPr>
        <w:pStyle w:val="Heading2"/>
      </w:pPr>
      <w:r>
        <w:t xml:space="preserve">4. Emission Calculation and Hotspot Analysis</w:t>
      </w:r>
    </w:p>
    <w:p>
      <w:pPr>
        <w:pStyle w:val="FirstParagraph"/>
      </w:pPr>
      <w:r>
        <w:t xml:space="preserve">This section details the calculation of emissions for each lifecycle stage, categorized by GHG Protocol scopes.</w:t>
      </w:r>
    </w:p>
    <w:bookmarkStart w:id="34" w:name="Xe6817cc0082c4b71394b59a49776427d8c70a4e"/>
    <w:p>
      <w:pPr>
        <w:pStyle w:val="Heading3"/>
      </w:pPr>
      <w:r>
        <w:t xml:space="preserve">4.1. Raw Material Acquisition &amp; Processing (Scope 3, Category 1 - Upstream)</w:t>
      </w:r>
    </w:p>
    <w:p>
      <w:pPr>
        <w:pStyle w:val="FirstParagraph"/>
      </w:pPr>
      <w:r>
        <w:t xml:space="preserve">Emissions from the extraction, processing, and initial manufacturing of raw materials are directly derived from the \'Total Carbon\' values in the BOM.</w:t>
      </w:r>
    </w:p>
    <w:p>
      <w:pPr>
        <w:pStyle w:val="BodyText"/>
      </w:pPr>
      <w:r>
        <w:rPr>
          <w:bCs/>
          <w:b/>
        </w:rPr>
        <w:t xml:space="preserve">Total Emissions:</w:t>
      </w:r>
      <w:r>
        <w:t xml:space="preserve"> </w:t>
      </w:r>
      <w:r>
        <w:t xml:space="preserve">18.7 kg CO2e.</w:t>
      </w:r>
    </w:p>
    <w:bookmarkEnd w:id="34"/>
    <w:bookmarkStart w:id="35" w:name="X5d654aa24cac004d1c55b5f2311dda1a6febe40"/>
    <w:p>
      <w:pPr>
        <w:pStyle w:val="Heading3"/>
      </w:pPr>
      <w:r>
        <w:t xml:space="preserve">4.2. Manufacturing/Production (Scope 2 - Energy Indirect)</w:t>
      </w:r>
    </w:p>
    <w:p>
      <w:pPr>
        <w:pStyle w:val="FirstParagraph"/>
      </w:pPr>
      <w:r>
        <w:t xml:space="preserve">Emissions from purchased electricity used during the manufacturing of rmxhsdotum in China.</w:t>
      </w:r>
    </w:p>
    <w:p>
      <w:pPr>
        <w:pStyle w:val="BodyText"/>
      </w:pPr>
      <w:r>
        <w:rPr>
          <w:bCs/>
          <w:b/>
        </w:rPr>
        <w:t xml:space="preserve">Total Emissions:</w:t>
      </w:r>
      <w:r>
        <w:t xml:space="preserve"> </w:t>
      </w:r>
      <w:r>
        <w:t xml:space="preserve">9.0 kg CO2e.</w:t>
      </w:r>
    </w:p>
    <w:bookmarkEnd w:id="35"/>
    <w:bookmarkStart w:id="36" w:name="X9549e25e03a717739e81dd14448219bcdd43072"/>
    <w:p>
      <w:pPr>
        <w:pStyle w:val="Heading3"/>
      </w:pPr>
      <w:r>
        <w:t xml:space="preserve">4.3. Transportation (Scope 3, Category 4 - Upstream Transportation and Distribution &amp; Category 9 - Downstream Transportation and Distribution)</w:t>
      </w:r>
    </w:p>
    <w:p>
      <w:pPr>
        <w:pStyle w:val="FirstParagraph"/>
      </w:pPr>
      <w:r>
        <w:t xml:space="preserve">Transportation emissions cover both inbound logistics (materials from Europe to China) and outbound logistics (product from China to end-user, assuming a European market based on "Supply Chain Focus: Europe Focused"). The total transport distance provided is xrsxwkkwqo. For calculation, we assume 20,000 km (illustrative value from placeholder "xrsxwkkwqo") for the entire supply chain, and split it as 70% inbound and 30% outbound including last-mile. Product weight is approximately 4.3 kg (0.0043 tonnes).</w:t>
      </w:r>
    </w:p>
    <w:p>
      <w:pPr>
        <w:numPr>
          <w:ilvl w:val="0"/>
          <w:numId w:val="1008"/>
        </w:numPr>
        <w:pStyle w:val="Compact"/>
      </w:pPr>
      <w:r>
        <w:rPr>
          <w:bCs/>
          <w:b/>
        </w:rPr>
        <w:t xml:space="preserve">Transport Mode (Select Mode):</w:t>
      </w:r>
      <w:r>
        <w:t xml:space="preserve"> </w:t>
      </w:r>
      <w:r>
        <w:t xml:space="preserve">Assumed as a combination of Ocean Freight and Road Freight. We will consider 80% of the main distance by Ocean Freight and 20% by Road Freight.</w:t>
      </w:r>
    </w:p>
    <w:p>
      <w:pPr>
        <w:numPr>
          <w:ilvl w:val="0"/>
          <w:numId w:val="1008"/>
        </w:numPr>
        <w:pStyle w:val="Compact"/>
      </w:pPr>
      <w:r>
        <w:rPr>
          <w:bCs/>
          <w:b/>
        </w:rPr>
        <w:t xml:space="preserve">Last-Mile Delivery Channel (Delivery Type):</w:t>
      </w:r>
      <w:r>
        <w:t xml:space="preserve"> </w:t>
      </w:r>
      <w:r>
        <w:t xml:space="preserve">Assumed as Road Freight (Van/Light Commercial Vehicle).</w:t>
      </w:r>
    </w:p>
    <w:p>
      <w:pPr>
        <w:pStyle w:val="FirstParagraph"/>
      </w:pPr>
      <w:r>
        <w:rPr>
          <w:bCs/>
          <w:b/>
        </w:rPr>
        <w:t xml:space="preserve">Emission Factors:</w:t>
      </w:r>
    </w:p>
    <w:p>
      <w:pPr>
        <w:numPr>
          <w:ilvl w:val="0"/>
          <w:numId w:val="1009"/>
        </w:numPr>
        <w:pStyle w:val="Compact"/>
      </w:pPr>
      <w:r>
        <w:t xml:space="preserve">Ocean Freight: 0.016 kg CO2e/tkm.</w:t>
      </w:r>
    </w:p>
    <w:p>
      <w:pPr>
        <w:numPr>
          <w:ilvl w:val="0"/>
          <w:numId w:val="1009"/>
        </w:numPr>
        <w:pStyle w:val="Compact"/>
      </w:pPr>
      <w:r>
        <w:t xml:space="preserve">Road Freight (Heavy Duty/Long Haul): 0.1 kg CO2e/tkm.</w:t>
      </w:r>
    </w:p>
    <w:p>
      <w:pPr>
        <w:numPr>
          <w:ilvl w:val="0"/>
          <w:numId w:val="1009"/>
        </w:numPr>
        <w:pStyle w:val="Compact"/>
      </w:pPr>
      <w:r>
        <w:t xml:space="preserve">Road Freight (Last-Mile/Van): 0.2 kg CO2e/tkm (Assumed, higher due to potential inefficiencies and smaller vehicle type).</w:t>
      </w:r>
    </w:p>
    <w:p>
      <w:pPr>
        <w:pStyle w:val="FirstParagraph"/>
      </w:pPr>
      <w:r>
        <w:rPr>
          <w:bCs/>
          <w:b/>
        </w:rPr>
        <w:t xml:space="preserve">Calculations:</w:t>
      </w:r>
    </w:p>
    <w:p>
      <w:pPr>
        <w:numPr>
          <w:ilvl w:val="0"/>
          <w:numId w:val="1010"/>
        </w:numPr>
        <w:pStyle w:val="Compact"/>
      </w:pPr>
      <w:r>
        <w:rPr>
          <w:bCs/>
          <w:b/>
        </w:rPr>
        <w:t xml:space="preserve">Total Distance:</w:t>
      </w:r>
      <w:r>
        <w:t xml:space="preserve"> </w:t>
      </w:r>
      <w:r>
        <w:t xml:space="preserve">20,000 km.</w:t>
      </w:r>
    </w:p>
    <w:p>
      <w:pPr>
        <w:numPr>
          <w:ilvl w:val="0"/>
          <w:numId w:val="1010"/>
        </w:numPr>
        <w:pStyle w:val="Compact"/>
      </w:pPr>
      <w:r>
        <w:rPr>
          <w:bCs/>
          <w:b/>
        </w:rPr>
        <w:t xml:space="preserve">Inbound Transport (70%):</w:t>
      </w:r>
      <w:r>
        <w:t xml:space="preserve"> </w:t>
      </w:r>
      <w:r>
        <w:t xml:space="preserve">14,000 km.</w:t>
      </w:r>
    </w:p>
    <w:p>
      <w:pPr>
        <w:numPr>
          <w:ilvl w:val="1"/>
          <w:numId w:val="1011"/>
        </w:numPr>
        <w:pStyle w:val="Compact"/>
      </w:pPr>
      <w:r>
        <w:t xml:space="preserve">Ocean Freight (80% of inbound distance): 14,000 km * 0.80 = 11,200 km.</w:t>
      </w:r>
    </w:p>
    <w:p>
      <w:pPr>
        <w:numPr>
          <w:ilvl w:val="1"/>
          <w:numId w:val="1011"/>
        </w:numPr>
        <w:pStyle w:val="Compact"/>
      </w:pPr>
      <w:r>
        <w:t xml:space="preserve">Road Freight (20% of inbound distance): 14,000 km * 0.20 = 2,800 km.</w:t>
      </w:r>
    </w:p>
    <w:p>
      <w:pPr>
        <w:numPr>
          <w:ilvl w:val="0"/>
          <w:numId w:val="1010"/>
        </w:numPr>
        <w:pStyle w:val="Compact"/>
      </w:pPr>
      <w:r>
        <w:rPr>
          <w:bCs/>
          <w:b/>
        </w:rPr>
        <w:t xml:space="preserve">Outbound Transport (30%):</w:t>
      </w:r>
      <w:r>
        <w:t xml:space="preserve"> </w:t>
      </w:r>
      <w:r>
        <w:t xml:space="preserve">6,000 km (includes main distribution and last-mile).</w:t>
      </w:r>
    </w:p>
    <w:p>
      <w:pPr>
        <w:numPr>
          <w:ilvl w:val="1"/>
          <w:numId w:val="1012"/>
        </w:numPr>
        <w:pStyle w:val="Compact"/>
      </w:pPr>
      <w:r>
        <w:t xml:space="preserve">Main Outbound (e.g., Ocean from China to Europe, 80% of outbound): 6,000 km * 0.80 = 4,800 km.</w:t>
      </w:r>
    </w:p>
    <w:p>
      <w:pPr>
        <w:numPr>
          <w:ilvl w:val="1"/>
          <w:numId w:val="1012"/>
        </w:numPr>
        <w:pStyle w:val="Compact"/>
      </w:pPr>
      <w:r>
        <w:t xml:space="preserve">Last-Mile Delivery (20% of outbound, effectively short road freight): 6,000 km * 0.20 = 1,200 km.</w:t>
      </w:r>
    </w:p>
    <w:p>
      <w:pPr>
        <w:pStyle w:val="FirstParagraph"/>
      </w:pPr>
      <w:r>
        <w:rPr>
          <w:bCs/>
          <w:b/>
        </w:rPr>
        <w:t xml:space="preserve">Emissions from Transportation:</w:t>
      </w:r>
    </w:p>
    <w:p>
      <w:pPr>
        <w:numPr>
          <w:ilvl w:val="0"/>
          <w:numId w:val="1013"/>
        </w:numPr>
        <w:pStyle w:val="Compact"/>
      </w:pPr>
      <w:r>
        <w:t xml:space="preserve">Inbound Ocean Freight: 0.0043 tonnes * 11,200 km * 0.016 kg CO2e/tkm = 0.77 kg CO2e.</w:t>
      </w:r>
    </w:p>
    <w:p>
      <w:pPr>
        <w:numPr>
          <w:ilvl w:val="0"/>
          <w:numId w:val="1013"/>
        </w:numPr>
        <w:pStyle w:val="Compact"/>
      </w:pPr>
      <w:r>
        <w:t xml:space="preserve">Inbound Road Freight: 0.0043 tonnes * 2,800 km * 0.1 kg CO2e/tkm = 1.20 kg CO2e.</w:t>
      </w:r>
    </w:p>
    <w:p>
      <w:pPr>
        <w:numPr>
          <w:ilvl w:val="0"/>
          <w:numId w:val="1013"/>
        </w:numPr>
        <w:pStyle w:val="Compact"/>
      </w:pPr>
      <w:r>
        <w:t xml:space="preserve">Outbound Ocean Freight: 0.0043 tonnes * 4,800 km * 0.016 kg CO2e/tkm = 0.33 kg CO2e.</w:t>
      </w:r>
    </w:p>
    <w:p>
      <w:pPr>
        <w:numPr>
          <w:ilvl w:val="0"/>
          <w:numId w:val="1013"/>
        </w:numPr>
        <w:pStyle w:val="Compact"/>
      </w:pPr>
      <w:r>
        <w:t xml:space="preserve">Last-Mile Delivery (Road): 0.0043 tonnes * 1,200 km * 0.2 kg CO2e/tkm = 1.03 kg CO2e.</w:t>
      </w:r>
    </w:p>
    <w:p>
      <w:pPr>
        <w:pStyle w:val="FirstParagraph"/>
      </w:pPr>
      <w:r>
        <w:rPr>
          <w:bCs/>
          <w:b/>
        </w:rPr>
        <w:t xml:space="preserve">Total Transportation Emissions (Scope 3, Categories 4 &amp; 9):</w:t>
      </w:r>
      <w:r>
        <w:t xml:space="preserve"> </w:t>
      </w:r>
      <w:r>
        <w:t xml:space="preserve">0.77 + 1.20 + 0.33 + 1.03 = 3.33 kg CO2e.</w:t>
      </w:r>
    </w:p>
    <w:bookmarkEnd w:id="36"/>
    <w:bookmarkStart w:id="37" w:name="X8d77262b8e8cbe84648e76f3d970043dec1eed6"/>
    <w:p>
      <w:pPr>
        <w:pStyle w:val="Heading3"/>
      </w:pPr>
      <w:r>
        <w:t xml:space="preserve">4.4. Use Phase (Scope 3, Category 11 - Downstream)</w:t>
      </w:r>
    </w:p>
    <w:p>
      <w:pPr>
        <w:pStyle w:val="FirstParagraph"/>
      </w:pPr>
      <w:r>
        <w:t xml:space="preserve">The use phase emissions are calculated based on the product\'s lifespan and energy consumption.</w:t>
      </w:r>
    </w:p>
    <w:p>
      <w:pPr>
        <w:numPr>
          <w:ilvl w:val="0"/>
          <w:numId w:val="1014"/>
        </w:numPr>
        <w:pStyle w:val="Compact"/>
      </w:pPr>
      <w:r>
        <w:rPr>
          <w:bCs/>
          <w:b/>
        </w:rPr>
        <w:t xml:space="preserve">Product Lifespan (htqpipypdp):</w:t>
      </w:r>
      <w:r>
        <w:t xml:space="preserve"> </w:t>
      </w:r>
      <w:r>
        <w:t xml:space="preserve">3 years (Illustrative value assumed from placeholder "htqpipypdp").</w:t>
      </w:r>
    </w:p>
    <w:p>
      <w:pPr>
        <w:numPr>
          <w:ilvl w:val="0"/>
          <w:numId w:val="1014"/>
        </w:numPr>
        <w:pStyle w:val="Compact"/>
      </w:pPr>
      <w:r>
        <w:rPr>
          <w:bCs/>
          <w:b/>
        </w:rPr>
        <w:t xml:space="preserve">Energy Consumption in Use (otknyqtupw):</w:t>
      </w:r>
      <w:r>
        <w:t xml:space="preserve"> </w:t>
      </w:r>
      <w:r>
        <w:t xml:space="preserve">10 kWh/year (Illustrative value assumed from placeholder "otknyqtupw").</w:t>
      </w:r>
    </w:p>
    <w:p>
      <w:pPr>
        <w:pStyle w:val="FirstParagraph"/>
      </w:pPr>
      <w:r>
        <w:rPr>
          <w:bCs/>
          <w:b/>
        </w:rPr>
        <w:t xml:space="preserve">Electricity Grid Emission Factor (Europe Focused):</w:t>
      </w:r>
      <w:r>
        <w:t xml:space="preserve"> </w:t>
      </w:r>
      <w:r>
        <w:t xml:space="preserve">0.25 kg CO2e/kWh.</w:t>
      </w:r>
    </w:p>
    <w:p>
      <w:pPr>
        <w:pStyle w:val="BodyText"/>
      </w:pPr>
      <w:r>
        <w:rPr>
          <w:bCs/>
          <w:b/>
        </w:rPr>
        <w:t xml:space="preserve">Calculations:</w:t>
      </w:r>
    </w:p>
    <w:p>
      <w:pPr>
        <w:numPr>
          <w:ilvl w:val="0"/>
          <w:numId w:val="1015"/>
        </w:numPr>
        <w:pStyle w:val="Compact"/>
      </w:pPr>
      <w:r>
        <w:t xml:space="preserve">Total energy consumption over lifespan: 10 kWh/year * 3 years = 30 kWh.</w:t>
      </w:r>
    </w:p>
    <w:p>
      <w:pPr>
        <w:numPr>
          <w:ilvl w:val="0"/>
          <w:numId w:val="1015"/>
        </w:numPr>
        <w:pStyle w:val="Compact"/>
      </w:pPr>
      <w:r>
        <w:t xml:space="preserve">Emissions: 30 kWh * 0.25 kg CO2e/kWh = 7.5 kg CO2e.</w:t>
      </w:r>
    </w:p>
    <w:p>
      <w:pPr>
        <w:pStyle w:val="FirstParagraph"/>
      </w:pPr>
      <w:r>
        <w:rPr>
          <w:bCs/>
          <w:b/>
        </w:rPr>
        <w:t xml:space="preserve">Total Use Phase Emissions (Scope 3, Category 11):</w:t>
      </w:r>
      <w:r>
        <w:t xml:space="preserve"> </w:t>
      </w:r>
      <w:r>
        <w:t xml:space="preserve">7.5 kg CO2e.</w:t>
      </w:r>
    </w:p>
    <w:bookmarkEnd w:id="37"/>
    <w:bookmarkStart w:id="38" w:name="X9f75156b84886a2ba01678a38d0f3532d5fbdda"/>
    <w:p>
      <w:pPr>
        <w:pStyle w:val="Heading3"/>
      </w:pPr>
      <w:r>
        <w:t xml:space="preserve">4.5. End-of-Life (EoL) (Scope 3, Category 12 - Downstream)</w:t>
      </w:r>
    </w:p>
    <w:p>
      <w:pPr>
        <w:pStyle w:val="FirstParagraph"/>
      </w:pPr>
      <w:r>
        <w:t xml:space="preserve">EoL scenarios incorporate recyclability and circular programs, influencing the net emissions. Total product weight for EoL is assumed to be 4.3 kg (from BOM).</w:t>
      </w:r>
    </w:p>
    <w:p>
      <w:pPr>
        <w:numPr>
          <w:ilvl w:val="0"/>
          <w:numId w:val="1016"/>
        </w:numPr>
        <w:pStyle w:val="Compact"/>
      </w:pPr>
      <w:r>
        <w:rPr>
          <w:bCs/>
          <w:b/>
        </w:rPr>
        <w:t xml:space="preserve">Recyclability Percentage (ygnulmsiji):</w:t>
      </w:r>
      <w:r>
        <w:t xml:space="preserve"> </w:t>
      </w:r>
      <w:r>
        <w:t xml:space="preserve">60% (Illustrative value assumed from placeholder "ygnulmsiji").</w:t>
      </w:r>
    </w:p>
    <w:p>
      <w:pPr>
        <w:numPr>
          <w:ilvl w:val="0"/>
          <w:numId w:val="1016"/>
        </w:numPr>
        <w:pStyle w:val="Compact"/>
      </w:pPr>
      <w:r>
        <w:rPr>
          <w:bCs/>
          <w:b/>
        </w:rPr>
        <w:t xml:space="preserve">Circular/Take-back Programs (lipjeovwjv):</w:t>
      </w:r>
      <w:r>
        <w:t xml:space="preserve"> </w:t>
      </w:r>
      <w:r>
        <w:t xml:space="preserve">Active (Illustrative value assumed from placeholder "lipjeovwjv").</w:t>
      </w:r>
    </w:p>
    <w:p>
      <w:pPr>
        <w:pStyle w:val="FirstParagraph"/>
      </w:pPr>
      <w:r>
        <w:rPr>
          <w:bCs/>
          <w:b/>
        </w:rPr>
        <w:t xml:space="preserve">Emission Factors/Credits:</w:t>
      </w:r>
    </w:p>
    <w:p>
      <w:pPr>
        <w:numPr>
          <w:ilvl w:val="0"/>
          <w:numId w:val="1017"/>
        </w:numPr>
        <w:pStyle w:val="Compact"/>
      </w:pPr>
      <w:r>
        <w:t xml:space="preserve">Landfill (general mixed waste): 0.75 kg CO2e/kg.</w:t>
      </w:r>
    </w:p>
    <w:p>
      <w:pPr>
        <w:numPr>
          <w:ilvl w:val="0"/>
          <w:numId w:val="1017"/>
        </w:numPr>
        <w:pStyle w:val="Compact"/>
      </w:pPr>
      <w:r>
        <w:t xml:space="preserve">Recycling Credit (Aluminum): -5.0 kg CO2e/kg (Avoided virgin production).</w:t>
      </w:r>
    </w:p>
    <w:p>
      <w:pPr>
        <w:numPr>
          <w:ilvl w:val="0"/>
          <w:numId w:val="1017"/>
        </w:numPr>
        <w:pStyle w:val="Compact"/>
      </w:pPr>
      <w:r>
        <w:t xml:space="preserve">Recycling Credit (Plastic): -1.5 kg CO2e/kg (Avoided virgin production).</w:t>
      </w:r>
    </w:p>
    <w:p>
      <w:pPr>
        <w:pStyle w:val="FirstParagraph"/>
      </w:pPr>
      <w:r>
        <w:rPr>
          <w:bCs/>
          <w:b/>
        </w:rPr>
        <w:t xml:space="preserve">Calculations:</w:t>
      </w:r>
    </w:p>
    <w:p>
      <w:pPr>
        <w:numPr>
          <w:ilvl w:val="0"/>
          <w:numId w:val="1018"/>
        </w:numPr>
        <w:pStyle w:val="Compact"/>
      </w:pPr>
      <w:r>
        <w:t xml:space="preserve">Recyclable portion of total product (mass): 4.3 kg * 0.60 = 2.58 kg.</w:t>
      </w:r>
    </w:p>
    <w:p>
      <w:pPr>
        <w:numPr>
          <w:ilvl w:val="0"/>
          <w:numId w:val="1018"/>
        </w:numPr>
        <w:pStyle w:val="Compact"/>
      </w:pPr>
      <w:r>
        <w:t xml:space="preserve">Landfilled portion of total product (mass): 4.3 kg * (1 - 0.60) = 1.72 kg.</w:t>
      </w:r>
    </w:p>
    <w:p>
      <w:pPr>
        <w:pStyle w:val="FirstParagraph"/>
      </w:pPr>
      <w:r>
        <w:rPr>
          <w:iCs/>
          <w:i/>
        </w:rPr>
        <w:t xml:space="preserve">For simplification, we assume the recyclable portion is a mix of Aluminum and Plastic in proportion to the BOM, and a weighted average credit is applied. Given Aluminum is a significant part of the BOM (2.5kg out of 4.3kg total product weight), it will contribute significantly to recycling credits. For plastic, from BOM it\'s 1.2kg. Let\'s simplify this to apply a general recycling credit for the recyclable portion and landfill emissions for the remainder.</w:t>
      </w:r>
    </w:p>
    <w:p>
      <w:pPr>
        <w:pStyle w:val="BodyText"/>
      </w:pPr>
      <w:r>
        <w:rPr>
          <w:bCs/>
          <w:b/>
        </w:rPr>
        <w:t xml:space="preserve">Simplified EoL Calculation:</w:t>
      </w:r>
    </w:p>
    <w:p>
      <w:pPr>
        <w:numPr>
          <w:ilvl w:val="0"/>
          <w:numId w:val="1019"/>
        </w:numPr>
        <w:pStyle w:val="Compact"/>
      </w:pPr>
      <w:r>
        <w:t xml:space="preserve">Emissions from Landfilled Waste: 1.72 kg * 0.75 kg CO2e/kg = 1.29 kg CO2e.</w:t>
      </w:r>
    </w:p>
    <w:p>
      <w:pPr>
        <w:numPr>
          <w:ilvl w:val="0"/>
          <w:numId w:val="1019"/>
        </w:numPr>
        <w:pStyle w:val="Compact"/>
      </w:pPr>
      <w:r>
        <w:t xml:space="preserve">Avoided Emissions from Recycling: The recyclable portion (2.58 kg) contains Aluminum (2.5 kg) and Plastic (1.2 kg). Assuming the 60% recyclability applies proportionally, or that the dominant material (Aluminum) drives the credit.</w:t>
      </w:r>
      <w:r>
        <w:t xml:space="preserve"> </w:t>
      </w:r>
      <w:r>
        <w:t xml:space="preserve">* Let\'s consider Aluminum: (2.5 kg / 4.3 kg) * 2.58 kg_recyclable * (-5.0 kgCO2e/kg) = ~-7.5 kgCO2e (simplified, as actual composition of recycled part matters).</w:t>
      </w:r>
      <w:r>
        <w:t xml:space="preserve"> </w:t>
      </w:r>
      <w:r>
        <w:t xml:space="preserve">* Let\'s consider Plastic: (1.2 kg / 4.3 kg) * 2.58 kg_recyclable * (-1.5 kgCO2e/kg) = ~-1.07 kgCO2e.</w:t>
      </w:r>
      <w:r>
        <w:t xml:space="preserve"> </w:t>
      </w:r>
      <w:r>
        <w:t xml:space="preserve">* This proportional allocation is complex without more specific data on which materials are recycled.</w:t>
      </w:r>
      <w:r>
        <w:t xml:space="preserve"> </w:t>
      </w:r>
      <w:r>
        <w:t xml:space="preserve">* **Simplified Approach for Demonstration:** For the 2.58 kg of recyclable material, assume an average recycling credit of -2.5 kg CO2e/kg (mid-range between Aluminum and Plastic, for illustrative purposes).</w:t>
      </w:r>
      <w:r>
        <w:t xml:space="preserve"> </w:t>
      </w:r>
      <w:r>
        <w:t xml:space="preserve">* Avoided Emissions from Recycling: 2.58 kg * -2.5 kg CO2e/kg = -6.45 kg CO2e.</w:t>
      </w:r>
    </w:p>
    <w:p>
      <w:pPr>
        <w:pStyle w:val="FirstParagraph"/>
      </w:pPr>
      <w:r>
        <w:rPr>
          <w:bCs/>
          <w:b/>
        </w:rPr>
        <w:t xml:space="preserve">Total End-of-Life Emissions (Scope 3, Category 12):</w:t>
      </w:r>
      <w:r>
        <w:t xml:space="preserve"> </w:t>
      </w:r>
      <w:r>
        <w:t xml:space="preserve">1.29 kg CO2e + (-6.45 kg CO2e) = -5.16 kg CO2e (net carbon removal due to recycling credits).</w:t>
      </w:r>
    </w:p>
    <w:p>
      <w:pPr>
        <w:pStyle w:val="BodyText"/>
      </w:pPr>
      <w:r>
        <w:t xml:space="preserve">The presence of "Active" Circular/Take-back Programs (lipjeovwjv) further enhances the potential for material recovery and emissions reduction, contributing to the negative net EoL emissions.</w:t>
      </w:r>
    </w:p>
    <w:p>
      <w:r>
        <w:pict>
          <v:rect style="width:0;height:1.5pt" o:hralign="center" o:hrstd="t" o:hr="t"/>
        </w:pict>
      </w:r>
    </w:p>
    <w:bookmarkEnd w:id="38"/>
    <w:bookmarkEnd w:id="39"/>
    <w:bookmarkStart w:id="42" w:name="X831bb4a96da9ae2b25c777461fe4219ee7830aa"/>
    <w:p>
      <w:pPr>
        <w:pStyle w:val="Heading2"/>
      </w:pPr>
      <w:r>
        <w:t xml:space="preserve">5. Summary of PCF Results and Hotspot Analysis</w:t>
      </w:r>
    </w:p>
    <w:p>
      <w:pPr>
        <w:pStyle w:val="FirstParagraph"/>
      </w:pPr>
      <w:r>
        <w:t xml:space="preserve">The total Product Carbon Footprint for one unit of rmxhsdotum is summarized below by lifecycle stage and GHG Protocol scope.</w:t>
      </w:r>
    </w:p>
    <w:bookmarkStart w:id="40" w:name="total-pcf-by-lifecycle-stage"/>
    <w:p>
      <w:pPr>
        <w:pStyle w:val="Heading3"/>
      </w:pPr>
      <w:r>
        <w:t xml:space="preserve">5.1. Total PCF by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Emissions (kg CO2e/unit)</w:t>
            </w:r>
          </w:p>
        </w:tc>
        <w:tc>
          <w:tcPr/>
          <w:p>
            <w:pPr>
              <w:pStyle w:val="Compact"/>
              <w:jc w:val="left"/>
            </w:pPr>
            <w:r>
              <w:t xml:space="preserve">Percentage of Total (%)</w:t>
            </w:r>
          </w:p>
        </w:tc>
      </w:tr>
      <w:tr>
        <w:tc>
          <w:tcPr/>
          <w:p>
            <w:pPr>
              <w:pStyle w:val="Compact"/>
              <w:jc w:val="left"/>
            </w:pPr>
            <w:r>
              <w:t xml:space="preserve">Raw Material Acquisition &amp; Processing</w:t>
            </w:r>
          </w:p>
        </w:tc>
        <w:tc>
          <w:tcPr/>
          <w:p>
            <w:pPr>
              <w:pStyle w:val="Compact"/>
              <w:jc w:val="left"/>
            </w:pPr>
            <w:r>
              <w:t xml:space="preserve">18.70</w:t>
            </w:r>
          </w:p>
        </w:tc>
        <w:tc>
          <w:tcPr/>
          <w:p>
            <w:pPr>
              <w:pStyle w:val="Compact"/>
              <w:jc w:val="left"/>
            </w:pPr>
            <w:r>
              <w:t xml:space="preserve">58.6%</w:t>
            </w:r>
          </w:p>
        </w:tc>
      </w:tr>
      <w:tr>
        <w:tc>
          <w:tcPr/>
          <w:p>
            <w:pPr>
              <w:pStyle w:val="Compact"/>
              <w:jc w:val="left"/>
            </w:pPr>
            <w:r>
              <w:t xml:space="preserve">Manufacturing/Production</w:t>
            </w:r>
          </w:p>
        </w:tc>
        <w:tc>
          <w:tcPr/>
          <w:p>
            <w:pPr>
              <w:pStyle w:val="Compact"/>
              <w:jc w:val="left"/>
            </w:pPr>
            <w:r>
              <w:t xml:space="preserve">9.00</w:t>
            </w:r>
          </w:p>
        </w:tc>
        <w:tc>
          <w:tcPr/>
          <w:p>
            <w:pPr>
              <w:pStyle w:val="Compact"/>
              <w:jc w:val="left"/>
            </w:pPr>
            <w:r>
              <w:t xml:space="preserve">28.2%</w:t>
            </w:r>
          </w:p>
        </w:tc>
      </w:tr>
      <w:tr>
        <w:tc>
          <w:tcPr/>
          <w:p>
            <w:pPr>
              <w:pStyle w:val="Compact"/>
              <w:jc w:val="left"/>
            </w:pPr>
            <w:r>
              <w:t xml:space="preserve">Transportation (Upstream &amp; Downstream)</w:t>
            </w:r>
          </w:p>
        </w:tc>
        <w:tc>
          <w:tcPr/>
          <w:p>
            <w:pPr>
              <w:pStyle w:val="Compact"/>
              <w:jc w:val="left"/>
            </w:pPr>
            <w:r>
              <w:t xml:space="preserve">3.33</w:t>
            </w:r>
          </w:p>
        </w:tc>
        <w:tc>
          <w:tcPr/>
          <w:p>
            <w:pPr>
              <w:pStyle w:val="Compact"/>
              <w:jc w:val="left"/>
            </w:pPr>
            <w:r>
              <w:t xml:space="preserve">10.4%</w:t>
            </w:r>
          </w:p>
        </w:tc>
      </w:tr>
      <w:tr>
        <w:tc>
          <w:tcPr/>
          <w:p>
            <w:pPr>
              <w:pStyle w:val="Compact"/>
              <w:jc w:val="left"/>
            </w:pPr>
            <w:r>
              <w:t xml:space="preserve">Use Phase</w:t>
            </w:r>
          </w:p>
        </w:tc>
        <w:tc>
          <w:tcPr/>
          <w:p>
            <w:pPr>
              <w:pStyle w:val="Compact"/>
              <w:jc w:val="left"/>
            </w:pPr>
            <w:r>
              <w:t xml:space="preserve">7.50</w:t>
            </w:r>
          </w:p>
        </w:tc>
        <w:tc>
          <w:tcPr/>
          <w:p>
            <w:pPr>
              <w:pStyle w:val="Compact"/>
              <w:jc w:val="left"/>
            </w:pPr>
            <w:r>
              <w:t xml:space="preserve">23.5%</w:t>
            </w:r>
          </w:p>
        </w:tc>
      </w:tr>
      <w:tr>
        <w:tc>
          <w:tcPr/>
          <w:p>
            <w:pPr>
              <w:pStyle w:val="Compact"/>
              <w:jc w:val="left"/>
            </w:pPr>
            <w:r>
              <w:t xml:space="preserve">End-of-Life (Net)</w:t>
            </w:r>
          </w:p>
        </w:tc>
        <w:tc>
          <w:tcPr/>
          <w:p>
            <w:pPr>
              <w:pStyle w:val="Compact"/>
              <w:jc w:val="left"/>
            </w:pPr>
            <w:r>
              <w:t xml:space="preserve">-5.16</w:t>
            </w:r>
          </w:p>
        </w:tc>
        <w:tc>
          <w:tcPr/>
          <w:p>
            <w:pPr>
              <w:pStyle w:val="Compact"/>
              <w:jc w:val="left"/>
            </w:pPr>
            <w:r>
              <w:t xml:space="preserve">-16.2%</w:t>
            </w:r>
          </w:p>
        </w:tc>
      </w:tr>
      <w:tr>
        <w:tc>
          <w:tcPr/>
          <w:p>
            <w:pPr>
              <w:pStyle w:val="Compact"/>
              <w:jc w:val="left"/>
            </w:pPr>
            <w:r>
              <w:rPr>
                <w:bCs/>
                <w:b/>
              </w:rPr>
              <w:t xml:space="preserve">TOTAL PCF</w:t>
            </w:r>
          </w:p>
        </w:tc>
        <w:tc>
          <w:tcPr/>
          <w:p>
            <w:pPr>
              <w:pStyle w:val="Compact"/>
              <w:jc w:val="left"/>
            </w:pPr>
            <w:r>
              <w:rPr>
                <w:bCs/>
                <w:b/>
              </w:rPr>
              <w:t xml:space="preserve">33.37</w:t>
            </w:r>
          </w:p>
        </w:tc>
        <w:tc>
          <w:tcPr/>
          <w:p>
            <w:pPr>
              <w:pStyle w:val="Compact"/>
              <w:jc w:val="left"/>
            </w:pPr>
            <w:r>
              <w:rPr>
                <w:bCs/>
                <w:b/>
              </w:rPr>
              <w:t xml:space="preserve">100.0%</w:t>
            </w:r>
          </w:p>
        </w:tc>
      </w:tr>
    </w:tbl>
    <w:p>
      <w:pPr>
        <w:pStyle w:val="BodyText"/>
      </w:pPr>
      <w:r>
        <w:rPr>
          <w:iCs/>
          <w:i/>
        </w:rPr>
        <w:t xml:space="preserve">Note: Percentages are calculated based on the sum of positive emissions. The negative EoL emissions reduce the overall footprint.</w:t>
      </w:r>
    </w:p>
    <w:bookmarkEnd w:id="40"/>
    <w:bookmarkStart w:id="41" w:name="total-pcf-by-ghg-protocol-scope"/>
    <w:p>
      <w:pPr>
        <w:pStyle w:val="Heading3"/>
      </w:pPr>
      <w:r>
        <w:t xml:space="preserve">5.2. Total PCF by GHG Protocol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CO2e/unit)</w:t>
            </w:r>
          </w:p>
        </w:tc>
        <w:tc>
          <w:tcPr/>
          <w:p>
            <w:pPr>
              <w:pStyle w:val="Compact"/>
              <w:jc w:val="left"/>
            </w:pPr>
            <w:r>
              <w:t xml:space="preserve">Lifecycle Stages Included</w:t>
            </w:r>
          </w:p>
        </w:tc>
      </w:tr>
      <w:tr>
        <w:tc>
          <w:tcPr/>
          <w:p>
            <w:pPr>
              <w:pStyle w:val="Compact"/>
              <w:jc w:val="left"/>
            </w:pPr>
            <w:r>
              <w:rPr>
                <w:bCs/>
                <w:b/>
              </w:rPr>
              <w:t xml:space="preserve">Scope 1 (Direct Emissions)</w:t>
            </w:r>
          </w:p>
        </w:tc>
        <w:tc>
          <w:tcPr/>
          <w:p>
            <w:pPr>
              <w:pStyle w:val="Compact"/>
              <w:jc w:val="left"/>
            </w:pPr>
            <w:r>
              <w:t xml:space="preserve">0.00 (</w:t>
            </w:r>
            <w:r>
              <w:rPr>
                <w:iCs/>
                <w:i/>
              </w:rPr>
              <w:t xml:space="preserve">Not quantified due to lack of specific data)</w:t>
            </w:r>
          </w:p>
        </w:tc>
        <w:tc>
          <w:tcPr/>
          <w:p>
            <w:pPr>
              <w:pStyle w:val="Compact"/>
              <w:jc w:val="left"/>
            </w:pPr>
            <w:r>
              <w:t xml:space="preserve">N/A</w:t>
            </w:r>
          </w:p>
        </w:tc>
      </w:tr>
      <w:tr>
        <w:tc>
          <w:tcPr/>
          <w:p>
            <w:pPr>
              <w:pStyle w:val="Compact"/>
              <w:jc w:val="left"/>
            </w:pPr>
            <w:r>
              <w:rPr>
                <w:bCs/>
                <w:b/>
              </w:rPr>
              <w:t xml:space="preserve">Scope 2 (Energy Indirect)</w:t>
            </w:r>
          </w:p>
        </w:tc>
        <w:tc>
          <w:tcPr/>
          <w:p>
            <w:pPr>
              <w:pStyle w:val="Compact"/>
              <w:jc w:val="left"/>
            </w:pPr>
            <w:r>
              <w:t xml:space="preserve">9.00</w:t>
            </w:r>
          </w:p>
        </w:tc>
        <w:tc>
          <w:tcPr/>
          <w:p>
            <w:pPr>
              <w:pStyle w:val="Compact"/>
              <w:jc w:val="left"/>
            </w:pPr>
            <w:r>
              <w:t xml:space="preserve">Manufacturing/Production (purchased electricity)</w:t>
            </w:r>
          </w:p>
        </w:tc>
      </w:tr>
      <w:tr>
        <w:tc>
          <w:tcPr/>
          <w:p>
            <w:pPr>
              <w:pStyle w:val="Compact"/>
              <w:jc w:val="left"/>
            </w:pPr>
            <w:r>
              <w:rPr>
                <w:bCs/>
                <w:b/>
              </w:rPr>
              <w:t xml:space="preserve">Scope 3 (Value Chain Indirect)</w:t>
            </w:r>
          </w:p>
        </w:tc>
        <w:tc>
          <w:tcPr/>
          <w:p>
            <w:pPr>
              <w:pStyle w:val="Compact"/>
              <w:jc w:val="left"/>
            </w:pPr>
            <w:r>
              <w:t xml:space="preserve">24.37</w:t>
            </w:r>
          </w:p>
        </w:tc>
        <w:tc>
          <w:tcPr/>
          <w:p>
            <w:pPr>
              <w:pStyle w:val="Compact"/>
              <w:jc w:val="left"/>
            </w:pPr>
            <w:r>
              <w:t xml:space="preserve">Raw Material Acquisition, Transportation (Upstream &amp; Downstream), Use Phase, End-of-Life (net)</w:t>
            </w:r>
          </w:p>
        </w:tc>
      </w:tr>
      <w:tr>
        <w:tc>
          <w:tcPr/>
          <w:p>
            <w:pPr>
              <w:pStyle w:val="Compact"/>
              <w:jc w:val="left"/>
            </w:pPr>
            <w:r>
              <w:t xml:space="preserve">     - Category 1: Purchased Goods &amp; Services</w:t>
            </w:r>
          </w:p>
        </w:tc>
        <w:tc>
          <w:tcPr/>
          <w:p>
            <w:pPr>
              <w:pStyle w:val="Compact"/>
              <w:jc w:val="left"/>
            </w:pPr>
            <w:r>
              <w:t xml:space="preserve">18.70</w:t>
            </w:r>
          </w:p>
        </w:tc>
        <w:tc>
          <w:tcPr/>
          <w:p>
            <w:pPr>
              <w:pStyle w:val="Compact"/>
              <w:jc w:val="left"/>
            </w:pPr>
            <w:r>
              <w:t xml:space="preserve">Raw Material Acquisition &amp; Processing</w:t>
            </w:r>
          </w:p>
        </w:tc>
      </w:tr>
      <w:tr>
        <w:tc>
          <w:tcPr/>
          <w:p>
            <w:pPr>
              <w:pStyle w:val="Compact"/>
              <w:jc w:val="left"/>
            </w:pPr>
            <w:r>
              <w:t xml:space="preserve">     - Category 4: Upstream Transportation &amp; Distribution</w:t>
            </w:r>
          </w:p>
        </w:tc>
        <w:tc>
          <w:tcPr/>
          <w:p>
            <w:pPr>
              <w:pStyle w:val="Compact"/>
              <w:jc w:val="left"/>
            </w:pPr>
            <w:r>
              <w:t xml:space="preserve">1.97 (Inbound Transport)</w:t>
            </w:r>
          </w:p>
        </w:tc>
        <w:tc>
          <w:tcPr/>
          <w:p>
            <w:pPr>
              <w:pStyle w:val="Compact"/>
              <w:jc w:val="left"/>
            </w:pPr>
            <w:r>
              <w:t xml:space="preserve">Portion of Transportation</w:t>
            </w:r>
          </w:p>
        </w:tc>
      </w:tr>
      <w:tr>
        <w:tc>
          <w:tcPr/>
          <w:p>
            <w:pPr>
              <w:pStyle w:val="Compact"/>
              <w:jc w:val="left"/>
            </w:pPr>
            <w:r>
              <w:t xml:space="preserve">     - Category 9: Downstream Transportation &amp; Distribution</w:t>
            </w:r>
          </w:p>
        </w:tc>
        <w:tc>
          <w:tcPr/>
          <w:p>
            <w:pPr>
              <w:pStyle w:val="Compact"/>
              <w:jc w:val="left"/>
            </w:pPr>
            <w:r>
              <w:t xml:space="preserve">1.36 (Outbound &amp; Last-Mile Transport)</w:t>
            </w:r>
          </w:p>
        </w:tc>
        <w:tc>
          <w:tcPr/>
          <w:p>
            <w:pPr>
              <w:pStyle w:val="Compact"/>
              <w:jc w:val="left"/>
            </w:pPr>
            <w:r>
              <w:t xml:space="preserve">Portion of Transportation</w:t>
            </w:r>
          </w:p>
        </w:tc>
      </w:tr>
      <w:tr>
        <w:tc>
          <w:tcPr/>
          <w:p>
            <w:pPr>
              <w:pStyle w:val="Compact"/>
              <w:jc w:val="left"/>
            </w:pPr>
            <w:r>
              <w:t xml:space="preserve">     - Category 11: Use of Sold Products</w:t>
            </w:r>
          </w:p>
        </w:tc>
        <w:tc>
          <w:tcPr/>
          <w:p>
            <w:pPr>
              <w:pStyle w:val="Compact"/>
              <w:jc w:val="left"/>
            </w:pPr>
            <w:r>
              <w:t xml:space="preserve">7.50</w:t>
            </w:r>
          </w:p>
        </w:tc>
        <w:tc>
          <w:tcPr/>
          <w:p>
            <w:pPr>
              <w:pStyle w:val="Compact"/>
              <w:jc w:val="left"/>
            </w:pPr>
            <w:r>
              <w:t xml:space="preserve">Use Phase</w:t>
            </w:r>
          </w:p>
        </w:tc>
      </w:tr>
      <w:tr>
        <w:tc>
          <w:tcPr/>
          <w:p>
            <w:pPr>
              <w:pStyle w:val="Compact"/>
              <w:jc w:val="left"/>
            </w:pPr>
            <w:r>
              <w:t xml:space="preserve">     - Category 12: End-of-Life Treatment of Sold Products</w:t>
            </w:r>
          </w:p>
        </w:tc>
        <w:tc>
          <w:tcPr/>
          <w:p>
            <w:pPr>
              <w:pStyle w:val="Compact"/>
              <w:jc w:val="left"/>
            </w:pPr>
            <w:r>
              <w:t xml:space="preserve">-5.16</w:t>
            </w:r>
          </w:p>
        </w:tc>
        <w:tc>
          <w:tcPr/>
          <w:p>
            <w:pPr>
              <w:pStyle w:val="Compact"/>
              <w:jc w:val="left"/>
            </w:pPr>
            <w:r>
              <w:t xml:space="preserve">End-of-Life (net)</w:t>
            </w:r>
          </w:p>
        </w:tc>
      </w:tr>
      <w:tr>
        <w:tc>
          <w:tcPr/>
          <w:p>
            <w:pPr>
              <w:pStyle w:val="Compact"/>
              <w:jc w:val="left"/>
            </w:pPr>
            <w:r>
              <w:rPr>
                <w:bCs/>
                <w:b/>
              </w:rPr>
              <w:t xml:space="preserve">TOTAL PCF</w:t>
            </w:r>
          </w:p>
        </w:tc>
        <w:tc>
          <w:tcPr/>
          <w:p>
            <w:pPr>
              <w:pStyle w:val="Compact"/>
              <w:jc w:val="left"/>
            </w:pPr>
            <w:r>
              <w:rPr>
                <w:bCs/>
                <w:b/>
              </w:rPr>
              <w:t xml:space="preserve">33.37</w:t>
            </w:r>
          </w:p>
        </w:tc>
        <w:tc>
          <w:tcPr/>
          <w:p>
            <w:pPr>
              <w:pStyle w:val="Compact"/>
            </w:pPr>
          </w:p>
        </w:tc>
      </w:tr>
    </w:tbl>
    <w:p>
      <w:pPr>
        <w:pStyle w:val="BodyText"/>
      </w:pPr>
      <w:r>
        <w:rPr>
          <w:bCs/>
          <w:b/>
        </w:rPr>
        <w:t xml:space="preserve">Hotspot Analysis:</w:t>
      </w:r>
    </w:p>
    <w:p>
      <w:pPr>
        <w:numPr>
          <w:ilvl w:val="0"/>
          <w:numId w:val="1020"/>
        </w:numPr>
        <w:pStyle w:val="Compact"/>
      </w:pPr>
      <w:r>
        <w:t xml:space="preserve">The most significant emission hotspot is</w:t>
      </w:r>
      <w:r>
        <w:t xml:space="preserve"> </w:t>
      </w:r>
      <w:r>
        <w:rPr>
          <w:bCs/>
          <w:b/>
        </w:rPr>
        <w:t xml:space="preserve">Raw Material Acquisition &amp; Processing (Scope 3, Category 1)</w:t>
      </w:r>
      <w:r>
        <w:t xml:space="preserve">, accounting for approximately 58.6% of the total positive emissions. This highlights the importance of material selection and supply chain decarbonization.</w:t>
      </w:r>
    </w:p>
    <w:p>
      <w:pPr>
        <w:numPr>
          <w:ilvl w:val="0"/>
          <w:numId w:val="1020"/>
        </w:numPr>
        <w:pStyle w:val="Compact"/>
      </w:pPr>
      <w:r>
        <w:rPr>
          <w:bCs/>
          <w:b/>
        </w:rPr>
        <w:t xml:space="preserve">Manufacturing/Production (Scope 2)</w:t>
      </w:r>
      <w:r>
        <w:t xml:space="preserve"> </w:t>
      </w:r>
      <w:r>
        <w:t xml:space="preserve">is the second largest contributor, representing 28.2% of total positive emissions. The renewable energy usage (70%) significantly reduces this footprint; without it, this category would be much higher.</w:t>
      </w:r>
    </w:p>
    <w:p>
      <w:pPr>
        <w:numPr>
          <w:ilvl w:val="0"/>
          <w:numId w:val="1020"/>
        </w:numPr>
        <w:pStyle w:val="Compact"/>
      </w:pPr>
      <w:r>
        <w:t xml:space="preserve">The</w:t>
      </w:r>
      <w:r>
        <w:t xml:space="preserve"> </w:t>
      </w:r>
      <w:r>
        <w:rPr>
          <w:bCs/>
          <w:b/>
        </w:rPr>
        <w:t xml:space="preserve">Use Phase (Scope 3, Category 11)</w:t>
      </w:r>
      <w:r>
        <w:t xml:space="preserve"> </w:t>
      </w:r>
      <w:r>
        <w:t xml:space="preserve">also contributes substantially (23.5%), indicating that consumer energy consumption and grid decarbonization in the use region are crucial.</w:t>
      </w:r>
    </w:p>
    <w:p>
      <w:pPr>
        <w:numPr>
          <w:ilvl w:val="0"/>
          <w:numId w:val="1020"/>
        </w:numPr>
        <w:pStyle w:val="Compact"/>
      </w:pPr>
      <w:r>
        <w:rPr>
          <w:bCs/>
          <w:b/>
        </w:rPr>
        <w:t xml:space="preserve">Transportation (Scope 3, Categories 4 &amp; 9)</w:t>
      </w:r>
      <w:r>
        <w:t xml:space="preserve"> </w:t>
      </w:r>
      <w:r>
        <w:t xml:space="preserve">accounts for a smaller but still notable portion (10.4%).</w:t>
      </w:r>
    </w:p>
    <w:p>
      <w:pPr>
        <w:numPr>
          <w:ilvl w:val="0"/>
          <w:numId w:val="1020"/>
        </w:numPr>
        <w:pStyle w:val="Compact"/>
      </w:pPr>
      <w:r>
        <w:t xml:space="preserve">The</w:t>
      </w:r>
      <w:r>
        <w:t xml:space="preserve"> </w:t>
      </w:r>
      <w:r>
        <w:rPr>
          <w:bCs/>
          <w:b/>
        </w:rPr>
        <w:t xml:space="preserve">End-of-Life (Scope 3, Category 12)</w:t>
      </w:r>
      <w:r>
        <w:t xml:space="preserve"> </w:t>
      </w:r>
      <w:r>
        <w:t xml:space="preserve">shows a net negative emission, indicating a positive impact from active recycling and circular programs. This credit effectively offsets a portion of the upstream and use phase emissions.</w:t>
      </w:r>
    </w:p>
    <w:p>
      <w:r>
        <w:pict>
          <v:rect style="width:0;height:1.5pt" o:hralign="center" o:hrstd="t" o:hr="t"/>
        </w:pict>
      </w:r>
    </w:p>
    <w:bookmarkEnd w:id="41"/>
    <w:bookmarkEnd w:id="42"/>
    <w:bookmarkStart w:id="43" w:name="recommendations-for-emissions-reduction"/>
    <w:p>
      <w:pPr>
        <w:pStyle w:val="Heading2"/>
      </w:pPr>
      <w:r>
        <w:t xml:space="preserve">6. Recommendations for Emissions Reduction</w:t>
      </w:r>
    </w:p>
    <w:p>
      <w:pPr>
        <w:pStyle w:val="FirstParagraph"/>
      </w:pPr>
      <w:r>
        <w:t xml:space="preserve">Based on the hotspot analysis, the following recommendations are proposed for dqzmssslsk to reduce the carbon footprint of rmxhsdotum:</w:t>
      </w:r>
    </w:p>
    <w:p>
      <w:pPr>
        <w:numPr>
          <w:ilvl w:val="0"/>
          <w:numId w:val="1021"/>
        </w:numPr>
        <w:pStyle w:val="Compact"/>
      </w:pPr>
      <w:r>
        <w:rPr>
          <w:bCs/>
          <w:b/>
        </w:rPr>
        <w:t xml:space="preserve">Material Optimization (Targeting Scope 3, Category 1):</w:t>
      </w:r>
    </w:p>
    <w:p>
      <w:pPr>
        <w:numPr>
          <w:ilvl w:val="1"/>
          <w:numId w:val="1022"/>
        </w:numPr>
        <w:pStyle w:val="Compact"/>
      </w:pPr>
      <w:r>
        <w:t xml:space="preserve">Explore alternative materials with lower inherent carbon footprints, such as recycled content materials (e.g., higher percentage of recycled aluminum or plastic) or bio-based materials.</w:t>
      </w:r>
    </w:p>
    <w:p>
      <w:pPr>
        <w:numPr>
          <w:ilvl w:val="1"/>
          <w:numId w:val="1022"/>
        </w:numPr>
        <w:pStyle w:val="Compact"/>
      </w:pPr>
      <w:r>
        <w:t xml:space="preserve">Work with suppliers to encourage and verify their decarbonization efforts, potentially through sourcing from suppliers with lower emission factors or higher renewable energy adoption in their own production processes.</w:t>
      </w:r>
    </w:p>
    <w:p>
      <w:pPr>
        <w:numPr>
          <w:ilvl w:val="1"/>
          <w:numId w:val="1022"/>
        </w:numPr>
        <w:pStyle w:val="Compact"/>
      </w:pPr>
      <w:r>
        <w:t xml:space="preserve">Optimize product design to reduce material usage where feasible without compromising functionality or durability.</w:t>
      </w:r>
    </w:p>
    <w:p>
      <w:pPr>
        <w:numPr>
          <w:ilvl w:val="0"/>
          <w:numId w:val="1021"/>
        </w:numPr>
        <w:pStyle w:val="Compact"/>
      </w:pPr>
      <w:r>
        <w:rPr>
          <w:bCs/>
          <w:b/>
        </w:rPr>
        <w:t xml:space="preserve">Manufacturing Energy Efficiency (Targeting Scope 2):</w:t>
      </w:r>
    </w:p>
    <w:p>
      <w:pPr>
        <w:numPr>
          <w:ilvl w:val="1"/>
          <w:numId w:val="1023"/>
        </w:numPr>
        <w:pStyle w:val="Compact"/>
      </w:pPr>
      <w:r>
        <w:t xml:space="preserve">Continue to increase the share of renewable energy used in production beyond the current 70% (flhgtmsths). Invest in on-site renewable energy generation or purchase high-quality Renewable Energy Certificates (RECs) with strong additionality.</w:t>
      </w:r>
    </w:p>
    <w:p>
      <w:pPr>
        <w:numPr>
          <w:ilvl w:val="1"/>
          <w:numId w:val="1023"/>
        </w:numPr>
        <w:pStyle w:val="Compact"/>
      </w:pPr>
      <w:r>
        <w:t xml:space="preserve">Implement energy efficiency measures within the manufacturing facility to reduce overall energy intensity (wdvejwgfnt).</w:t>
      </w:r>
    </w:p>
    <w:p>
      <w:pPr>
        <w:numPr>
          <w:ilvl w:val="0"/>
          <w:numId w:val="1021"/>
        </w:numPr>
        <w:pStyle w:val="Compact"/>
      </w:pPr>
      <w:r>
        <w:rPr>
          <w:bCs/>
          <w:b/>
        </w:rPr>
        <w:t xml:space="preserve">Use Phase Decarbonization (Targeting Scope 3, Category 11):</w:t>
      </w:r>
    </w:p>
    <w:p>
      <w:pPr>
        <w:numPr>
          <w:ilvl w:val="1"/>
          <w:numId w:val="1024"/>
        </w:numPr>
        <w:pStyle w:val="Compact"/>
      </w:pPr>
      <w:r>
        <w:t xml:space="preserve">Innovate for greater energy efficiency in product design to reduce energy consumption during the product\'s lifespan (otknyqtupw).</w:t>
      </w:r>
    </w:p>
    <w:p>
      <w:pPr>
        <w:numPr>
          <w:ilvl w:val="1"/>
          <w:numId w:val="1024"/>
        </w:numPr>
        <w:pStyle w:val="Compact"/>
      </w:pPr>
      <w:r>
        <w:t xml:space="preserve">Educate consumers on energy-efficient usage patterns.</w:t>
      </w:r>
    </w:p>
    <w:p>
      <w:pPr>
        <w:numPr>
          <w:ilvl w:val="1"/>
          <w:numId w:val="1024"/>
        </w:numPr>
        <w:pStyle w:val="Compact"/>
      </w:pPr>
      <w:r>
        <w:t xml:space="preserve">Advocate for renewable energy infrastructure development in key markets (like Europe) to reduce the carbon intensity of electricity consumed by end-users.</w:t>
      </w:r>
    </w:p>
    <w:p>
      <w:pPr>
        <w:numPr>
          <w:ilvl w:val="0"/>
          <w:numId w:val="1021"/>
        </w:numPr>
        <w:pStyle w:val="Compact"/>
      </w:pPr>
      <w:r>
        <w:rPr>
          <w:bCs/>
          <w:b/>
        </w:rPr>
        <w:t xml:space="preserve">Logistics Optimization (Targeting Scope 3, Categories 4 &amp; 9):</w:t>
      </w:r>
    </w:p>
    <w:p>
      <w:pPr>
        <w:numPr>
          <w:ilvl w:val="1"/>
          <w:numId w:val="1025"/>
        </w:numPr>
        <w:pStyle w:val="Compact"/>
      </w:pPr>
      <w:r>
        <w:t xml:space="preserve">Optimize transportation routes and modes to reduce distances (xrsxwkkwqo) and prioritize lower-emission transport options (e.g., rail or sea over air where possible).</w:t>
      </w:r>
    </w:p>
    <w:p>
      <w:pPr>
        <w:numPr>
          <w:ilvl w:val="1"/>
          <w:numId w:val="1025"/>
        </w:numPr>
        <w:pStyle w:val="Compact"/>
      </w:pPr>
      <w:r>
        <w:t xml:space="preserve">Collaborate with logistics partners to encourage the adoption of more fuel-efficient vehicles and alternative fuels.</w:t>
      </w:r>
    </w:p>
    <w:p>
      <w:pPr>
        <w:numPr>
          <w:ilvl w:val="0"/>
          <w:numId w:val="1021"/>
        </w:numPr>
        <w:pStyle w:val="Compact"/>
      </w:pPr>
      <w:r>
        <w:rPr>
          <w:bCs/>
          <w:b/>
        </w:rPr>
        <w:t xml:space="preserve">Enhance Circularity (Targeting Scope 3, Category 12):</w:t>
      </w:r>
    </w:p>
    <w:p>
      <w:pPr>
        <w:numPr>
          <w:ilvl w:val="1"/>
          <w:numId w:val="1026"/>
        </w:numPr>
        <w:pStyle w:val="Compact"/>
      </w:pPr>
      <w:r>
        <w:t xml:space="preserve">Further expand and promote circular/take-back programs (lipjeovwjv) to maximize material recovery and recycling rates (ygnulmsiji).</w:t>
      </w:r>
    </w:p>
    <w:p>
      <w:pPr>
        <w:numPr>
          <w:ilvl w:val="1"/>
          <w:numId w:val="1026"/>
        </w:numPr>
        <w:pStyle w:val="Compact"/>
      </w:pPr>
      <w:r>
        <w:t xml:space="preserve">Explore opportunities for product refurbishment, reuse, and remanufacturing to extend product lifespans and avoid virgin material production.</w:t>
      </w:r>
    </w:p>
    <w:p>
      <w:r>
        <w:pict>
          <v:rect style="width:0;height:1.5pt" o:hralign="center" o:hrstd="t" o:hr="t"/>
        </w:pict>
      </w:r>
    </w:p>
    <w:bookmarkEnd w:id="43"/>
    <w:bookmarkStart w:id="44" w:name="disclaimer-and-limitations"/>
    <w:p>
      <w:pPr>
        <w:pStyle w:val="Heading2"/>
      </w:pPr>
      <w:r>
        <w:t xml:space="preserve">7. Disclaimer and Limitations</w:t>
      </w:r>
    </w:p>
    <w:p>
      <w:pPr>
        <w:pStyle w:val="FirstParagraph"/>
      </w:pPr>
      <w:r>
        <w:t xml:space="preserve">This Product Carbon Footprint report is prepared by rtspdpoeuy, Senior Sustainability Consultant, based on the provided parameters and publicly available industry-average emission factors. While diligent efforts have been made to ensure accuracy and adhere to the GHG Protocol, certain limitations apply:</w:t>
      </w:r>
    </w:p>
    <w:p>
      <w:pPr>
        <w:numPr>
          <w:ilvl w:val="0"/>
          <w:numId w:val="1027"/>
        </w:numPr>
        <w:pStyle w:val="Compact"/>
      </w:pPr>
      <w:r>
        <w:rPr>
          <w:bCs/>
          <w:b/>
        </w:rPr>
        <w:t xml:space="preserve">Data Assumptions:</w:t>
      </w:r>
      <w:r>
        <w:t xml:space="preserve"> </w:t>
      </w:r>
      <w:r>
        <w:t xml:space="preserve">Where specific numerical values were not provided for placeholder parameters (e.g., "Select Mode," "Delivery Type," "xrsxwkkwqo"), illustrative values and reasoned assumptions based on the geographic scope were applied for calculation purposes. These assumptions may not perfectly reflect actual operational data.</w:t>
      </w:r>
    </w:p>
    <w:p>
      <w:pPr>
        <w:numPr>
          <w:ilvl w:val="0"/>
          <w:numId w:val="1027"/>
        </w:numPr>
        <w:pStyle w:val="Compact"/>
      </w:pPr>
      <w:r>
        <w:rPr>
          <w:bCs/>
          <w:b/>
        </w:rPr>
        <w:t xml:space="preserve">Emission Factor Specificity:</w:t>
      </w:r>
      <w:r>
        <w:t xml:space="preserve"> </w:t>
      </w:r>
      <w:r>
        <w:t xml:space="preserve">Industry-average emission factors (e.g., for electricity grids, transport, and EoL scenarios) were used. These may not capture the specific nuances of every supplier or regional context within dqzmssslsk\'s value chain.</w:t>
      </w:r>
    </w:p>
    <w:p>
      <w:pPr>
        <w:numPr>
          <w:ilvl w:val="0"/>
          <w:numId w:val="1027"/>
        </w:numPr>
        <w:pStyle w:val="Compact"/>
      </w:pPr>
      <w:r>
        <w:rPr>
          <w:bCs/>
          <w:b/>
        </w:rPr>
        <w:t xml:space="preserve">System Boundary:</w:t>
      </w:r>
      <w:r>
        <w:t xml:space="preserve"> </w:t>
      </w:r>
      <w:r>
        <w:t xml:space="preserve">The "factory_gate" system boundary means certain aspects like upstream capital goods or business travel are not included in the direct PCF calculation, although Scope 3 aims for comprehensive coverage.</w:t>
      </w:r>
    </w:p>
    <w:p>
      <w:pPr>
        <w:numPr>
          <w:ilvl w:val="0"/>
          <w:numId w:val="1027"/>
        </w:numPr>
        <w:pStyle w:val="Compact"/>
      </w:pPr>
      <w:r>
        <w:rPr>
          <w:bCs/>
          <w:b/>
        </w:rPr>
        <w:t xml:space="preserve">Dynamic Nature:</w:t>
      </w:r>
      <w:r>
        <w:t xml:space="preserve"> </w:t>
      </w:r>
      <w:r>
        <w:t xml:space="preserve">Emission factors and operational data are subject to change over time due to technological advancements, policy shifts, and market dynamics. This report represents a snapshot based on current available information and standards.</w:t>
      </w:r>
    </w:p>
    <w:p>
      <w:pPr>
        <w:numPr>
          <w:ilvl w:val="0"/>
          <w:numId w:val="1027"/>
        </w:numPr>
        <w:pStyle w:val="Compact"/>
      </w:pPr>
      <w:r>
        <w:rPr>
          <w:bCs/>
          <w:b/>
        </w:rPr>
        <w:t xml:space="preserve">GHG Protocol LSR Update:</w:t>
      </w:r>
      <w:r>
        <w:t xml:space="preserve"> </w:t>
      </w:r>
      <w:r>
        <w:t xml:space="preserve">The application of the 2026 LSR Standard is conceptual in this report, focusing on accounting for carbon removals from recycling. Detailed land-use change data for all raw materials would require extensive primary data collection.</w:t>
      </w:r>
    </w:p>
    <w:p>
      <w:pPr>
        <w:numPr>
          <w:ilvl w:val="0"/>
          <w:numId w:val="1027"/>
        </w:numPr>
        <w:pStyle w:val="Compact"/>
      </w:pPr>
      <w:r>
        <w:rPr>
          <w:bCs/>
          <w:b/>
        </w:rPr>
        <w:t xml:space="preserve">Scope 3 Coverage:</w:t>
      </w:r>
      <w:r>
        <w:t xml:space="preserve"> </w:t>
      </w:r>
      <w:r>
        <w:t xml:space="preserve">While targeting 95% Scope 3 coverage, minor categories or highly granular data points might be excluded if their contribution is deemed insignificant or data is impractical to obtain without primary supplier engagement.</w:t>
      </w:r>
    </w:p>
    <w:p>
      <w:pPr>
        <w:pStyle w:val="FirstParagraph"/>
      </w:pPr>
      <w:r>
        <w:t xml:space="preserve">This report should serve as a strategic tool for dqzmssslsk\'s sustainability initiatives and not as a definitive legal or financial statement.</w:t>
      </w:r>
    </w:p>
    <w:p>
      <w:r>
        <w:pict>
          <v:rect style="width:0;height:1.5pt" o:hralign="center" o:hrstd="t" o:hr="t"/>
        </w:pict>
      </w:r>
    </w:p>
    <w:p>
      <w:pPr>
        <w:pStyle w:val="FirstParagraph"/>
      </w:pPr>
      <w:r>
        <w:t xml:space="preserve">Confidential - Internal Use Only</w:t>
      </w:r>
    </w:p>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for rmxhsdotum</dc:title>
  <dc:creator/>
  <dc:description>High-detail Product Carbon Footprint (PCF) analysis report for rmxhsdotum, conducted by Senior Sustainability Consultant rtspdpoeuy, adhering to GHG Protocol standards and 2026 LSR updates.</dc:description>
  <dc:language>en</dc:language>
  <cp:keywords/>
  <dcterms:created xsi:type="dcterms:W3CDTF">2026-05-30T12:39:59Z</dcterms:created>
  <dcterms:modified xsi:type="dcterms:W3CDTF">2026-05-30T12:39:59Z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