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rghvvrmrpf</w:t>
      </w:r>
    </w:p>
    <w:p>
      <w:pPr>
        <w:pStyle w:val="FirstParagraph"/>
      </w:pPr>
      <w:r>
        <w:rPr>
          <w:bCs/>
          <w:b/>
        </w:rPr>
        <w:t xml:space="preserve">carboncalcpcf.com</w:t>
      </w:r>
    </w:p>
    <w:bookmarkStart w:id="21" w:name="product-carbon-footprint-analysis-report"/>
    <w:p>
      <w:pPr>
        <w:pStyle w:val="Heading1"/>
      </w:pPr>
      <w:r>
        <w:t xml:space="preserve">Product Carbon Footprint Analysis Report</w:t>
      </w:r>
    </w:p>
    <w:bookmarkStart w:id="20" w:name="product-rghvvrmrpf"/>
    <w:p>
      <w:pPr>
        <w:pStyle w:val="Heading2"/>
      </w:pPr>
      <w:r>
        <w:t xml:space="preserve">Product: rghvvrmrpf</w:t>
      </w:r>
    </w:p>
    <w:p>
      <w:pPr>
        <w:pStyle w:val="FirstParagraph"/>
      </w:pPr>
      <w:r>
        <w:rPr>
          <w:bCs/>
          <w:b/>
        </w:rPr>
        <w:t xml:space="preserve">Company Name:</w:t>
      </w:r>
      <w:r>
        <w:t xml:space="preserve"> </w:t>
      </w:r>
      <w:r>
        <w:t xml:space="preserve">ivwgxqoktj</w:t>
      </w:r>
    </w:p>
    <w:p>
      <w:pPr>
        <w:pStyle w:val="BodyText"/>
      </w:pPr>
      <w:r>
        <w:rPr>
          <w:bCs/>
          <w:b/>
        </w:rPr>
        <w:t xml:space="preserve">Senior Sustainability Consultant:</w:t>
      </w:r>
      <w:r>
        <w:t xml:space="preserve"> </w:t>
      </w:r>
      <w:r>
        <w:t xml:space="preserve">ztqghdefmu</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providing an illustrative analysis of the product\'s carbon footprint. Actual emissions may vary based on precise primary data.</w:t>
      </w:r>
    </w:p>
    <w:bookmarkEnd w:id="20"/>
    <w:bookmarkEnd w:id="21"/>
    <w:bookmarkStart w:id="22" w:name="X427b28a0c555c27805f77c40d49de23d05ba699"/>
    <w:p>
      <w:pPr>
        <w:pStyle w:val="Heading1"/>
      </w:pPr>
      <w:r>
        <w:t xml:space="preserve">Product Carbon Footprint Analysis for rghvvrmrpf</w:t>
      </w:r>
    </w:p>
    <w:p>
      <w:pPr>
        <w:pStyle w:val="FirstParagraph"/>
      </w:pPr>
      <w:r>
        <w:t xml:space="preserve">Generated Date: Thursday, May 21,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\'rghvvrmrpf\', manufactured by \'ivwgxqoktj\'. Conducted by ztqghdefmu, Senior Sustainability Consultant, this analysis adheres strictly to the GHG Protocol, incorporating the latest 2026 updates, including the Land Sector and Removals (LSR) Standard and the 95% coverage requirement for Scope 3 emissions. The total estimated cradle-to-gate-plus-use-and-end-of-life PCF for 1.0 functional unit of \'rghvvrmrpf\' is 29.6 kg CO2e, with the use phase identified as the primary hotspot. This analysis provides a transparent view of the product\'s environmental impact across its lifecycle, highlighting key areas for emission reduction.</w:t>
      </w:r>
    </w:p>
    <w:p>
      <w:r>
        <w:pict>
          <v:rect style="width:0;height:1.5pt" o:hralign="center" o:hrstd="t" o:hr="t"/>
        </w:pict>
      </w:r>
    </w:p>
    <w:bookmarkEnd w:id="23"/>
    <w:bookmarkStart w:id="35" w:name="methodology"/>
    <w:p>
      <w:pPr>
        <w:pStyle w:val="Heading2"/>
      </w:pPr>
      <w:r>
        <w:t xml:space="preserve">1. Methodology</w:t>
      </w:r>
    </w:p>
    <w:p>
      <w:pPr>
        <w:pStyle w:val="FirstParagraph"/>
      </w:pPr>
      <w:r>
        <w:t xml:space="preserve">The Product Carbon Footprint (PCF) analysis for rghvvrmrpf follows the five-step methodology recommended by the GHG Protocol, ensuring a systematic and comprehensive assessment of greenhouse gas emissions across the product\'s lifecycle.</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rghvvrmrpf.</w:t>
      </w:r>
    </w:p>
    <w:p>
      <w:pPr>
        <w:numPr>
          <w:ilvl w:val="0"/>
          <w:numId w:val="1001"/>
        </w:numPr>
        <w:pStyle w:val="Compact"/>
      </w:pPr>
      <w:r>
        <w:rPr>
          <w:bCs/>
          <w:b/>
        </w:rPr>
        <w:t xml:space="preserve">System Boundary:</w:t>
      </w:r>
      <w:r>
        <w:t xml:space="preserve"> </w:t>
      </w:r>
      <w:r>
        <w:t xml:space="preserve">Factory-gate, extended to include use-phase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Allocation:</w:t>
      </w:r>
      <w:r>
        <w:t xml:space="preserve"> </w:t>
      </w:r>
      <w:r>
        <w:t xml:space="preserve">Emissions are directly attributed to the functional unit throughout its lifecycle stages.</w:t>
      </w:r>
    </w:p>
    <w:bookmarkEnd w:id="24"/>
    <w:bookmarkStart w:id="25" w:name="map-lifecycle-lci-inventory-stages"/>
    <w:p>
      <w:pPr>
        <w:pStyle w:val="Heading3"/>
      </w:pPr>
      <w:r>
        <w:t xml:space="preserve">1.2. Map Lifecycle (LCI Inventory Stages)</w:t>
      </w:r>
    </w:p>
    <w:p>
      <w:pPr>
        <w:pStyle w:val="FirstParagraph"/>
      </w:pPr>
      <w:r>
        <w:t xml:space="preserve">The lifecycle of rghvvrmrpf has been mapped into the following stages for inventory collection and emission calculation:</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Description</w:t>
            </w:r>
          </w:p>
        </w:tc>
      </w:tr>
      <w:tr>
        <w:tc>
          <w:tcPr/>
          <w:p>
            <w:pPr>
              <w:pStyle w:val="Compact"/>
              <w:jc w:val="left"/>
            </w:pPr>
            <w:r>
              <w:t xml:space="preserve">Materials Acquisition &amp; Pre-processing</w:t>
            </w:r>
          </w:p>
        </w:tc>
        <w:tc>
          <w:tcPr/>
          <w:p>
            <w:pPr>
              <w:pStyle w:val="Compact"/>
              <w:jc w:val="left"/>
            </w:pPr>
            <w:r>
              <w:t xml:space="preserve">Extraction of raw materials and their processing into usable components, including primary transport to the manufacturing facility.</w:t>
            </w:r>
          </w:p>
        </w:tc>
      </w:tr>
      <w:tr>
        <w:tc>
          <w:tcPr/>
          <w:p>
            <w:pPr>
              <w:pStyle w:val="Compact"/>
              <w:jc w:val="left"/>
            </w:pPr>
            <w:r>
              <w:t xml:space="preserve">Manufacturing</w:t>
            </w:r>
          </w:p>
        </w:tc>
        <w:tc>
          <w:tcPr/>
          <w:p>
            <w:pPr>
              <w:pStyle w:val="Compact"/>
              <w:jc w:val="left"/>
            </w:pPr>
            <w:r>
              <w:t xml:space="preserve">Energy consumption and processes involved in assembling and producing the final rghvvrmrpf product at the ivwgxqoktj facility in China.</w:t>
            </w:r>
          </w:p>
        </w:tc>
      </w:tr>
      <w:tr>
        <w:tc>
          <w:tcPr/>
          <w:p>
            <w:pPr>
              <w:pStyle w:val="Compact"/>
              <w:jc w:val="left"/>
            </w:pPr>
            <w:r>
              <w:t xml:space="preserve">Transport</w:t>
            </w:r>
          </w:p>
        </w:tc>
        <w:tc>
          <w:tcPr/>
          <w:p>
            <w:pPr>
              <w:pStyle w:val="Compact"/>
              <w:jc w:val="left"/>
            </w:pPr>
            <w:r>
              <w:t xml:space="preserve">Logistics of distributing the finished product from the factory to the end-user, including last-mile delivery.</w:t>
            </w:r>
          </w:p>
        </w:tc>
      </w:tr>
      <w:tr>
        <w:tc>
          <w:tcPr/>
          <w:p>
            <w:pPr>
              <w:pStyle w:val="Compact"/>
              <w:jc w:val="left"/>
            </w:pPr>
            <w:r>
              <w:t xml:space="preserve">Use Phase</w:t>
            </w:r>
          </w:p>
        </w:tc>
        <w:tc>
          <w:tcPr/>
          <w:p>
            <w:pPr>
              <w:pStyle w:val="Compact"/>
              <w:jc w:val="left"/>
            </w:pPr>
            <w:r>
              <w:t xml:space="preserve">Energy consumption during the product\'s operational lifespan, as well as any associated emissions.</w:t>
            </w:r>
          </w:p>
        </w:tc>
      </w:tr>
      <w:tr>
        <w:tc>
          <w:tcPr/>
          <w:p>
            <w:pPr>
              <w:pStyle w:val="Compact"/>
              <w:jc w:val="left"/>
            </w:pPr>
            <w:r>
              <w:t xml:space="preserve">End-of-Life (EoL)</w:t>
            </w:r>
          </w:p>
        </w:tc>
        <w:tc>
          <w:tcPr/>
          <w:p>
            <w:pPr>
              <w:pStyle w:val="Compact"/>
              <w:jc w:val="left"/>
            </w:pPr>
            <w:r>
              <w:t xml:space="preserve">Disposal and recycling processes at the end of the product\'s useful life, accounting for circular economy impacts.</w:t>
            </w:r>
          </w:p>
        </w:tc>
      </w:tr>
    </w:tbl>
    <w:bookmarkEnd w:id="25"/>
    <w:bookmarkStart w:id="31" w:name="collect-data"/>
    <w:p>
      <w:pPr>
        <w:pStyle w:val="Heading3"/>
      </w:pPr>
      <w:r>
        <w:t xml:space="preserve">1.3. Collect Data</w:t>
      </w:r>
    </w:p>
    <w:p>
      <w:pPr>
        <w:pStyle w:val="FirstParagraph"/>
      </w:pPr>
      <w:r>
        <w:t xml:space="preserve">Data was collected from various sources, prioritizing provided parameters and supplementing with industry-standard emission factors where primary data was not available.</w:t>
      </w:r>
    </w:p>
    <w:bookmarkStart w:id="26" w:name="X6b7efc4b39a93ce47822a8cdddb0bbe56ec8ab1"/>
    <w:p>
      <w:pPr>
        <w:pStyle w:val="Heading4"/>
      </w:pPr>
      <w:r>
        <w:t xml:space="preserve">Material Inputs (Detailed Bill of Materials: zpmluhjv)</w:t>
      </w:r>
    </w:p>
    <w:p>
      <w:pPr>
        <w:pStyle w:val="FirstParagraph"/>
      </w:pPr>
      <w:r>
        <w:t xml:space="preserve">The provided Bill of Materials, referred to as \'zpmluhjv\', is crucial for high-accuracy material impact calculation. As \'zpmluhjv\' was provided as a placeholder string, an illustrative BOM structure with representative values has been utilized, following the specified format (ID, Description, Category, Process, Qty, Unit, Emission Factor, Total Carbon). In a real-world scenario, precise data for \'zpmluhjv\' would be parsed and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MAT002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MAT003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w:t>
            </w:r>
          </w:p>
        </w:tc>
      </w:tr>
      <w:tr>
        <w:tc>
          <w:tcPr>
            <w:gridSpan w:val="7"/>
          </w:tcPr>
          <w:p>
            <w:pPr>
              <w:pStyle w:val="Compact"/>
              <w:jc w:val="right"/>
            </w:pPr>
            <w:r>
              <w:rPr>
                <w:bCs/>
                <w:b/>
              </w:rPr>
              <w:t xml:space="preserve">Total Material Emissions:</w:t>
            </w:r>
          </w:p>
        </w:tc>
        <w:tc>
          <w:tcPr/>
          <w:p>
            <w:pPr>
              <w:pStyle w:val="Compact"/>
              <w:jc w:val="left"/>
            </w:pPr>
            <w:r>
              <w:rPr>
                <w:bCs/>
                <w:b/>
              </w:rPr>
              <w:t xml:space="preserve">4.8</w:t>
            </w:r>
          </w:p>
        </w:tc>
      </w:tr>
    </w:tbl>
    <w:bookmarkEnd w:id="26"/>
    <w:bookmarkStart w:id="27" w:name="energy-inputs"/>
    <w:p>
      <w:pPr>
        <w:pStyle w:val="Heading4"/>
      </w:pPr>
      <w:r>
        <w:t xml:space="preserve">Energy Inputs</w:t>
      </w:r>
    </w:p>
    <w:p>
      <w:pPr>
        <w:numPr>
          <w:ilvl w:val="0"/>
          <w:numId w:val="1002"/>
        </w:numPr>
        <w:pStyle w:val="Compact"/>
      </w:pPr>
      <w:r>
        <w:rPr>
          <w:bCs/>
          <w:b/>
        </w:rPr>
        <w:t xml:space="preserve">Renewable Energy Usage:</w:t>
      </w:r>
      <w:r>
        <w:t xml:space="preserve"> </w:t>
      </w:r>
      <w:r>
        <w:t xml:space="preserve">sifidfptxm (Assumed: 50%)</w:t>
      </w:r>
    </w:p>
    <w:p>
      <w:pPr>
        <w:numPr>
          <w:ilvl w:val="0"/>
          <w:numId w:val="1002"/>
        </w:numPr>
        <w:pStyle w:val="Compact"/>
      </w:pPr>
      <w:r>
        <w:rPr>
          <w:bCs/>
          <w:b/>
        </w:rPr>
        <w:t xml:space="preserve">Energy Intensity (kWh/unit):</w:t>
      </w:r>
      <w:r>
        <w:t xml:space="preserve"> </w:t>
      </w:r>
      <w:r>
        <w:t xml:space="preserve">yzvogttmyo (Assumed: 25 kWh/unit)</w:t>
      </w:r>
    </w:p>
    <w:bookmarkEnd w:id="27"/>
    <w:bookmarkStart w:id="28" w:name="logistics-data"/>
    <w:p>
      <w:pPr>
        <w:pStyle w:val="Heading4"/>
      </w:pPr>
      <w:r>
        <w:t xml:space="preserve">Logistics Data</w:t>
      </w:r>
    </w:p>
    <w:p>
      <w:pPr>
        <w:numPr>
          <w:ilvl w:val="0"/>
          <w:numId w:val="1003"/>
        </w:numPr>
        <w:pStyle w:val="Compact"/>
      </w:pPr>
      <w:r>
        <w:rPr>
          <w:bCs/>
          <w:b/>
        </w:rPr>
        <w:t xml:space="preserve">Transport Mode:</w:t>
      </w:r>
      <w:r>
        <w:t xml:space="preserve"> </w:t>
      </w:r>
      <w:r>
        <w:t xml:space="preserve">Select Mode (Assumed: Ocean Freight from China to Europe, followed by Road Freight, and Parcel Delivery via Van for last-mile)</w:t>
      </w:r>
    </w:p>
    <w:p>
      <w:pPr>
        <w:numPr>
          <w:ilvl w:val="0"/>
          <w:numId w:val="1003"/>
        </w:numPr>
        <w:pStyle w:val="Compact"/>
      </w:pPr>
      <w:r>
        <w:rPr>
          <w:bCs/>
          <w:b/>
        </w:rPr>
        <w:t xml:space="preserve">Transport Distance:</w:t>
      </w:r>
      <w:r>
        <w:t xml:space="preserve"> </w:t>
      </w:r>
      <w:r>
        <w:t xml:space="preserve">uwsoiitjkr (Assumed: 10,000 km Ocean Freight, 500 km Road Freight)</w:t>
      </w:r>
    </w:p>
    <w:p>
      <w:pPr>
        <w:numPr>
          <w:ilvl w:val="0"/>
          <w:numId w:val="1003"/>
        </w:numPr>
        <w:pStyle w:val="Compact"/>
      </w:pPr>
      <w:r>
        <w:rPr>
          <w:bCs/>
          <w:b/>
        </w:rPr>
        <w:t xml:space="preserve">Last-Mile Delivery Channel:</w:t>
      </w:r>
      <w:r>
        <w:t xml:space="preserve"> </w:t>
      </w:r>
      <w:r>
        <w:t xml:space="preserve">Delivery Type (Assumed: Parcel Delivery via Van)</w:t>
      </w:r>
    </w:p>
    <w:p>
      <w:pPr>
        <w:numPr>
          <w:ilvl w:val="0"/>
          <w:numId w:val="1003"/>
        </w:numPr>
        <w:pStyle w:val="Compact"/>
      </w:pPr>
      <w:r>
        <w:rPr>
          <w:bCs/>
          <w:b/>
        </w:rPr>
        <w:t xml:space="preserve">Assumed Product Weight:</w:t>
      </w:r>
      <w:r>
        <w:t xml:space="preserve"> </w:t>
      </w:r>
      <w:r>
        <w:t xml:space="preserve">5 kg/unit</w:t>
      </w:r>
    </w:p>
    <w:bookmarkEnd w:id="28"/>
    <w:bookmarkStart w:id="29" w:name="use-phase-data"/>
    <w:p>
      <w:pPr>
        <w:pStyle w:val="Heading4"/>
      </w:pPr>
      <w:r>
        <w:t xml:space="preserve">Use Phase Data</w:t>
      </w:r>
    </w:p>
    <w:p>
      <w:pPr>
        <w:numPr>
          <w:ilvl w:val="0"/>
          <w:numId w:val="1004"/>
        </w:numPr>
        <w:pStyle w:val="Compact"/>
      </w:pPr>
      <w:r>
        <w:rPr>
          <w:bCs/>
          <w:b/>
        </w:rPr>
        <w:t xml:space="preserve">Product Lifespan:</w:t>
      </w:r>
      <w:r>
        <w:t xml:space="preserve"> </w:t>
      </w:r>
      <w:r>
        <w:t xml:space="preserve">lrmukqmvdq (Assumed: 5 years)</w:t>
      </w:r>
    </w:p>
    <w:p>
      <w:pPr>
        <w:numPr>
          <w:ilvl w:val="0"/>
          <w:numId w:val="1004"/>
        </w:numPr>
        <w:pStyle w:val="Compact"/>
      </w:pPr>
      <w:r>
        <w:rPr>
          <w:bCs/>
          <w:b/>
        </w:rPr>
        <w:t xml:space="preserve">Energy Consumption in Use:</w:t>
      </w:r>
      <w:r>
        <w:t xml:space="preserve"> </w:t>
      </w:r>
      <w:r>
        <w:t xml:space="preserve">trmvjfvgdv (Assumed: 10 kWh/year)</w:t>
      </w:r>
    </w:p>
    <w:bookmarkEnd w:id="29"/>
    <w:bookmarkStart w:id="30" w:name="end-of-life-data"/>
    <w:p>
      <w:pPr>
        <w:pStyle w:val="Heading4"/>
      </w:pPr>
      <w:r>
        <w:t xml:space="preserve">End-of-Life Data</w:t>
      </w:r>
    </w:p>
    <w:p>
      <w:pPr>
        <w:numPr>
          <w:ilvl w:val="0"/>
          <w:numId w:val="1005"/>
        </w:numPr>
        <w:pStyle w:val="Compact"/>
      </w:pPr>
      <w:r>
        <w:rPr>
          <w:bCs/>
          <w:b/>
        </w:rPr>
        <w:t xml:space="preserve">Recyclability Percentage:</w:t>
      </w:r>
      <w:r>
        <w:t xml:space="preserve"> </w:t>
      </w:r>
      <w:r>
        <w:t xml:space="preserve">znruiggrpx (Assumed: 70%)</w:t>
      </w:r>
    </w:p>
    <w:p>
      <w:pPr>
        <w:numPr>
          <w:ilvl w:val="0"/>
          <w:numId w:val="1005"/>
        </w:numPr>
        <w:pStyle w:val="Compact"/>
      </w:pPr>
      <w:r>
        <w:rPr>
          <w:bCs/>
          <w:b/>
        </w:rPr>
        <w:t xml:space="preserve">Circular/Take-back Programs:</w:t>
      </w:r>
      <w:r>
        <w:t xml:space="preserve"> </w:t>
      </w:r>
      <w:r>
        <w:t xml:space="preserve">jxwtlujnht (Assumed: Yes, regional take-back program active)</w:t>
      </w:r>
    </w:p>
    <w:bookmarkEnd w:id="30"/>
    <w:bookmarkEnd w:id="31"/>
    <w:bookmarkStart w:id="33" w:name="calculate-emissions"/>
    <w:p>
      <w:pPr>
        <w:pStyle w:val="Heading3"/>
      </w:pPr>
      <w:r>
        <w:t xml:space="preserve">1.4. Calculate Emissions</w:t>
      </w:r>
    </w:p>
    <w:p>
      <w:pPr>
        <w:pStyle w:val="FirstParagraph"/>
      </w:pPr>
      <w:r>
        <w:t xml:space="preserve">Emissions are calculated using the formula: Activity Data × Emission Factor = CO2e. Industry-standard emission factors (e.g., from Ecoinvent/DEFRA equivalents) are used for high-detail calculations.</w:t>
      </w:r>
    </w:p>
    <w:p>
      <w:pPr>
        <w:pStyle w:val="BodyText"/>
      </w:pPr>
      <w:r>
        <w:t xml:space="preserve">**Adherence to GHG Protocol:** Emissions are categorized into Scope 1 (direct), Scope 2 (purchased energy), and Scope 3 (value chain) according to the GHG Protocol.</w:t>
      </w:r>
    </w:p>
    <w:p>
      <w:pPr>
        <w:pStyle w:val="BodyText"/>
      </w:pPr>
      <w:r>
        <w:t xml:space="preserve">**2026 LSR Update:** The Land Sector and Removals (LSR) Standard, released in January 2026 and effective January 1, 2027, is applied to account for land use and carbon removals where relevant. This standard provides guidance for quantifying and reporting land emissions and CO2 removals, including from land management, land use change, and biogenic products.</w:t>
      </w:r>
    </w:p>
    <w:p>
      <w:pPr>
        <w:pStyle w:val="BodyText"/>
      </w:pPr>
      <w:r>
        <w:t xml:space="preserve">**Scope 3 Compliance:** As per 2026 requirements, efforts ensure at least 95% coverage for Scope 3 reporting. The GHG Protocol\'s proposed "95% completeness rule" mandates accounting for at least 95% of total relevant Scope 3 emissions.</w:t>
      </w:r>
    </w:p>
    <w:bookmarkStart w:id="32" w:name="X8f9a7ec35c0b168f50cfdcacf651a75fd5c0a6a"/>
    <w:p>
      <w:pPr>
        <w:pStyle w:val="Heading4"/>
      </w:pPr>
      <w:r>
        <w:t xml:space="preserve">Emission Calculation Breakdown (Illustrative)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 (Illustrative)</w:t>
            </w:r>
          </w:p>
        </w:tc>
        <w:tc>
          <w:tcPr/>
          <w:p>
            <w:pPr>
              <w:pStyle w:val="Compact"/>
              <w:jc w:val="left"/>
            </w:pPr>
            <w:r>
              <w:t xml:space="preserve">GHG Scope</w:t>
            </w:r>
          </w:p>
        </w:tc>
        <w:tc>
          <w:tcPr/>
          <w:p>
            <w:pPr>
              <w:pStyle w:val="Compact"/>
              <w:jc w:val="left"/>
            </w:pPr>
            <w:r>
              <w:t xml:space="preserve">CO2e (kg/unit)</w:t>
            </w:r>
          </w:p>
        </w:tc>
      </w:tr>
      <w:tr>
        <w:tc>
          <w:tcPr/>
          <w:p>
            <w:pPr>
              <w:pStyle w:val="Compact"/>
              <w:jc w:val="left"/>
            </w:pPr>
            <w:r>
              <w:rPr>
                <w:bCs/>
                <w:b/>
              </w:rPr>
              <w:t xml:space="preserve">Materials Acquisition &amp; Pre-processing</w:t>
            </w:r>
          </w:p>
        </w:tc>
        <w:tc>
          <w:tcPr/>
          <w:p>
            <w:pPr>
              <w:pStyle w:val="Compact"/>
              <w:jc w:val="left"/>
            </w:pPr>
            <w:r>
              <w:t xml:space="preserve">As per zpmluhjv (illustrative BOM)</w:t>
            </w:r>
          </w:p>
        </w:tc>
        <w:tc>
          <w:tcPr/>
          <w:p>
            <w:pPr>
              <w:pStyle w:val="Compact"/>
              <w:jc w:val="left"/>
            </w:pPr>
            <w:r>
              <w:t xml:space="preserve">Varies by material</w:t>
            </w:r>
          </w:p>
        </w:tc>
        <w:tc>
          <w:tcPr/>
          <w:p>
            <w:pPr>
              <w:pStyle w:val="Compact"/>
              <w:jc w:val="left"/>
            </w:pPr>
            <w:r>
              <w:t xml:space="preserve">Scope 3</w:t>
            </w:r>
          </w:p>
        </w:tc>
        <w:tc>
          <w:tcPr/>
          <w:p>
            <w:pPr>
              <w:pStyle w:val="Compact"/>
              <w:jc w:val="left"/>
            </w:pPr>
            <w:r>
              <w:t xml:space="preserve">4.8</w:t>
            </w:r>
          </w:p>
        </w:tc>
      </w:tr>
      <w:tr>
        <w:tc>
          <w:tcPr/>
          <w:p>
            <w:pPr>
              <w:pStyle w:val="Compact"/>
              <w:jc w:val="left"/>
            </w:pPr>
            <w:r>
              <w:rPr>
                <w:bCs/>
                <w:b/>
              </w:rPr>
              <w:t xml:space="preserve">Manufacturing</w:t>
            </w:r>
          </w:p>
        </w:tc>
        <w:tc>
          <w:tcPr/>
          <w:p>
            <w:pPr>
              <w:pStyle w:val="Compact"/>
              <w:jc w:val="left"/>
            </w:pPr>
            <w:r>
              <w:t xml:space="preserve">Energy Intensity: 25 kWh/unit, Renewable Energy: 50%</w:t>
            </w:r>
          </w:p>
        </w:tc>
        <w:tc>
          <w:tcPr/>
          <w:p>
            <w:pPr>
              <w:pStyle w:val="Compact"/>
              <w:jc w:val="left"/>
            </w:pPr>
            <w:r>
              <w:t xml:space="preserve">0.7 kg CO2e/kWh (China Grid Mix)</w:t>
            </w:r>
          </w:p>
        </w:tc>
        <w:tc>
          <w:tcPr/>
          <w:p>
            <w:pPr>
              <w:pStyle w:val="Compact"/>
              <w:jc w:val="left"/>
            </w:pPr>
            <w:r>
              <w:t xml:space="preserve">Scope 2</w:t>
            </w:r>
          </w:p>
        </w:tc>
        <w:tc>
          <w:tcPr/>
          <w:p>
            <w:pPr>
              <w:pStyle w:val="Compact"/>
              <w:jc w:val="left"/>
            </w:pPr>
            <w:r>
              <w:t xml:space="preserve">8.75</w:t>
            </w:r>
          </w:p>
        </w:tc>
      </w:tr>
      <w:tr>
        <w:tc>
          <w:tcPr>
            <w:vMerge w:val="restart"/>
          </w:tcPr>
          <w:p>
            <w:pPr>
              <w:pStyle w:val="Compact"/>
              <w:jc w:val="left"/>
            </w:pPr>
            <w:r>
              <w:rPr>
                <w:bCs/>
                <w:b/>
              </w:rPr>
              <w:t xml:space="preserve">Transport</w:t>
            </w:r>
          </w:p>
        </w:tc>
        <w:tc>
          <w:tcPr/>
          <w:p>
            <w:pPr>
              <w:pStyle w:val="Compact"/>
              <w:jc w:val="left"/>
            </w:pPr>
            <w:r>
              <w:t xml:space="preserve">Ocean Freight: 5 kg x 10,000 km</w:t>
            </w:r>
          </w:p>
        </w:tc>
        <w:tc>
          <w:tcPr/>
          <w:p>
            <w:pPr>
              <w:pStyle w:val="Compact"/>
              <w:jc w:val="left"/>
            </w:pPr>
            <w:r>
              <w:t xml:space="preserve">0.016 kg CO2e/tonne-km</w:t>
            </w:r>
          </w:p>
        </w:tc>
        <w:tc>
          <w:tcPr/>
          <w:p>
            <w:pPr>
              <w:pStyle w:val="Compact"/>
              <w:jc w:val="left"/>
            </w:pPr>
            <w:r>
              <w:t xml:space="preserve">Scope 3</w:t>
            </w:r>
          </w:p>
        </w:tc>
        <w:tc>
          <w:tcPr/>
          <w:p>
            <w:pPr>
              <w:pStyle w:val="Compact"/>
              <w:jc w:val="left"/>
            </w:pPr>
            <w:r>
              <w:t xml:space="preserve">0.25</w:t>
            </w:r>
          </w:p>
        </w:tc>
      </w:tr>
      <w:tr>
        <w:tc>
          <w:tcPr>
            <w:gridSpan w:val="1"/>
            <w:vMerge w:val="continue"/>
          </w:tcPr>
          <w:p>
            <w:pPr/>
          </w:p>
        </w:tc>
        <w:tc>
          <w:tcPr/>
          <w:p>
            <w:pPr>
              <w:pStyle w:val="Compact"/>
              <w:jc w:val="left"/>
            </w:pPr>
            <w:r>
              <w:t xml:space="preserve">Road Freight: 5 kg x 500 km</w:t>
            </w:r>
          </w:p>
        </w:tc>
        <w:tc>
          <w:tcPr/>
          <w:p>
            <w:pPr>
              <w:pStyle w:val="Compact"/>
              <w:jc w:val="left"/>
            </w:pPr>
            <w:r>
              <w:t xml:space="preserve">0.08 kg CO2e/tonne-km</w:t>
            </w:r>
          </w:p>
        </w:tc>
        <w:tc>
          <w:tcPr/>
          <w:p>
            <w:pPr>
              <w:pStyle w:val="Compact"/>
              <w:jc w:val="left"/>
            </w:pPr>
            <w:r>
              <w:t xml:space="preserve">Scope 3</w:t>
            </w:r>
          </w:p>
        </w:tc>
        <w:tc>
          <w:tcPr/>
          <w:p>
            <w:pPr>
              <w:pStyle w:val="Compact"/>
              <w:jc w:val="left"/>
            </w:pPr>
            <w:r>
              <w:t xml:space="preserve">0.20</w:t>
            </w:r>
          </w:p>
        </w:tc>
      </w:tr>
      <w:tr>
        <w:tc>
          <w:tcPr>
            <w:gridSpan w:val="1"/>
            <w:vMerge w:val="continue"/>
          </w:tcPr>
          <w:p>
            <w:pPr/>
          </w:p>
        </w:tc>
        <w:tc>
          <w:tcPr/>
          <w:p>
            <w:pPr>
              <w:pStyle w:val="Compact"/>
              <w:jc w:val="left"/>
            </w:pPr>
            <w:r>
              <w:t xml:space="preserve">Last-Mile Delivery (Parcel Delivery via Van)</w:t>
            </w:r>
          </w:p>
        </w:tc>
        <w:tc>
          <w:tcPr/>
          <w:p>
            <w:pPr>
              <w:pStyle w:val="Compact"/>
              <w:jc w:val="left"/>
            </w:pPr>
            <w:r>
              <w:t xml:space="preserve">0.25 kg CO2e/km (Assumed average for last mile)</w:t>
            </w:r>
          </w:p>
        </w:tc>
        <w:tc>
          <w:tcPr/>
          <w:p>
            <w:pPr>
              <w:pStyle w:val="Compact"/>
              <w:jc w:val="left"/>
            </w:pPr>
            <w:r>
              <w:t xml:space="preserve">Scope 3</w:t>
            </w:r>
          </w:p>
        </w:tc>
        <w:tc>
          <w:tcPr/>
          <w:p>
            <w:pPr>
              <w:pStyle w:val="Compact"/>
              <w:jc w:val="left"/>
            </w:pPr>
            <w:r>
              <w:t xml:space="preserve">0.10</w:t>
            </w:r>
          </w:p>
        </w:tc>
      </w:tr>
      <w:tr>
        <w:tc>
          <w:tcPr/>
          <w:p>
            <w:pPr>
              <w:pStyle w:val="Compact"/>
              <w:jc w:val="left"/>
            </w:pPr>
            <w:r>
              <w:rPr>
                <w:bCs/>
                <w:b/>
              </w:rPr>
              <w:t xml:space="preserve">Use Phase</w:t>
            </w:r>
          </w:p>
        </w:tc>
        <w:tc>
          <w:tcPr/>
          <w:p>
            <w:pPr>
              <w:pStyle w:val="Compact"/>
              <w:jc w:val="left"/>
            </w:pPr>
            <w:r>
              <w:t xml:space="preserve">Energy in Use: 10 kWh/year x 5 years (lifespan)</w:t>
            </w:r>
          </w:p>
        </w:tc>
        <w:tc>
          <w:tcPr/>
          <w:p>
            <w:pPr>
              <w:pStyle w:val="Compact"/>
              <w:jc w:val="left"/>
            </w:pPr>
            <w:r>
              <w:t xml:space="preserve">0.3 kg CO2e/kWh (Europe Average Grid Mix)</w:t>
            </w:r>
          </w:p>
        </w:tc>
        <w:tc>
          <w:tcPr/>
          <w:p>
            <w:pPr>
              <w:pStyle w:val="Compact"/>
              <w:jc w:val="left"/>
            </w:pPr>
            <w:r>
              <w:t xml:space="preserve">Scope 3</w:t>
            </w:r>
          </w:p>
        </w:tc>
        <w:tc>
          <w:tcPr/>
          <w:p>
            <w:pPr>
              <w:pStyle w:val="Compact"/>
              <w:jc w:val="left"/>
            </w:pPr>
            <w:r>
              <w:t xml:space="preserve">15.0</w:t>
            </w:r>
          </w:p>
        </w:tc>
      </w:tr>
      <w:tr>
        <w:tc>
          <w:tcPr>
            <w:vMerge w:val="restart"/>
          </w:tcPr>
          <w:p>
            <w:pPr>
              <w:pStyle w:val="Compact"/>
              <w:jc w:val="left"/>
            </w:pPr>
            <w:r>
              <w:rPr>
                <w:bCs/>
                <w:b/>
              </w:rPr>
              <w:t xml:space="preserve">End-of-Life</w:t>
            </w:r>
          </w:p>
        </w:tc>
        <w:tc>
          <w:tcPr/>
          <w:p>
            <w:pPr>
              <w:pStyle w:val="Compact"/>
              <w:jc w:val="left"/>
            </w:pPr>
            <w:r>
              <w:t xml:space="preserve">Landfilled (30% of 5 kg = 1.5 kg)</w:t>
            </w:r>
          </w:p>
        </w:tc>
        <w:tc>
          <w:tcPr/>
          <w:p>
            <w:pPr>
              <w:pStyle w:val="Compact"/>
              <w:jc w:val="left"/>
            </w:pPr>
            <w:r>
              <w:t xml:space="preserve">0.02 kg CO2e/kg (Plastic Landfill)</w:t>
            </w:r>
          </w:p>
        </w:tc>
        <w:tc>
          <w:tcPr/>
          <w:p>
            <w:pPr>
              <w:pStyle w:val="Compact"/>
              <w:jc w:val="left"/>
            </w:pPr>
            <w:r>
              <w:t xml:space="preserve">Scope 3</w:t>
            </w:r>
          </w:p>
        </w:tc>
        <w:tc>
          <w:tcPr/>
          <w:p>
            <w:pPr>
              <w:pStyle w:val="Compact"/>
              <w:jc w:val="left"/>
            </w:pPr>
            <w:r>
              <w:t xml:space="preserve">0.03</w:t>
            </w:r>
          </w:p>
        </w:tc>
      </w:tr>
      <w:tr>
        <w:tc>
          <w:tcPr>
            <w:gridSpan w:val="1"/>
            <w:vMerge w:val="continue"/>
          </w:tcPr>
          <w:p>
            <w:pPr/>
          </w:p>
        </w:tc>
        <w:tc>
          <w:tcPr/>
          <w:p>
            <w:pPr>
              <w:pStyle w:val="Compact"/>
              <w:jc w:val="left"/>
            </w:pPr>
            <w:r>
              <w:t xml:space="preserve">Recycled (70% of 5 kg = 3.5 kg)</w:t>
            </w:r>
          </w:p>
        </w:tc>
        <w:tc>
          <w:tcPr/>
          <w:p>
            <w:pPr>
              <w:pStyle w:val="Compact"/>
              <w:jc w:val="left"/>
            </w:pPr>
            <w:r>
              <w:t xml:space="preserve">-2.0 kg CO2e/kg (Net credit from avoided virgin production)</w:t>
            </w:r>
          </w:p>
        </w:tc>
        <w:tc>
          <w:tcPr/>
          <w:p>
            <w:pPr>
              <w:pStyle w:val="Compact"/>
              <w:jc w:val="left"/>
            </w:pPr>
            <w:r>
              <w:t xml:space="preserve">Scope 3</w:t>
            </w:r>
          </w:p>
        </w:tc>
        <w:tc>
          <w:tcPr/>
          <w:p>
            <w:pPr>
              <w:pStyle w:val="Compact"/>
              <w:jc w:val="left"/>
            </w:pPr>
            <w:r>
              <w:t xml:space="preserve">-7.0</w:t>
            </w:r>
          </w:p>
        </w:tc>
      </w:tr>
      <w:tr>
        <w:tc>
          <w:tcPr>
            <w:gridSpan w:val="4"/>
          </w:tcPr>
          <w:p>
            <w:pPr>
              <w:pStyle w:val="Compact"/>
              <w:jc w:val="right"/>
            </w:pPr>
            <w:r>
              <w:rPr>
                <w:bCs/>
                <w:b/>
              </w:rPr>
              <w:t xml:space="preserve">Total Product Carbon Footprint:</w:t>
            </w:r>
          </w:p>
        </w:tc>
        <w:tc>
          <w:tcPr/>
          <w:p>
            <w:pPr>
              <w:pStyle w:val="Compact"/>
              <w:jc w:val="left"/>
            </w:pPr>
            <w:r>
              <w:rPr>
                <w:bCs/>
                <w:b/>
              </w:rPr>
              <w:t xml:space="preserve">21.63</w:t>
            </w:r>
          </w:p>
        </w:tc>
      </w:tr>
    </w:tbl>
    <w:p>
      <w:pPr>
        <w:pStyle w:val="BodyText"/>
      </w:pPr>
      <w:r>
        <w:rPr>
          <w:iCs/>
          <w:i/>
        </w:rPr>
        <w:t xml:space="preserve">Note: The "Total Carbon (kgCO2e)" from the illustrative BOM (4.8 kgCO2e) is already integrated into the Materials Acquisition &amp; Pre-processing stage in the above table for the overall PCF calculation. The EoL recycling credit is illustrative and represents the avoided emissions from not producing virgin material, net of recycling process emissions.</w:t>
      </w:r>
    </w:p>
    <w:bookmarkEnd w:id="32"/>
    <w:bookmarkEnd w:id="33"/>
    <w:bookmarkStart w:id="34" w:name="review-report"/>
    <w:p>
      <w:pPr>
        <w:pStyle w:val="Heading3"/>
      </w:pPr>
      <w:r>
        <w:t xml:space="preserve">1.5. Review &amp; Report</w:t>
      </w:r>
    </w:p>
    <w:p>
      <w:pPr>
        <w:pStyle w:val="FirstParagraph"/>
      </w:pPr>
      <w:r>
        <w:t xml:space="preserve">The final step involves reviewing the calculations for accuracy and identifying emission hotspots across the product\'s lifecycle. Reliability of data sources is assessed, and findings are reported to inform strategic sustainability initiatives for ivwgxqoktj.</w:t>
      </w:r>
    </w:p>
    <w:p>
      <w:r>
        <w:pict>
          <v:rect style="width:0;height:1.5pt" o:hralign="center" o:hrstd="t" o:hr="t"/>
        </w:pict>
      </w:r>
    </w:p>
    <w:bookmarkEnd w:id="34"/>
    <w:bookmarkEnd w:id="35"/>
    <w:bookmarkStart w:id="40" w:name="Xaa3cd4ef5481c370154643767ffda0674cc341e"/>
    <w:p>
      <w:pPr>
        <w:pStyle w:val="Heading2"/>
      </w:pPr>
      <w:r>
        <w:t xml:space="preserve">2. Detailed Product Carbon Footprint Analysis for rghvvrmrpf</w:t>
      </w:r>
    </w:p>
    <w:bookmarkStart w:id="36" w:name="overall-pcf-summary"/>
    <w:p>
      <w:pPr>
        <w:pStyle w:val="Heading3"/>
      </w:pPr>
      <w:r>
        <w:t xml:space="preserve">2.1. Overall PCF Summary</w:t>
      </w:r>
    </w:p>
    <w:p>
      <w:pPr>
        <w:pStyle w:val="FirstParagraph"/>
      </w:pPr>
      <w:r>
        <w:t xml:space="preserve">The total cradle-to-gate-plus-use-and-end-of-life Product Carbon Footprint for one unit of rghvvrmrpf 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4.80</w:t>
            </w:r>
          </w:p>
        </w:tc>
        <w:tc>
          <w:tcPr/>
          <w:p>
            <w:pPr>
              <w:pStyle w:val="Compact"/>
              <w:jc w:val="left"/>
            </w:pPr>
            <w:r>
              <w:t xml:space="preserve">22.19%</w:t>
            </w:r>
          </w:p>
        </w:tc>
      </w:tr>
      <w:tr>
        <w:tc>
          <w:tcPr/>
          <w:p>
            <w:pPr>
              <w:pStyle w:val="Compact"/>
              <w:jc w:val="left"/>
            </w:pPr>
            <w:r>
              <w:t xml:space="preserve">Manufacturing</w:t>
            </w:r>
          </w:p>
        </w:tc>
        <w:tc>
          <w:tcPr/>
          <w:p>
            <w:pPr>
              <w:pStyle w:val="Compact"/>
              <w:jc w:val="left"/>
            </w:pPr>
            <w:r>
              <w:t xml:space="preserve">8.75</w:t>
            </w:r>
          </w:p>
        </w:tc>
        <w:tc>
          <w:tcPr/>
          <w:p>
            <w:pPr>
              <w:pStyle w:val="Compact"/>
              <w:jc w:val="left"/>
            </w:pPr>
            <w:r>
              <w:t xml:space="preserve">40.45%</w:t>
            </w:r>
          </w:p>
        </w:tc>
      </w:tr>
      <w:tr>
        <w:tc>
          <w:tcPr/>
          <w:p>
            <w:pPr>
              <w:pStyle w:val="Compact"/>
              <w:jc w:val="left"/>
            </w:pPr>
            <w:r>
              <w:t xml:space="preserve">Transport</w:t>
            </w:r>
          </w:p>
        </w:tc>
        <w:tc>
          <w:tcPr/>
          <w:p>
            <w:pPr>
              <w:pStyle w:val="Compact"/>
              <w:jc w:val="left"/>
            </w:pPr>
            <w:r>
              <w:t xml:space="preserve">0.55</w:t>
            </w:r>
          </w:p>
        </w:tc>
        <w:tc>
          <w:tcPr/>
          <w:p>
            <w:pPr>
              <w:pStyle w:val="Compact"/>
              <w:jc w:val="left"/>
            </w:pPr>
            <w:r>
              <w:t xml:space="preserve">2.54%</w:t>
            </w:r>
          </w:p>
        </w:tc>
      </w:tr>
      <w:tr>
        <w:tc>
          <w:tcPr/>
          <w:p>
            <w:pPr>
              <w:pStyle w:val="Compact"/>
              <w:jc w:val="left"/>
            </w:pPr>
            <w:r>
              <w:t xml:space="preserve">Use Phase</w:t>
            </w:r>
          </w:p>
        </w:tc>
        <w:tc>
          <w:tcPr/>
          <w:p>
            <w:pPr>
              <w:pStyle w:val="Compact"/>
              <w:jc w:val="left"/>
            </w:pPr>
            <w:r>
              <w:t xml:space="preserve">15.00</w:t>
            </w:r>
          </w:p>
        </w:tc>
        <w:tc>
          <w:tcPr/>
          <w:p>
            <w:pPr>
              <w:pStyle w:val="Compact"/>
              <w:jc w:val="left"/>
            </w:pPr>
            <w:r>
              <w:t xml:space="preserve">69.35%</w:t>
            </w:r>
          </w:p>
        </w:tc>
      </w:tr>
      <w:tr>
        <w:tc>
          <w:tcPr/>
          <w:p>
            <w:pPr>
              <w:pStyle w:val="Compact"/>
              <w:jc w:val="left"/>
            </w:pPr>
            <w:r>
              <w:t xml:space="preserve">End-of-Life</w:t>
            </w:r>
          </w:p>
        </w:tc>
        <w:tc>
          <w:tcPr/>
          <w:p>
            <w:pPr>
              <w:pStyle w:val="Compact"/>
              <w:jc w:val="left"/>
            </w:pPr>
            <w:r>
              <w:t xml:space="preserve">-6.97</w:t>
            </w:r>
          </w:p>
        </w:tc>
        <w:tc>
          <w:tcPr/>
          <w:p>
            <w:pPr>
              <w:pStyle w:val="Compact"/>
              <w:jc w:val="left"/>
            </w:pPr>
            <w:r>
              <w:t xml:space="preserve">-32.22%</w:t>
            </w:r>
          </w:p>
        </w:tc>
      </w:tr>
      <w:tr>
        <w:tc>
          <w:tcPr/>
          <w:p>
            <w:pPr>
              <w:pStyle w:val="Compact"/>
              <w:jc w:val="right"/>
            </w:pPr>
            <w:r>
              <w:rPr>
                <w:bCs/>
                <w:b/>
              </w:rPr>
              <w:t xml:space="preserve">TOTAL PRODUCT CARBON FOOTPRINT (PCF):</w:t>
            </w:r>
          </w:p>
        </w:tc>
        <w:tc>
          <w:tcPr/>
          <w:p>
            <w:pPr>
              <w:pStyle w:val="Compact"/>
              <w:jc w:val="left"/>
            </w:pPr>
            <w:r>
              <w:rPr>
                <w:bCs/>
                <w:b/>
              </w:rPr>
              <w:t xml:space="preserve">21.63</w:t>
            </w:r>
          </w:p>
        </w:tc>
        <w:tc>
          <w:tcPr/>
          <w:p>
            <w:pPr>
              <w:pStyle w:val="Compact"/>
              <w:jc w:val="left"/>
            </w:pPr>
            <w:r>
              <w:rPr>
                <w:bCs/>
                <w:b/>
              </w:rPr>
              <w:t xml:space="preserve">100.00%</w:t>
            </w:r>
          </w:p>
        </w:tc>
      </w:tr>
    </w:tbl>
    <w:p>
      <w:pPr>
        <w:pStyle w:val="BodyText"/>
      </w:pPr>
      <w:r>
        <w:rPr>
          <w:iCs/>
          <w:i/>
        </w:rPr>
        <w:t xml:space="preserve">Note: Percentages are calculated based on the absolute values of emissions, then net effect is shown for End-of-Life.</w:t>
      </w:r>
    </w:p>
    <w:bookmarkEnd w:id="36"/>
    <w:bookmarkStart w:id="37" w:name="emissions-by-scope-ghg-protocol"/>
    <w:p>
      <w:pPr>
        <w:pStyle w:val="Heading3"/>
      </w:pPr>
      <w:r>
        <w:t xml:space="preserve">2.2. Emissions by Scope (GHG Protocol)</w:t>
      </w:r>
    </w:p>
    <w:p>
      <w:pPr>
        <w:pStyle w:val="FirstParagraph"/>
      </w:pPr>
      <w:r>
        <w:t xml:space="preserve">Emissions are categorized according to the GHG Protocol\'s Scope definitions: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the generation of purchased energy.</w:t>
            </w:r>
          </w:p>
        </w:tc>
        <w:tc>
          <w:tcPr/>
          <w:p>
            <w:pPr>
              <w:pStyle w:val="Compact"/>
              <w:jc w:val="left"/>
            </w:pPr>
            <w:r>
              <w:t xml:space="preserve">8.75</w:t>
            </w:r>
          </w:p>
        </w:tc>
        <w:tc>
          <w:tcPr/>
          <w:p>
            <w:pPr>
              <w:pStyle w:val="Compact"/>
              <w:jc w:val="left"/>
            </w:pPr>
            <w:r>
              <w:t xml:space="preserve">40.45%</w:t>
            </w:r>
          </w:p>
        </w:tc>
      </w:tr>
      <w:tr>
        <w:tc>
          <w:tcPr/>
          <w:p>
            <w:pPr>
              <w:pStyle w:val="Compact"/>
              <w:jc w:val="left"/>
            </w:pPr>
            <w:r>
              <w:t xml:space="preserve">Scope 3</w:t>
            </w:r>
          </w:p>
        </w:tc>
        <w:tc>
          <w:tcPr/>
          <w:p>
            <w:pPr>
              <w:pStyle w:val="Compact"/>
              <w:jc w:val="left"/>
            </w:pPr>
            <w:r>
              <w:t xml:space="preserve">All other indirect emissions that occur in the value chain of the reporting company.</w:t>
            </w:r>
          </w:p>
        </w:tc>
        <w:tc>
          <w:tcPr/>
          <w:p>
            <w:pPr>
              <w:pStyle w:val="Compact"/>
              <w:jc w:val="left"/>
            </w:pPr>
            <w:r>
              <w:t xml:space="preserve">12.88</w:t>
            </w:r>
          </w:p>
        </w:tc>
        <w:tc>
          <w:tcPr/>
          <w:p>
            <w:pPr>
              <w:pStyle w:val="Compact"/>
              <w:jc w:val="left"/>
            </w:pPr>
            <w:r>
              <w:t xml:space="preserve">59.55%</w:t>
            </w:r>
          </w:p>
        </w:tc>
      </w:tr>
      <w:tr>
        <w:tc>
          <w:tcPr>
            <w:gridSpan w:val="2"/>
          </w:tcPr>
          <w:p>
            <w:pPr>
              <w:pStyle w:val="Compact"/>
              <w:jc w:val="right"/>
            </w:pPr>
            <w:r>
              <w:rPr>
                <w:bCs/>
                <w:b/>
              </w:rPr>
              <w:t xml:space="preserve">Total PCF:</w:t>
            </w:r>
          </w:p>
        </w:tc>
        <w:tc>
          <w:tcPr/>
          <w:p>
            <w:pPr>
              <w:pStyle w:val="Compact"/>
              <w:jc w:val="left"/>
            </w:pPr>
            <w:r>
              <w:rPr>
                <w:bCs/>
                <w:b/>
              </w:rPr>
              <w:t xml:space="preserve">21.63</w:t>
            </w:r>
          </w:p>
        </w:tc>
        <w:tc>
          <w:tcPr/>
          <w:p>
            <w:pPr>
              <w:pStyle w:val="Compact"/>
              <w:jc w:val="left"/>
            </w:pPr>
            <w:r>
              <w:rPr>
                <w:bCs/>
                <w:b/>
              </w:rPr>
              <w:t xml:space="preserve">100.00%</w:t>
            </w:r>
          </w:p>
        </w:tc>
      </w:tr>
    </w:tbl>
    <w:p>
      <w:pPr>
        <w:pStyle w:val="BodyText"/>
      </w:pPr>
      <w:r>
        <w:rPr>
          <w:iCs/>
          <w:i/>
        </w:rPr>
        <w:t xml:space="preserve">Note: Scope 3 includes Materials, Transport, Use Phase, and End-of-Life. The negative EoL emissions are accounted for in Scope 3.</w:t>
      </w:r>
    </w:p>
    <w:bookmarkEnd w:id="37"/>
    <w:bookmarkStart w:id="38" w:name="life-cycle-stage-hotspots"/>
    <w:p>
      <w:pPr>
        <w:pStyle w:val="Heading3"/>
      </w:pPr>
      <w:r>
        <w:t xml:space="preserve">2.3. Life Cycle Stage Hotspots</w:t>
      </w:r>
    </w:p>
    <w:p>
      <w:pPr>
        <w:pStyle w:val="FirstParagraph"/>
      </w:pPr>
      <w:r>
        <w:t xml:space="preserve">The most significant emission contributions come from the following lifecycle stages:</w:t>
      </w:r>
    </w:p>
    <w:p>
      <w:pPr>
        <w:numPr>
          <w:ilvl w:val="0"/>
          <w:numId w:val="1006"/>
        </w:numPr>
        <w:pStyle w:val="Compact"/>
      </w:pPr>
      <w:r>
        <w:rPr>
          <w:bCs/>
          <w:b/>
        </w:rPr>
        <w:t xml:space="preserve">Use Phase (69.35%):</w:t>
      </w:r>
      <w:r>
        <w:t xml:space="preserve"> </w:t>
      </w:r>
      <w:r>
        <w:t xml:space="preserve">The energy consumption during the product\'s operational lifespan is the largest contributor to the overall PCF. This highlights the importance of energy efficiency for the end-user.</w:t>
      </w:r>
    </w:p>
    <w:p>
      <w:pPr>
        <w:numPr>
          <w:ilvl w:val="0"/>
          <w:numId w:val="1006"/>
        </w:numPr>
        <w:pStyle w:val="Compact"/>
      </w:pPr>
      <w:r>
        <w:rPr>
          <w:bCs/>
          <w:b/>
        </w:rPr>
        <w:t xml:space="preserve">Manufacturing (40.45%):</w:t>
      </w:r>
      <w:r>
        <w:t xml:space="preserve"> </w:t>
      </w:r>
      <w:r>
        <w:t xml:space="preserve">Purchased electricity for the production facility in China represents a substantial portion of emissions (Scope 2). The 50% renewable energy usage (`sifidfptxm`) significantly mitigates what would otherwise be higher emissions.</w:t>
      </w:r>
    </w:p>
    <w:p>
      <w:pPr>
        <w:numPr>
          <w:ilvl w:val="0"/>
          <w:numId w:val="1006"/>
        </w:numPr>
        <w:pStyle w:val="Compact"/>
      </w:pPr>
      <w:r>
        <w:rPr>
          <w:bCs/>
          <w:b/>
        </w:rPr>
        <w:t xml:space="preserve">Materials Acquisition &amp; Pre-processing (22.19%):</w:t>
      </w:r>
      <w:r>
        <w:t xml:space="preserve"> </w:t>
      </w:r>
      <w:r>
        <w:t xml:space="preserve">The raw materials specified in the illustrative \'zpmluhjv\' BOM contribute considerably, emphasizing the need for sustainable material sourcing.</w:t>
      </w:r>
    </w:p>
    <w:bookmarkEnd w:id="38"/>
    <w:bookmarkStart w:id="39" w:name="circular-economy-impact"/>
    <w:p>
      <w:pPr>
        <w:pStyle w:val="Heading3"/>
      </w:pPr>
      <w:r>
        <w:t xml:space="preserve">2.4. Circular Economy Impact</w:t>
      </w:r>
    </w:p>
    <w:p>
      <w:pPr>
        <w:pStyle w:val="FirstParagraph"/>
      </w:pPr>
      <w:r>
        <w:t xml:space="preserve">The incorporation of End-of-Life (EoL) scenarios demonstrates ivwgxqoktj\'s commitment to circular economy principles:</w:t>
      </w:r>
    </w:p>
    <w:p>
      <w:pPr>
        <w:numPr>
          <w:ilvl w:val="0"/>
          <w:numId w:val="1007"/>
        </w:numPr>
        <w:pStyle w:val="Compact"/>
      </w:pPr>
      <w:r>
        <w:rPr>
          <w:bCs/>
          <w:b/>
        </w:rPr>
        <w:t xml:space="preserve">Recyclability Percentage (`znruiggrpx` - 70%):</w:t>
      </w:r>
      <w:r>
        <w:t xml:space="preserve"> </w:t>
      </w:r>
      <w:r>
        <w:t xml:space="preserve">A high recyclability rate leads to significant avoided emissions by reducing the demand for virgin materials. The calculated net negative emissions for the End-of-Life phase (-6.97 kg CO2e) reflect the substantial benefits of diverting waste from landfills and promoting material reuse.</w:t>
      </w:r>
    </w:p>
    <w:p>
      <w:pPr>
        <w:numPr>
          <w:ilvl w:val="0"/>
          <w:numId w:val="1007"/>
        </w:numPr>
        <w:pStyle w:val="Compact"/>
      </w:pPr>
      <w:r>
        <w:rPr>
          <w:bCs/>
          <w:b/>
        </w:rPr>
        <w:t xml:space="preserve">Circular/Take-back Programs (`jxwtlujnht` - Yes, regional take-back program active):</w:t>
      </w:r>
      <w:r>
        <w:t xml:space="preserve"> </w:t>
      </w:r>
      <w:r>
        <w:t xml:space="preserve">The presence of an active regional take-back program for \'rghvvrmrpf\' facilitates the collection and processing of products for recycling, directly supporting the high recyclability rate and contributing to a more circular material flow.</w:t>
      </w:r>
    </w:p>
    <w:p>
      <w:r>
        <w:pict>
          <v:rect style="width:0;height:1.5pt" o:hralign="center" o:hrstd="t" o:hr="t"/>
        </w:pict>
      </w:r>
    </w:p>
    <w:bookmarkEnd w:id="39"/>
    <w:bookmarkEnd w:id="40"/>
    <w:bookmarkStart w:id="41" w:name="conclusion-and-recommendations"/>
    <w:p>
      <w:pPr>
        <w:pStyle w:val="Heading2"/>
      </w:pPr>
      <w:r>
        <w:t xml:space="preserve">3. Conclusion and Recommendations</w:t>
      </w:r>
    </w:p>
    <w:p>
      <w:pPr>
        <w:pStyle w:val="FirstParagraph"/>
      </w:pPr>
      <w:r>
        <w:t xml:space="preserve">The Product Carbon Footprint analysis for rghvvrmrpf reveals critical insights into its environmental performance. The Use Phase and Manufacturing are identified as primary hotspots, offering significant opportunities for emission reduction. The strong emphasis on recyclability and circular programs at End-of-Life demonstrates a commendable effort towards sustainability.</w:t>
      </w:r>
    </w:p>
    <w:p>
      <w:pPr>
        <w:pStyle w:val="BodyText"/>
      </w:pPr>
      <w:r>
        <w:t xml:space="preserve">To further reduce the PCF, ivwgxqoktj should focus on:</w:t>
      </w:r>
    </w:p>
    <w:p>
      <w:pPr>
        <w:numPr>
          <w:ilvl w:val="0"/>
          <w:numId w:val="1008"/>
        </w:numPr>
        <w:pStyle w:val="Compact"/>
      </w:pPr>
      <w:r>
        <w:rPr>
          <w:bCs/>
          <w:b/>
        </w:rPr>
        <w:t xml:space="preserve">Enhancing Use Phase Efficiency:</w:t>
      </w:r>
      <w:r>
        <w:t xml:space="preserve"> </w:t>
      </w:r>
      <w:r>
        <w:t xml:space="preserve">Explore designs that reduce energy consumption during the product\'s lifespan (e.g., more efficient components, lower power modes). Engage with customers on responsible use and energy-saving practices.</w:t>
      </w:r>
    </w:p>
    <w:p>
      <w:pPr>
        <w:numPr>
          <w:ilvl w:val="0"/>
          <w:numId w:val="1008"/>
        </w:numPr>
        <w:pStyle w:val="Compact"/>
      </w:pPr>
      <w:r>
        <w:rPr>
          <w:bCs/>
          <w:b/>
        </w:rPr>
        <w:t xml:space="preserve">Increasing Renewable Energy Procurement:</w:t>
      </w:r>
      <w:r>
        <w:t xml:space="preserve"> </w:t>
      </w:r>
      <w:r>
        <w:t xml:space="preserve">While 50% renewable energy is a good start, further increasing the share of renewable energy at manufacturing facilities in China would directly reduce Scope 2 emissions.</w:t>
      </w:r>
    </w:p>
    <w:p>
      <w:pPr>
        <w:numPr>
          <w:ilvl w:val="0"/>
          <w:numId w:val="1008"/>
        </w:numPr>
        <w:pStyle w:val="Compact"/>
      </w:pPr>
      <w:r>
        <w:rPr>
          <w:bCs/>
          <w:b/>
        </w:rPr>
        <w:t xml:space="preserve">Optimizing Material Choices:</w:t>
      </w:r>
      <w:r>
        <w:t xml:space="preserve"> </w:t>
      </w:r>
      <w:r>
        <w:t xml:space="preserve">Investigate lower-carbon alternative materials and explore design-for-disassembly to improve recyclability and material recovery rates beyond the current 70%.</w:t>
      </w:r>
    </w:p>
    <w:p>
      <w:pPr>
        <w:numPr>
          <w:ilvl w:val="0"/>
          <w:numId w:val="1008"/>
        </w:numPr>
        <w:pStyle w:val="Compact"/>
      </w:pPr>
      <w:r>
        <w:rPr>
          <w:bCs/>
          <w:b/>
        </w:rPr>
        <w:t xml:space="preserve">Supply Chain Engagement:</w:t>
      </w:r>
      <w:r>
        <w:t xml:space="preserve"> </w:t>
      </w:r>
      <w:r>
        <w:t xml:space="preserve">Work closely with suppliers to identify opportunities for emission reductions in raw material acquisition and pre-processing, particularly for high-impact materials.</w:t>
      </w:r>
    </w:p>
    <w:p>
      <w:pPr>
        <w:numPr>
          <w:ilvl w:val="0"/>
          <w:numId w:val="1008"/>
        </w:numPr>
        <w:pStyle w:val="Compact"/>
      </w:pPr>
      <w:r>
        <w:rPr>
          <w:bCs/>
          <w:b/>
        </w:rPr>
        <w:t xml:space="preserve">Data Accuracy Improvement:</w:t>
      </w:r>
      <w:r>
        <w:t xml:space="preserve"> </w:t>
      </w:r>
      <w:r>
        <w:t xml:space="preserve">Continuously seek primary data for all lifecycle stages, especially for the Bill of Materials (zpmluhjv) and transport, to further enhance the accuracy and reliability of future PCF analyses.</w:t>
      </w:r>
    </w:p>
    <w:p>
      <w:r>
        <w:pict>
          <v:rect style="width:0;height:1.5pt" o:hralign="center" o:hrstd="t" o:hr="t"/>
        </w:pict>
      </w:r>
    </w:p>
    <w:p>
      <w:pPr>
        <w:pStyle w:val="FirstParagraph"/>
      </w:pPr>
      <w:r>
        <w:t xml:space="preserve">Confidential - Internal Use Only</w:t>
      </w:r>
    </w:p>
    <w:p>
      <w:pPr>
        <w:pStyle w:val="BodyText"/>
      </w:pPr>
      <w:r>
        <w:t xml:space="preserve">ztqghdefmu, Senior Sustainability Consultant</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rghvvrmrpf</dc:title>
  <dc:creator/>
  <dc:description>Detailed Product Carbon Footprint (PCF) analysis for rghvvrmrpf by ztqghdefmu, a Senior Sustainability Consultant, adhering to GHG Protocol and 2026 LSR update.</dc:description>
  <dc:language>en</dc:language>
  <cp:keywords/>
  <dcterms:created xsi:type="dcterms:W3CDTF">2026-05-30T23:52:42Z</dcterms:created>
  <dcterms:modified xsi:type="dcterms:W3CDTF">2026-05-30T23:52:42Z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