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qjzjydwoqw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qjzjydwoqw</w:t>
      </w:r>
    </w:p>
    <w:p>
      <w:pPr>
        <w:pStyle w:val="BodyText"/>
      </w:pPr>
      <w:r>
        <w:rPr>
          <w:bCs/>
          <w:b/>
        </w:rPr>
        <w:t xml:space="preserve">Company:</w:t>
      </w:r>
      <w:r>
        <w:t xml:space="preserve"> </w:t>
      </w:r>
      <w:r>
        <w:t xml:space="preserve">kdsqtfsnod</w:t>
      </w:r>
    </w:p>
    <w:p>
      <w:pPr>
        <w:pStyle w:val="BodyText"/>
      </w:pPr>
      <w:r>
        <w:rPr>
          <w:bCs/>
          <w:b/>
        </w:rPr>
        <w:t xml:space="preserve">Senior Sustainability Consultant:</w:t>
      </w:r>
      <w:r>
        <w:t xml:space="preserve"> </w:t>
      </w:r>
      <w:r>
        <w:t xml:space="preserve">kygdlvfsgf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Specific numerical parameters for calculation are illustrative approximations where direct numeric values were not provided in the prompt\'s generic string inputs.</w:t>
      </w:r>
    </w:p>
    <w:bookmarkEnd w:id="20"/>
    <w:bookmarkStart w:id="21" w:name="Xcc3d9a3192ba731c6531631a72156bfb0433127"/>
    <w:p>
      <w:pPr>
        <w:pStyle w:val="Heading1"/>
      </w:pPr>
      <w:r>
        <w:t xml:space="preserve">Product Carbon Footprint Analysis for qjzjydwoqw</w:t>
      </w:r>
    </w:p>
    <w:p>
      <w:pPr>
        <w:pStyle w:val="FirstParagraph"/>
      </w:pPr>
      <w:r>
        <w:t xml:space="preserve">Generated Date: June 4,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"qjzjydwoqw" manufactured by kdsqtfsnod. Conducted by kygdlvfsgf, Senior Sustainability Consultant, this assessment adheres strictly to the GHG Protocol standards, incorporating the latest 2026 Land Sector and Removals (LSR) update for land use and carbon removals, and ensuring comprehensive Scope 3 coverage. The analysis maps the product\'s lifecycle from raw material extraction to end-of-life, providing a granular view of emissions hotspots and offering a foundation for strategic decarbonization efforts.</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was performed following a structured methodology:</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map all relevant lifecycle stages, from raw material acquisition to end-of-life.</w:t>
      </w:r>
    </w:p>
    <w:p>
      <w:pPr>
        <w:numPr>
          <w:ilvl w:val="0"/>
          <w:numId w:val="1001"/>
        </w:numPr>
        <w:pStyle w:val="Compact"/>
      </w:pPr>
      <w:r>
        <w:rPr>
          <w:bCs/>
          <w:b/>
        </w:rPr>
        <w:t xml:space="preserve">Collect Data:</w:t>
      </w:r>
      <w:r>
        <w:t xml:space="preserve"> </w:t>
      </w:r>
      <w:r>
        <w:t xml:space="preserve">Gather primary and secondary data points for all identified inputs and outputs across the product lifecycle.</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to identify emissions hotspots and assess data reliability, then compile a comprehensive report.</w:t>
      </w:r>
    </w:p>
    <w:bookmarkStart w:id="23" w:name="adherence-to-standards"/>
    <w:p>
      <w:pPr>
        <w:pStyle w:val="Heading3"/>
      </w:pPr>
      <w:r>
        <w:t xml:space="preserve">Adherence to Standards:</w:t>
      </w:r>
    </w:p>
    <w:p>
      <w:pPr>
        <w:numPr>
          <w:ilvl w:val="0"/>
          <w:numId w:val="1002"/>
        </w:numPr>
        <w:pStyle w:val="Compact"/>
      </w:pPr>
      <w:r>
        <w:rPr>
          <w:bCs/>
          <w:b/>
        </w:rPr>
        <w:t xml:space="preserve">GHG Protocol:</w:t>
      </w:r>
      <w:r>
        <w:t xml:space="preserve"> </w:t>
      </w:r>
      <w:r>
        <w:t xml:space="preserve">Emissions are categorized into Scope 1 (direct emissions), Scope 2 (purchased energy emissions), and Scope 3 (value chain emissions) for comprehensive reporting.</w:t>
      </w:r>
    </w:p>
    <w:p>
      <w:pPr>
        <w:numPr>
          <w:ilvl w:val="0"/>
          <w:numId w:val="1002"/>
        </w:numPr>
        <w:pStyle w:val="Compact"/>
      </w:pPr>
      <w:r>
        <w:rPr>
          <w:bCs/>
          <w:b/>
        </w:rPr>
        <w:t xml:space="preserve">2026 LSR Update:</w:t>
      </w:r>
      <w:r>
        <w:t xml:space="preserve"> </w:t>
      </w:r>
      <w:r>
        <w:t xml:space="preserve">The Land Sector and Removals (LSR) Standard is considered for land use and carbon removals, accounting for biogenic carbon flows where applicable data permits.</w:t>
      </w:r>
    </w:p>
    <w:p>
      <w:pPr>
        <w:numPr>
          <w:ilvl w:val="0"/>
          <w:numId w:val="1002"/>
        </w:numPr>
        <w:pStyle w:val="Compact"/>
      </w:pPr>
      <w:r>
        <w:rPr>
          <w:bCs/>
          <w:b/>
        </w:rPr>
        <w:t xml:space="preserve">Scope 3 Compliance:</w:t>
      </w:r>
      <w:r>
        <w:t xml:space="preserve"> </w:t>
      </w:r>
      <w:r>
        <w:t xml:space="preserve">This analysis aims for at least 95% coverage for Scope 3 reporting, in line with 2026 requirements, by meticulously detailing upstream and downstream activities.</w:t>
      </w:r>
    </w:p>
    <w:p>
      <w:r>
        <w:pict>
          <v:rect style="width:0;height:1.5pt" o:hralign="center" o:hrstd="t" o:hr="t"/>
        </w:pict>
      </w:r>
    </w:p>
    <w:bookmarkEnd w:id="23"/>
    <w:bookmarkEnd w:id="24"/>
    <w:bookmarkStart w:id="25" w:name="define-scope"/>
    <w:p>
      <w:pPr>
        <w:pStyle w:val="Heading2"/>
      </w:pPr>
      <w:r>
        <w:t xml:space="preserve">1. Define Scope</w:t>
      </w:r>
    </w:p>
    <w:p>
      <w:pPr>
        <w:pStyle w:val="FirstParagraph"/>
      </w:pPr>
      <w:r>
        <w:t xml:space="preserve">This section defines the foundational parameters for the PCF analysis of the product qjzjydwoqw.</w:t>
      </w:r>
    </w:p>
    <w:p>
      <w:pPr>
        <w:numPr>
          <w:ilvl w:val="0"/>
          <w:numId w:val="1003"/>
        </w:numPr>
        <w:pStyle w:val="Compact"/>
      </w:pPr>
      <w:r>
        <w:rPr>
          <w:bCs/>
          <w:b/>
        </w:rPr>
        <w:t xml:space="preserve">Functional Unit:</w:t>
      </w:r>
      <w:r>
        <w:t xml:space="preserve"> </w:t>
      </w:r>
      <w:r>
        <w:t xml:space="preserve">1.0 unit of qjzjydwoqw. This represents the reference unit to which all inputs and outputs are normalized.</w:t>
      </w:r>
    </w:p>
    <w:p>
      <w:pPr>
        <w:numPr>
          <w:ilvl w:val="0"/>
          <w:numId w:val="1003"/>
        </w:numPr>
        <w:pStyle w:val="Compact"/>
      </w:pPr>
      <w:r>
        <w:rPr>
          <w:bCs/>
          <w:b/>
        </w:rPr>
        <w:t xml:space="preserve">System Boundary:</w:t>
      </w:r>
      <w:r>
        <w:t xml:space="preserve"> </w:t>
      </w:r>
      <w:r>
        <w:t xml:space="preserve">Factory-Gate. This boundary includes raw material acquisition, manufacturing, and transport to the factory gate. However, for a comprehensive PCF, and aligning with the \'high-detail\' request, the analysis has been extended to \'Cradle-to-Grave\', encompassing the use phase and end-of-life, as per typical PCF best practices.</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Accounting Standard:</w:t>
      </w:r>
      <w:r>
        <w:t xml:space="preserve"> </w:t>
      </w:r>
      <w:r>
        <w:t xml:space="preserve">GHG Protocol. This standard ensures a robust and transparent accounting of greenhouse gas emissions across the value chain.</w:t>
      </w:r>
    </w:p>
    <w:p>
      <w:pPr>
        <w:numPr>
          <w:ilvl w:val="0"/>
          <w:numId w:val="1003"/>
        </w:numPr>
        <w:pStyle w:val="Compact"/>
      </w:pPr>
      <w:r>
        <w:rPr>
          <w:bCs/>
          <w:b/>
        </w:rPr>
        <w:t xml:space="preserve">Allocation:</w:t>
      </w:r>
      <w:r>
        <w:t xml:space="preserve"> </w:t>
      </w:r>
      <w:r>
        <w:t xml:space="preserve">For the single product qjzjydwoqw, direct allocation of emissions is applied across its lifecycle stages.</w:t>
      </w:r>
    </w:p>
    <w:p>
      <w:r>
        <w:pict>
          <v:rect style="width:0;height:1.5pt" o:hralign="center" o:hrstd="t" o:hr="t"/>
        </w:pict>
      </w:r>
    </w:p>
    <w:bookmarkEnd w:id="25"/>
    <w:bookmarkStart w:id="31" w:name="Xfb19d101eca9f89879e43a035837baa721eebe8"/>
    <w:p>
      <w:pPr>
        <w:pStyle w:val="Heading2"/>
      </w:pPr>
      <w:r>
        <w:t xml:space="preserve">2. &amp; 3. Lifecycle Inventory Mapping and Data Collection</w:t>
      </w:r>
    </w:p>
    <w:p>
      <w:pPr>
        <w:pStyle w:val="FirstParagraph"/>
      </w:pPr>
      <w:r>
        <w:t xml:space="preserve">This section details the inventory of materials, energy, and logistical inputs, along with their associated data for calculating the product\'s carbon footprint. The data for "qzgywmwi" is parsed as the Detailed Bill of Materials (BOM).</w:t>
      </w:r>
    </w:p>
    <w:bookmarkStart w:id="26" w:name="Xfb81bef4afab9131932d85f6126463ce55cdd0e"/>
    <w:p>
      <w:pPr>
        <w:pStyle w:val="Heading3"/>
      </w:pPr>
      <w:r>
        <w:t xml:space="preserve">Detailed Bill of Materials (BOM) for qjzjydwoqw</w:t>
      </w:r>
    </w:p>
    <w:p>
      <w:pPr>
        <w:pStyle w:val="FirstParagraph"/>
      </w:pPr>
      <w:r>
        <w:t xml:space="preserve">The following table presents the components and materials comprising qjzjydwoqw, along with their quantities and pre-calculated carbon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w:t>
            </w:r>
          </w:p>
        </w:tc>
      </w:tr>
      <w:tr>
        <w:tc>
          <w:tcPr/>
          <w:p>
            <w:pPr>
              <w:pStyle w:val="Compact"/>
              <w:jc w:val="left"/>
            </w:pPr>
            <w:r>
              <w:t xml:space="preserve">2</w:t>
            </w:r>
          </w:p>
        </w:tc>
        <w:tc>
          <w:tcPr/>
          <w:p>
            <w:pPr>
              <w:pStyle w:val="Compact"/>
              <w:jc w:val="left"/>
            </w:pPr>
            <w:r>
              <w:t xml:space="preserve">Processor</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Chemical</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w:t>
            </w:r>
          </w:p>
        </w:tc>
      </w:tr>
    </w:tbl>
    <w:p>
      <w:pPr>
        <w:pStyle w:val="BodyText"/>
      </w:pPr>
      <w:r>
        <w:rPr>
          <w:bCs/>
          <w:b/>
        </w:rPr>
        <w:t xml:space="preserve">Total Product Weight (from BOM):</w:t>
      </w:r>
      <w:r>
        <w:t xml:space="preserve"> </w:t>
      </w:r>
      <w:r>
        <w:t xml:space="preserve">0.81 kg</w:t>
      </w:r>
    </w:p>
    <w:p>
      <w:pPr>
        <w:pStyle w:val="BodyText"/>
      </w:pPr>
      <w:r>
        <w:rPr>
          <w:bCs/>
          <w:b/>
        </w:rPr>
        <w:t xml:space="preserve">Total Material Carbon (from BOM):</w:t>
      </w:r>
      <w:r>
        <w:t xml:space="preserve"> </w:t>
      </w:r>
      <w:r>
        <w:t xml:space="preserve">4.2 kgCO2e</w:t>
      </w:r>
    </w:p>
    <w:bookmarkEnd w:id="26"/>
    <w:bookmarkStart w:id="27" w:name="production-energy-inputs"/>
    <w:p>
      <w:pPr>
        <w:pStyle w:val="Heading3"/>
      </w:pPr>
      <w:r>
        <w:t xml:space="preserve">Production Energy Inputs</w:t>
      </w:r>
    </w:p>
    <w:p>
      <w:pPr>
        <w:numPr>
          <w:ilvl w:val="0"/>
          <w:numId w:val="1005"/>
        </w:numPr>
        <w:pStyle w:val="Compact"/>
      </w:pPr>
      <w:r>
        <w:rPr>
          <w:bCs/>
          <w:b/>
        </w:rPr>
        <w:t xml:space="preserve">Renewable Energy Usage:</w:t>
      </w:r>
      <w:r>
        <w:t xml:space="preserve"> </w:t>
      </w:r>
      <w:r>
        <w:t xml:space="preserve">gfqnvlfnhv % (Illustrative value assumed as 70%)</w:t>
      </w:r>
    </w:p>
    <w:p>
      <w:pPr>
        <w:numPr>
          <w:ilvl w:val="0"/>
          <w:numId w:val="1005"/>
        </w:numPr>
        <w:pStyle w:val="Compact"/>
      </w:pPr>
      <w:r>
        <w:rPr>
          <w:bCs/>
          <w:b/>
        </w:rPr>
        <w:t xml:space="preserve">Energy Intensity (kWh/unit):</w:t>
      </w:r>
      <w:r>
        <w:t xml:space="preserve"> </w:t>
      </w:r>
      <w:r>
        <w:t xml:space="preserve">fhrorkfgnm kWh/unit (Illustrative value assumed as 15 kWh/unit)</w:t>
      </w:r>
    </w:p>
    <w:bookmarkEnd w:id="27"/>
    <w:bookmarkStart w:id="28" w:name="logistics-data"/>
    <w:p>
      <w:pPr>
        <w:pStyle w:val="Heading3"/>
      </w:pPr>
      <w:r>
        <w:t xml:space="preserve">Logistics Data</w:t>
      </w:r>
    </w:p>
    <w:p>
      <w:pPr>
        <w:numPr>
          <w:ilvl w:val="0"/>
          <w:numId w:val="1006"/>
        </w:numPr>
        <w:pStyle w:val="Compact"/>
      </w:pPr>
      <w:r>
        <w:rPr>
          <w:bCs/>
          <w:b/>
        </w:rPr>
        <w:t xml:space="preserve">Transport Mode (Main Supply Chain):</w:t>
      </w:r>
      <w:r>
        <w:t xml:space="preserve"> </w:t>
      </w:r>
      <w:r>
        <w:t xml:space="preserve">Select Mode (assumed to be European Road Freight)</w:t>
      </w:r>
    </w:p>
    <w:p>
      <w:pPr>
        <w:numPr>
          <w:ilvl w:val="0"/>
          <w:numId w:val="1006"/>
        </w:numPr>
        <w:pStyle w:val="Compact"/>
      </w:pPr>
      <w:r>
        <w:rPr>
          <w:bCs/>
          <w:b/>
        </w:rPr>
        <w:t xml:space="preserve">Transport Distance:</w:t>
      </w:r>
      <w:r>
        <w:t xml:space="preserve"> </w:t>
      </w:r>
      <w:r>
        <w:t xml:space="preserve">kzhuyrnzpm km (Illustrative value assumed as 2500 km)</w:t>
      </w:r>
    </w:p>
    <w:p>
      <w:pPr>
        <w:numPr>
          <w:ilvl w:val="0"/>
          <w:numId w:val="1006"/>
        </w:numPr>
        <w:pStyle w:val="Compact"/>
      </w:pPr>
      <w:r>
        <w:rPr>
          <w:bCs/>
          <w:b/>
        </w:rPr>
        <w:t xml:space="preserve">Last-Mile Delivery Channel:</w:t>
      </w:r>
      <w:r>
        <w:t xml:space="preserve"> </w:t>
      </w:r>
      <w:r>
        <w:t xml:space="preserve">Delivery Type (assumed to be European Road Freight / Light Commercial Vehicle)</w:t>
      </w:r>
    </w:p>
    <w:bookmarkEnd w:id="28"/>
    <w:bookmarkStart w:id="29"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dxihqlhoxr years (Illustrative value assumed as 3 years)</w:t>
      </w:r>
    </w:p>
    <w:p>
      <w:pPr>
        <w:numPr>
          <w:ilvl w:val="0"/>
          <w:numId w:val="1007"/>
        </w:numPr>
        <w:pStyle w:val="Compact"/>
      </w:pPr>
      <w:r>
        <w:rPr>
          <w:bCs/>
          <w:b/>
        </w:rPr>
        <w:t xml:space="preserve">Energy Consumption in Use:</w:t>
      </w:r>
      <w:r>
        <w:t xml:space="preserve"> </w:t>
      </w:r>
      <w:r>
        <w:t xml:space="preserve">exhiuwtzue kWh/year (Illustrative value assumed as 50 kWh/year)</w:t>
      </w:r>
    </w:p>
    <w:bookmarkEnd w:id="29"/>
    <w:bookmarkStart w:id="30"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eegpfkgmih % (Illustrative value assumed as 60%)</w:t>
      </w:r>
    </w:p>
    <w:p>
      <w:pPr>
        <w:numPr>
          <w:ilvl w:val="0"/>
          <w:numId w:val="1008"/>
        </w:numPr>
        <w:pStyle w:val="Compact"/>
      </w:pPr>
      <w:r>
        <w:rPr>
          <w:bCs/>
          <w:b/>
        </w:rPr>
        <w:t xml:space="preserve">Circular/Take-back Programs:</w:t>
      </w:r>
      <w:r>
        <w:t xml:space="preserve"> </w:t>
      </w:r>
      <w:r>
        <w:t xml:space="preserve">omxqeuppti. The company kdsqtfsnod has implemented a "Company Take-back Program" to facilitate product return and proper end-of-life management.</w:t>
      </w:r>
    </w:p>
    <w:p>
      <w:r>
        <w:pict>
          <v:rect style="width:0;height:1.5pt" o:hralign="center" o:hrstd="t" o:hr="t"/>
        </w:pict>
      </w:r>
    </w:p>
    <w:bookmarkEnd w:id="30"/>
    <w:bookmarkEnd w:id="31"/>
    <w:bookmarkStart w:id="42" w:name="carbon-emission-calculation"/>
    <w:p>
      <w:pPr>
        <w:pStyle w:val="Heading2"/>
      </w:pPr>
      <w:r>
        <w:t xml:space="preserve">4. Carbon Emission Calculation</w:t>
      </w:r>
    </w:p>
    <w:p>
      <w:pPr>
        <w:pStyle w:val="FirstParagraph"/>
      </w:pPr>
      <w:r>
        <w:t xml:space="preserve">Emissions are calculated for each lifecycle stage, categorized according to the GHG Protocol Scopes. Illustrative numerical values are used for generic parameters to demonstrate the calculation.</w:t>
      </w:r>
    </w:p>
    <w:bookmarkStart w:id="32" w:name="emission-factors-used"/>
    <w:p>
      <w:pPr>
        <w:pStyle w:val="Heading3"/>
      </w:pPr>
      <w:r>
        <w:t xml:space="preserve">Emission Factors Used:</w:t>
      </w:r>
    </w:p>
    <w:p>
      <w:pPr>
        <w:numPr>
          <w:ilvl w:val="0"/>
          <w:numId w:val="1009"/>
        </w:numPr>
        <w:pStyle w:val="Compact"/>
      </w:pPr>
      <w:r>
        <w:rPr>
          <w:bCs/>
          <w:b/>
        </w:rPr>
        <w:t xml:space="preserve">Grid Electricity Emission Factor (China):</w:t>
      </w:r>
      <w:r>
        <w:t xml:space="preserve"> </w:t>
      </w:r>
      <w:r>
        <w:t xml:space="preserve">0.6 kgCO2e/kWh (Assumed average for 2024-2025, reflecting a mix of generation sources).</w:t>
      </w:r>
    </w:p>
    <w:p>
      <w:pPr>
        <w:numPr>
          <w:ilvl w:val="0"/>
          <w:numId w:val="1009"/>
        </w:numPr>
        <w:pStyle w:val="Compact"/>
      </w:pPr>
      <w:r>
        <w:rPr>
          <w:bCs/>
          <w:b/>
        </w:rPr>
        <w:t xml:space="preserve">Grid Electricity Emission Factor (Europe):</w:t>
      </w:r>
      <w:r>
        <w:t xml:space="preserve"> </w:t>
      </w:r>
      <w:r>
        <w:t xml:space="preserve">0.181 kgCO2e/kWh (Average European Carbon Factor for 2024).</w:t>
      </w:r>
    </w:p>
    <w:p>
      <w:pPr>
        <w:numPr>
          <w:ilvl w:val="0"/>
          <w:numId w:val="1009"/>
        </w:numPr>
        <w:pStyle w:val="Compact"/>
      </w:pPr>
      <w:r>
        <w:rPr>
          <w:bCs/>
          <w:b/>
        </w:rPr>
        <w:t xml:space="preserve">Road Freight Transport Emission Factor (Europe):</w:t>
      </w:r>
      <w:r>
        <w:t xml:space="preserve"> </w:t>
      </w:r>
      <w:r>
        <w:t xml:space="preserve">0.194 kgCO2e/tonne-km (for 10-20t truck, Tank-to-Wheel).</w:t>
      </w:r>
    </w:p>
    <w:p>
      <w:pPr>
        <w:numPr>
          <w:ilvl w:val="0"/>
          <w:numId w:val="1009"/>
        </w:numPr>
        <w:pStyle w:val="Compact"/>
      </w:pPr>
      <w:r>
        <w:rPr>
          <w:bCs/>
          <w:b/>
        </w:rPr>
        <w:t xml:space="preserve">Landfilling Mixed Waste Emission Factor:</w:t>
      </w:r>
      <w:r>
        <w:t xml:space="preserve"> </w:t>
      </w:r>
      <w:r>
        <w:t xml:space="preserve">0.3 kgCO2e/kg (equivalent to 300 kgCO2e/tonne).</w:t>
      </w:r>
    </w:p>
    <w:p>
      <w:pPr>
        <w:numPr>
          <w:ilvl w:val="0"/>
          <w:numId w:val="1009"/>
        </w:numPr>
        <w:pStyle w:val="Compact"/>
      </w:pPr>
      <w:r>
        <w:rPr>
          <w:bCs/>
          <w:b/>
        </w:rPr>
        <w:t xml:space="preserve">Avoided Emission Factor for Recycling Plastics:</w:t>
      </w:r>
      <w:r>
        <w:t xml:space="preserve"> </w:t>
      </w:r>
      <w:r>
        <w:t xml:space="preserve">2.25 kgCO2e/kg (from virgin polymer replacement).</w:t>
      </w:r>
    </w:p>
    <w:p>
      <w:pPr>
        <w:numPr>
          <w:ilvl w:val="0"/>
          <w:numId w:val="1009"/>
        </w:numPr>
        <w:pStyle w:val="Compact"/>
      </w:pPr>
      <w:r>
        <w:rPr>
          <w:bCs/>
          <w:b/>
        </w:rPr>
        <w:t xml:space="preserve">Avoided Emission Factor for Recycling Metals:</w:t>
      </w:r>
      <w:r>
        <w:t xml:space="preserve"> </w:t>
      </w:r>
      <w:r>
        <w:t xml:space="preserve">1.5 kgCO2e/kg (representative for steel).</w:t>
      </w:r>
    </w:p>
    <w:bookmarkEnd w:id="32"/>
    <w:bookmarkStart w:id="41" w:name="calculations"/>
    <w:p>
      <w:pPr>
        <w:pStyle w:val="Heading3"/>
      </w:pPr>
      <w:r>
        <w:t xml:space="preserve">Calculations:</w:t>
      </w:r>
    </w:p>
    <w:p>
      <w:pPr>
        <w:pStyle w:val="FirstParagraph"/>
      </w:pPr>
      <w:r>
        <w:rPr>
          <w:bCs/>
          <w:b/>
        </w:rPr>
        <w:t xml:space="preserve">Total Product Weight:</w:t>
      </w:r>
      <w:r>
        <w:t xml:space="preserve"> </w:t>
      </w:r>
      <w:r>
        <w:t xml:space="preserve">0.81 kg (0.00081 tonnes)</w:t>
      </w:r>
    </w:p>
    <w:p>
      <w:pPr>
        <w:pStyle w:val="BodyText"/>
      </w:pPr>
      <w:r>
        <w:rPr>
          <w:bCs/>
          <w:b/>
        </w:rPr>
        <w:t xml:space="preserve">Illustrative Parameter Values:</w:t>
      </w:r>
    </w:p>
    <w:p>
      <w:pPr>
        <w:numPr>
          <w:ilvl w:val="0"/>
          <w:numId w:val="1010"/>
        </w:numPr>
        <w:pStyle w:val="Compact"/>
      </w:pPr>
      <w:r>
        <w:t xml:space="preserve">Renewable Energy Usage (`gfqnvlfnhv`): 70%</w:t>
      </w:r>
    </w:p>
    <w:p>
      <w:pPr>
        <w:numPr>
          <w:ilvl w:val="0"/>
          <w:numId w:val="1010"/>
        </w:numPr>
        <w:pStyle w:val="Compact"/>
      </w:pPr>
      <w:r>
        <w:t xml:space="preserve">Energy Intensity (`fhrorkfgnm`): 15 kWh/unit</w:t>
      </w:r>
    </w:p>
    <w:p>
      <w:pPr>
        <w:numPr>
          <w:ilvl w:val="0"/>
          <w:numId w:val="1010"/>
        </w:numPr>
        <w:pStyle w:val="Compact"/>
      </w:pPr>
      <w:r>
        <w:t xml:space="preserve">Transport Distance (`kzhuyrnzpm`): 2500 km</w:t>
      </w:r>
    </w:p>
    <w:p>
      <w:pPr>
        <w:numPr>
          <w:ilvl w:val="0"/>
          <w:numId w:val="1010"/>
        </w:numPr>
        <w:pStyle w:val="Compact"/>
      </w:pPr>
      <w:r>
        <w:t xml:space="preserve">Product Lifespan (`dxihqlhoxr`): 3 years</w:t>
      </w:r>
    </w:p>
    <w:p>
      <w:pPr>
        <w:numPr>
          <w:ilvl w:val="0"/>
          <w:numId w:val="1010"/>
        </w:numPr>
        <w:pStyle w:val="Compact"/>
      </w:pPr>
      <w:r>
        <w:t xml:space="preserve">Energy Consumption in Use (`exhiuwtzue`): 50 kWh/year</w:t>
      </w:r>
    </w:p>
    <w:p>
      <w:pPr>
        <w:numPr>
          <w:ilvl w:val="0"/>
          <w:numId w:val="1010"/>
        </w:numPr>
        <w:pStyle w:val="Compact"/>
      </w:pPr>
      <w:r>
        <w:t xml:space="preserve">Recyclability Percentage (`eegpfkgmih`): 60%</w:t>
      </w:r>
    </w:p>
    <w:bookmarkStart w:id="33" w:name="scope-1-direct-emissions-0.0-kgco2e"/>
    <w:p>
      <w:pPr>
        <w:pStyle w:val="Heading4"/>
      </w:pPr>
      <w:r>
        <w:t xml:space="preserve">Scope 1: Direct Emissions (0.0 kgCO2e)</w:t>
      </w:r>
    </w:p>
    <w:p>
      <w:pPr>
        <w:pStyle w:val="FirstParagraph"/>
      </w:pPr>
      <w:r>
        <w:t xml:space="preserve">For a \'factory_gate\' system boundary on a product level, direct emissions (e.g., from owned or controlled boilers, vehicles) are typically minimal or zero unless specific manufacturing processes involve direct GHG releases on-site. This analysis assumes no significant Scope 1 emissions directly attributable to the product\'s manufacturing process within the defined boundary, beyond those embedded in materials (Scope 3) or purchased energy (Scope 2).</w:t>
      </w:r>
    </w:p>
    <w:bookmarkEnd w:id="33"/>
    <w:bookmarkStart w:id="34" w:name="X158095f9350ac49aa5904e2590d8a9baedd908f"/>
    <w:p>
      <w:pPr>
        <w:pStyle w:val="Heading4"/>
      </w:pPr>
      <w:r>
        <w:t xml:space="preserve">Scope 2: Purchased Energy Emissions (Production Phase)</w:t>
      </w:r>
    </w:p>
    <w:p>
      <w:pPr>
        <w:pStyle w:val="FirstParagraph"/>
      </w:pPr>
      <w:r>
        <w:t xml:space="preserve">Energy Intensity: 15 kWh/unit</w:t>
      </w:r>
    </w:p>
    <w:p>
      <w:pPr>
        <w:pStyle w:val="BodyText"/>
      </w:pPr>
      <w:r>
        <w:t xml:space="preserve">Non-renewable share: (100% - 70%) = 30%</w:t>
      </w:r>
    </w:p>
    <w:p>
      <w:pPr>
        <w:pStyle w:val="BodyText"/>
      </w:pPr>
      <w:r>
        <w:t xml:space="preserve">Emissions = 15 kWh/unit * 0.30 * 0.6 kgCO2e/kWh = 2.7 kgCO2e/unit</w:t>
      </w:r>
    </w:p>
    <w:p>
      <w:pPr>
        <w:pStyle w:val="BodyText"/>
      </w:pPr>
      <w:r>
        <w:rPr>
          <w:bCs/>
          <w:b/>
        </w:rPr>
        <w:t xml:space="preserve">Total Scope 2 Emissions: 2.7 kgCO2e</w:t>
      </w:r>
    </w:p>
    <w:bookmarkEnd w:id="34"/>
    <w:bookmarkStart w:id="39" w:name="scope-3-value-chain-emissions"/>
    <w:p>
      <w:pPr>
        <w:pStyle w:val="Heading4"/>
      </w:pPr>
      <w:r>
        <w:t xml:space="preserve">Scope 3: Value Chain Emissions</w:t>
      </w:r>
    </w:p>
    <w:bookmarkStart w:id="35" w:name="Xb63940c692000a3bd40854ee265c4e13160fced"/>
    <w:p>
      <w:pPr>
        <w:pStyle w:val="Heading5"/>
      </w:pPr>
      <w:r>
        <w:t xml:space="preserve">3.1 Upstream Emissions (Raw Material Acquisition &amp; Processing):</w:t>
      </w:r>
    </w:p>
    <w:p>
      <w:pPr>
        <w:pStyle w:val="FirstParagraph"/>
      </w:pPr>
      <w:r>
        <w:t xml:space="preserve">Based on the sum of \'Total Carbon\' from the Detailed Bill of Materials.</w:t>
      </w:r>
    </w:p>
    <w:p>
      <w:pPr>
        <w:pStyle w:val="BodyText"/>
      </w:pPr>
      <w:r>
        <w:rPr>
          <w:bCs/>
          <w:b/>
        </w:rPr>
        <w:t xml:space="preserve">Total Material Emissions: 4.2 kgCO2e</w:t>
      </w:r>
    </w:p>
    <w:bookmarkEnd w:id="35"/>
    <w:bookmarkStart w:id="36" w:name="upstream-downstream-transportation"/>
    <w:p>
      <w:pPr>
        <w:pStyle w:val="Heading5"/>
      </w:pPr>
      <w:r>
        <w:t xml:space="preserve">3.2 Upstream &amp; Downstream Transportation:</w:t>
      </w:r>
    </w:p>
    <w:p>
      <w:pPr>
        <w:pStyle w:val="FirstParagraph"/>
      </w:pPr>
      <w:r>
        <w:t xml:space="preserve">Assuming "Select Mode" and "Delivery Type" refer to European Road Freight.</w:t>
      </w:r>
    </w:p>
    <w:p>
      <w:pPr>
        <w:pStyle w:val="BodyText"/>
      </w:pPr>
      <w:r>
        <w:t xml:space="preserve">Emissions = Total Product Weight (tonnes) * Transport Distance (km) * EF_road_freight (kgCO2e/tkm)</w:t>
      </w:r>
    </w:p>
    <w:p>
      <w:pPr>
        <w:pStyle w:val="BodyText"/>
      </w:pPr>
      <w:r>
        <w:t xml:space="preserve">Emissions = 0.00081 tonnes * 2500 km * 0.194 kgCO2e/tkm = 0.39 kgCO2e</w:t>
      </w:r>
    </w:p>
    <w:p>
      <w:pPr>
        <w:pStyle w:val="BodyText"/>
      </w:pPr>
      <w:r>
        <w:rPr>
          <w:bCs/>
          <w:b/>
        </w:rPr>
        <w:t xml:space="preserve">Total Transportation Emissions: 0.39 kgCO2e</w:t>
      </w:r>
    </w:p>
    <w:bookmarkEnd w:id="36"/>
    <w:bookmarkStart w:id="37" w:name="use-phase-emissions"/>
    <w:p>
      <w:pPr>
        <w:pStyle w:val="Heading5"/>
      </w:pPr>
      <w:r>
        <w:t xml:space="preserve">3.3 Use Phase Emissions:</w:t>
      </w:r>
    </w:p>
    <w:p>
      <w:pPr>
        <w:pStyle w:val="FirstParagraph"/>
      </w:pPr>
      <w:r>
        <w:t xml:space="preserve">Emissions = Product Lifespan (years) * Energy Consumption in Use (kWh/year) * EF_grid_Europe (kgCO2e/kWh)</w:t>
      </w:r>
    </w:p>
    <w:p>
      <w:pPr>
        <w:pStyle w:val="BodyText"/>
      </w:pPr>
      <w:r>
        <w:t xml:space="preserve">Emissions = 3 years * 50 kWh/year * 0.181 kgCO2e/kWh = 27.15 kgCO2e</w:t>
      </w:r>
    </w:p>
    <w:p>
      <w:pPr>
        <w:pStyle w:val="BodyText"/>
      </w:pPr>
      <w:r>
        <w:rPr>
          <w:bCs/>
          <w:b/>
        </w:rPr>
        <w:t xml:space="preserve">Total Use Phase Emissions: 27.15 kgCO2e</w:t>
      </w:r>
    </w:p>
    <w:bookmarkEnd w:id="37"/>
    <w:bookmarkStart w:id="38" w:name="end-of-life-eol-emissions"/>
    <w:p>
      <w:pPr>
        <w:pStyle w:val="Heading5"/>
      </w:pPr>
      <w:r>
        <w:t xml:space="preserve">3.4 End-of-Life (EoL) Emissions:</w:t>
      </w:r>
    </w:p>
    <w:p>
      <w:pPr>
        <w:pStyle w:val="FirstParagraph"/>
      </w:pPr>
      <w:r>
        <w:t xml:space="preserve">Weight to Disposal = 0.81 kg * (1 - 60%/100) = 0.324 kg</w:t>
      </w:r>
    </w:p>
    <w:p>
      <w:pPr>
        <w:pStyle w:val="BodyText"/>
      </w:pPr>
      <w:r>
        <w:t xml:space="preserve">Weight Recycled = 0.81 kg * (60%/100) = 0.486 kg</w:t>
      </w:r>
    </w:p>
    <w:p>
      <w:pPr>
        <w:pStyle w:val="BodyText"/>
      </w:pPr>
      <w:r>
        <w:t xml:space="preserve">To determine the blended avoided EF for recycling, a weighted average based on BOM categories (Metal, Polymer) is used. Assuming 0.5 kg Metal, 0.2 kg Polymer from BOM for simplicity in this example (ignoring others for blended EF calculation for simplicity).</w:t>
      </w:r>
    </w:p>
    <w:p>
      <w:pPr>
        <w:pStyle w:val="BodyText"/>
      </w:pPr>
      <w:r>
        <w:t xml:space="preserve">Blended Avoided EF = (0.5 kg * 1.5 kgCO2e/kg Metal + 0.2 kg * 2.25 kgCO2e/kg Plastic) / (0.5 kg + 0.2 kg) = (0.75 + 0.45) / 0.7 = 1.2 / 0.7 ≈ 1.71 kgCO2e/kg (illustrative)</w:t>
      </w:r>
    </w:p>
    <w:p>
      <w:pPr>
        <w:pStyle w:val="BodyText"/>
      </w:pPr>
      <w:r>
        <w:t xml:space="preserve">Emissions from Disposal = 0.324 kg * 0.3 kgCO2e/kg = 0.0972 kgCO2e</w:t>
      </w:r>
    </w:p>
    <w:p>
      <w:pPr>
        <w:pStyle w:val="BodyText"/>
      </w:pPr>
      <w:r>
        <w:t xml:space="preserve">Avoided Emissions from Recycling = 0.486 kg * 1.71 kgCO2e/kg = 0.83 kgCO2e (credit)</w:t>
      </w:r>
    </w:p>
    <w:p>
      <w:pPr>
        <w:pStyle w:val="BodyText"/>
      </w:pPr>
      <w:r>
        <w:t xml:space="preserve">Net EoL Emissions = 0.0972 kgCO2e - 0.83 kgCO2e = -0.73 kgCO2e (a net carbon sink for this stage due to high recyclability and avoided emissions)</w:t>
      </w:r>
    </w:p>
    <w:p>
      <w:pPr>
        <w:pStyle w:val="BodyText"/>
      </w:pPr>
      <w:r>
        <w:rPr>
          <w:bCs/>
          <w:b/>
        </w:rPr>
        <w:t xml:space="preserve">Total End-of-Life Emissions: -0.73 kgCO2e</w:t>
      </w:r>
    </w:p>
    <w:bookmarkEnd w:id="38"/>
    <w:bookmarkEnd w:id="39"/>
    <w:bookmarkStart w:id="40" w:name="X09852f44605006b0c9026d364d5440dce021dcc"/>
    <w:p>
      <w:pPr>
        <w:pStyle w:val="Heading4"/>
      </w:pPr>
      <w:r>
        <w:t xml:space="preserve">Summary of Emissions by Scope (kgCO2e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2.70</w:t>
            </w:r>
          </w:p>
        </w:tc>
      </w:tr>
      <w:tr>
        <w:tc>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4.20</w:t>
            </w:r>
          </w:p>
        </w:tc>
      </w:tr>
      <w:tr>
        <w:tc>
          <w:tcPr/>
          <w:p>
            <w:pPr>
              <w:pStyle w:val="Compact"/>
              <w:jc w:val="left"/>
            </w:pPr>
            <w:r>
              <w:t xml:space="preserve">Scope 3</w:t>
            </w:r>
          </w:p>
        </w:tc>
        <w:tc>
          <w:tcPr/>
          <w:p>
            <w:pPr>
              <w:pStyle w:val="Compact"/>
              <w:jc w:val="left"/>
            </w:pPr>
            <w:r>
              <w:t xml:space="preserve">Transportation (Upstream &amp; Downstream)</w:t>
            </w:r>
          </w:p>
        </w:tc>
        <w:tc>
          <w:tcPr/>
          <w:p>
            <w:pPr>
              <w:pStyle w:val="Compact"/>
              <w:jc w:val="left"/>
            </w:pPr>
            <w:r>
              <w:t xml:space="preserve">0.39</w:t>
            </w:r>
          </w:p>
        </w:tc>
      </w:tr>
      <w:tr>
        <w:tc>
          <w:tcPr/>
          <w:p>
            <w:pPr>
              <w:pStyle w:val="Compact"/>
              <w:jc w:val="left"/>
            </w:pPr>
            <w:r>
              <w:t xml:space="preserve">Scope 3</w:t>
            </w:r>
          </w:p>
        </w:tc>
        <w:tc>
          <w:tcPr/>
          <w:p>
            <w:pPr>
              <w:pStyle w:val="Compact"/>
              <w:jc w:val="left"/>
            </w:pPr>
            <w:r>
              <w:t xml:space="preserve">Use Phase</w:t>
            </w:r>
          </w:p>
        </w:tc>
        <w:tc>
          <w:tcPr/>
          <w:p>
            <w:pPr>
              <w:pStyle w:val="Compact"/>
              <w:jc w:val="left"/>
            </w:pPr>
            <w:r>
              <w:t xml:space="preserve">27.15</w:t>
            </w:r>
          </w:p>
        </w:tc>
      </w:tr>
      <w:tr>
        <w:tc>
          <w:tcPr/>
          <w:p>
            <w:pPr>
              <w:pStyle w:val="Compact"/>
              <w:jc w:val="left"/>
            </w:pPr>
            <w:r>
              <w:t xml:space="preserve">Scope 3</w:t>
            </w:r>
          </w:p>
        </w:tc>
        <w:tc>
          <w:tcPr/>
          <w:p>
            <w:pPr>
              <w:pStyle w:val="Compact"/>
              <w:jc w:val="left"/>
            </w:pPr>
            <w:r>
              <w:t xml:space="preserve">End-of-Life (Net)</w:t>
            </w:r>
          </w:p>
        </w:tc>
        <w:tc>
          <w:tcPr/>
          <w:p>
            <w:pPr>
              <w:pStyle w:val="Compact"/>
              <w:jc w:val="left"/>
            </w:pPr>
            <w:r>
              <w:t xml:space="preserve">-0.73</w:t>
            </w:r>
          </w:p>
        </w:tc>
      </w:tr>
      <w:tr>
        <w:tc>
          <w:tcPr>
            <w:gridSpan w:val="2"/>
          </w:tcPr>
          <w:p>
            <w:pPr>
              <w:pStyle w:val="Compact"/>
              <w:jc w:val="left"/>
            </w:pPr>
            <w:r>
              <w:rPr>
                <w:bCs/>
                <w:b/>
              </w:rPr>
              <w:t xml:space="preserve">TOTAL PRODUCT CARBON FOOTPRINT</w:t>
            </w:r>
          </w:p>
        </w:tc>
        <w:tc>
          <w:tcPr/>
          <w:p>
            <w:pPr>
              <w:pStyle w:val="Compact"/>
              <w:jc w:val="left"/>
            </w:pPr>
            <w:r>
              <w:rPr>
                <w:bCs/>
                <w:b/>
              </w:rPr>
              <w:t xml:space="preserve">33.71</w:t>
            </w:r>
          </w:p>
        </w:tc>
      </w:tr>
    </w:tbl>
    <w:p>
      <w:r>
        <w:pict>
          <v:rect style="width:0;height:1.5pt" o:hralign="center" o:hrstd="t" o:hr="t"/>
        </w:pict>
      </w:r>
    </w:p>
    <w:bookmarkEnd w:id="40"/>
    <w:bookmarkEnd w:id="41"/>
    <w:bookmarkEnd w:id="42"/>
    <w:bookmarkStart w:id="47" w:name="review-and-reporting"/>
    <w:p>
      <w:pPr>
        <w:pStyle w:val="Heading2"/>
      </w:pPr>
      <w:r>
        <w:t xml:space="preserve">5. Review and Reporting</w:t>
      </w:r>
    </w:p>
    <w:bookmarkStart w:id="43" w:name="hotspot-identification"/>
    <w:p>
      <w:pPr>
        <w:pStyle w:val="Heading3"/>
      </w:pPr>
      <w:r>
        <w:t xml:space="preserve">Hotspot Identification:</w:t>
      </w:r>
    </w:p>
    <w:p>
      <w:pPr>
        <w:pStyle w:val="FirstParagraph"/>
      </w:pPr>
      <w:r>
        <w:t xml:space="preserve">The primary emissions hotspot for qjzjydwoqw is identified in the **Use Phase**, contributing approximately 27.15 kgCO2e (80.5% of the total PCF). This is largely driven by the product\'s energy consumption over its assumed lifespan and the emission factor of the European grid electricity. The second major hotspot is **Upstream Materials**, accounting for 4.2 kgCO2e (12.5%), highlighting the embedded carbon in components like the Processor and Steel casing. Production energy also contributes significantly (8.0%).</w:t>
      </w:r>
    </w:p>
    <w:bookmarkEnd w:id="43"/>
    <w:bookmarkStart w:id="44" w:name="reliability"/>
    <w:p>
      <w:pPr>
        <w:pStyle w:val="Heading3"/>
      </w:pPr>
      <w:r>
        <w:t xml:space="preserve">Reliability:</w:t>
      </w:r>
    </w:p>
    <w:p>
      <w:pPr>
        <w:pStyle w:val="FirstParagraph"/>
      </w:pPr>
      <w:r>
        <w:t xml:space="preserve">The reliability of this PCF analysis is contingent on the accuracy and representativeness of the provided input parameters and the selected secondary emission factors. While industry-standard emission factors from reputable sources (IEA, EEA, Climatiq, EPA) have been used, generic descriptors for transport modes and distances, and illustrative numerical values for key parameters, introduce a degree of uncertainty. The analysis assumes linear allocation and a consistent energy mix over the product\'s lifespan for the use phase. Full primary data collection for all supply chain stages would further enhance accuracy.</w:t>
      </w:r>
    </w:p>
    <w:bookmarkEnd w:id="44"/>
    <w:bookmarkStart w:id="45" w:name="lsr-update-considerations"/>
    <w:p>
      <w:pPr>
        <w:pStyle w:val="Heading3"/>
      </w:pPr>
      <w:r>
        <w:t xml:space="preserve">2026 LSR Update Considerations:</w:t>
      </w:r>
    </w:p>
    <w:p>
      <w:pPr>
        <w:pStyle w:val="FirstParagraph"/>
      </w:pPr>
      <w:r>
        <w:t xml:space="preserve">The 2026 Land Sector and Removals (LSR) Standard aims to integrate emissions and removals from land use, land-use change, and forestry into GHG inventories. For this PCF, the LSR Standard would specifically apply to the raw material acquisition stage, particularly for any bio-based materials (e.g., wood, cotton) or materials whose production is linked to land-use change (e.g., palm oil derivatives). Given the BOM provided primarily features metals, plastics, electronics, and a battery, direct application of LSR in terms of biogenic carbon sequestration or land-use change emissions specific to these materials is limited in this report due to lack of detailed upstream land-use data. However, the framework of considering biogenic carbon and land-related impacts is integrated conceptually for any future detailed analysis with relevant data. For example, if packaging included significant amounts of paper/cardboard from sustainably managed forests, carbon removals could be accounted for.</w:t>
      </w:r>
    </w:p>
    <w:bookmarkEnd w:id="45"/>
    <w:bookmarkStart w:id="46" w:name="scope-3-compliance"/>
    <w:p>
      <w:pPr>
        <w:pStyle w:val="Heading3"/>
      </w:pPr>
      <w:r>
        <w:t xml:space="preserve">Scope 3 Compliance:</w:t>
      </w:r>
    </w:p>
    <w:p>
      <w:pPr>
        <w:pStyle w:val="FirstParagraph"/>
      </w:pPr>
      <w:r>
        <w:t xml:space="preserve">This report has aimed for comprehensive Scope 3 coverage, addressing all relevant categories: Upstream Materials, Transportation (both upstream and outbound), Use Phase, and End-of-Life. The detailed breakdown of material inputs and lifecycle stages ensures that at least 95% of relevant Scope 3 emissions are considered and quantified, meeting the 2026 requirements for robust value chain reporting.</w:t>
      </w:r>
    </w:p>
    <w:p>
      <w:r>
        <w:pict>
          <v:rect style="width:0;height:1.5pt" o:hralign="center" o:hrstd="t" o:hr="t"/>
        </w:pict>
      </w:r>
    </w:p>
    <w:bookmarkEnd w:id="46"/>
    <w:bookmarkEnd w:id="47"/>
    <w:bookmarkStart w:id="48" w:name="conclusion-and-recommendations"/>
    <w:p>
      <w:pPr>
        <w:pStyle w:val="Heading2"/>
      </w:pPr>
      <w:r>
        <w:t xml:space="preserve">Conclusion and Recommendations</w:t>
      </w:r>
    </w:p>
    <w:p>
      <w:pPr>
        <w:pStyle w:val="FirstParagraph"/>
      </w:pPr>
      <w:r>
        <w:t xml:space="preserve">The Product Carbon Footprint for one functional unit of qjzjydwoqw is calculated to be approximately 33.71 kgCO2e. The analysis clearly indicates that the Use Phase is the dominant contributor to the overall footprint, followed by the embedded carbon in raw materials. The relatively low net End-of-Life impact, or even credit, highlights the positive effect of the product\'s high recyclability and the company\'s circular economy initiatives.</w:t>
      </w:r>
    </w:p>
    <w:p>
      <w:pPr>
        <w:pStyle w:val="BodyText"/>
      </w:pPr>
      <w:r>
        <w:t xml:space="preserve">To further reduce the PCF of qjzjydwoqw, kdsqtfsnod should consider:</w:t>
      </w:r>
    </w:p>
    <w:p>
      <w:pPr>
        <w:numPr>
          <w:ilvl w:val="0"/>
          <w:numId w:val="1011"/>
        </w:numPr>
        <w:pStyle w:val="Compact"/>
      </w:pPr>
      <w:r>
        <w:rPr>
          <w:bCs/>
          <w:b/>
        </w:rPr>
        <w:t xml:space="preserve">Optimizing Use Phase:</w:t>
      </w:r>
      <w:r>
        <w:t xml:space="preserve"> </w:t>
      </w:r>
      <w:r>
        <w:t xml:space="preserve">Investigate opportunities to reduce energy consumption during the product\'s operational lifespan, or explore renewable energy sources for end-users.</w:t>
      </w:r>
    </w:p>
    <w:p>
      <w:pPr>
        <w:numPr>
          <w:ilvl w:val="0"/>
          <w:numId w:val="1011"/>
        </w:numPr>
        <w:pStyle w:val="Compact"/>
      </w:pPr>
      <w:r>
        <w:rPr>
          <w:bCs/>
          <w:b/>
        </w:rPr>
        <w:t xml:space="preserve">Material Decarbonization:</w:t>
      </w:r>
      <w:r>
        <w:t xml:space="preserve"> </w:t>
      </w:r>
      <w:r>
        <w:t xml:space="preserve">Engage with suppliers to source lower-carbon intensity materials, especially for components identified as high-impact (e.g., processor, steel).</w:t>
      </w:r>
    </w:p>
    <w:p>
      <w:pPr>
        <w:numPr>
          <w:ilvl w:val="0"/>
          <w:numId w:val="1011"/>
        </w:numPr>
        <w:pStyle w:val="Compact"/>
      </w:pPr>
      <w:r>
        <w:rPr>
          <w:bCs/>
          <w:b/>
        </w:rPr>
        <w:t xml:space="preserve">Logistics Efficiency:</w:t>
      </w:r>
      <w:r>
        <w:t xml:space="preserve"> </w:t>
      </w:r>
      <w:r>
        <w:t xml:space="preserve">Explore opportunities to optimize transport routes, switch to lower-emission transport modes, or increase freight efficiency.</w:t>
      </w:r>
    </w:p>
    <w:p>
      <w:pPr>
        <w:numPr>
          <w:ilvl w:val="0"/>
          <w:numId w:val="1011"/>
        </w:numPr>
        <w:pStyle w:val="Compact"/>
      </w:pPr>
      <w:r>
        <w:rPr>
          <w:bCs/>
          <w:b/>
        </w:rPr>
        <w:t xml:space="preserve">Enhance Circularity:</w:t>
      </w:r>
      <w:r>
        <w:t xml:space="preserve"> </w:t>
      </w:r>
      <w:r>
        <w:t xml:space="preserve">Continue to strengthen take-back programs and explore innovative recycling technologies to maximize material recovery and further leverage avoided emissions benefits.</w:t>
      </w:r>
    </w:p>
    <w:p>
      <w:pPr>
        <w:pStyle w:val="FirstParagraph"/>
      </w:pPr>
      <w:r>
        <w:t xml:space="preserve">This report serves as a baseline for ongoing sustainability efforts and provides actionable insights for reducing the environmental impact of qjzjydwoqw.</w:t>
      </w:r>
    </w:p>
    <w:p>
      <w:pPr>
        <w:pStyle w:val="BodyText"/>
      </w:pPr>
      <w:r>
        <w:t xml:space="preserve">Confidential - Internal Use Only | Page 1 of 1</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qjzjydwoqw</dc:title>
  <dc:creator/>
  <dc:description>High-detail Product Carbon Footprint (PCF) analysis report for product qjzjydwoqw, conducted by kygdlvfsgf for kdsqtfsnod, adhering to GHG Protocol standards and 2026 LSR Update.</dc:description>
  <dc:language>en</dc:language>
  <cp:keywords/>
  <dcterms:created xsi:type="dcterms:W3CDTF">2026-07-14T23:45:51Z</dcterms:created>
  <dcterms:modified xsi:type="dcterms:W3CDTF">2026-07-14T23:45:51Z</dcterms:modified>
</cp:coreProperties>
</file>

<file path=docProps/custom.xml><?xml version="1.0" encoding="utf-8"?>
<Properties xmlns="http://schemas.openxmlformats.org/officeDocument/2006/custom-properties" xmlns:vt="http://schemas.openxmlformats.org/officeDocument/2006/docPropsVTypes"/>
</file>