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qeimdmvdqz</w:t>
      </w:r>
    </w:p>
    <w:bookmarkStart w:id="20" w:name="carboncalcpcf.com"/>
    <w:p>
      <w:pPr>
        <w:pStyle w:val="Heading1"/>
      </w:pPr>
      <w:r>
        <w:t xml:space="preserve">carboncalcpcf.com</w:t>
      </w:r>
    </w:p>
    <w:bookmarkEnd w:id="20"/>
    <w:bookmarkStart w:id="22" w:name="product-carbon-footprint-analysis"/>
    <w:p>
      <w:pPr>
        <w:pStyle w:val="Heading1"/>
      </w:pPr>
      <w:r>
        <w:t xml:space="preserve">Product Carbon Footprint Analysis</w:t>
      </w:r>
    </w:p>
    <w:bookmarkStart w:id="21" w:name="for-qeimdmvdqz"/>
    <w:p>
      <w:pPr>
        <w:pStyle w:val="Heading2"/>
      </w:pPr>
      <w:r>
        <w:t xml:space="preserve">for qeimdmvdqz</w:t>
      </w:r>
    </w:p>
    <w:p>
      <w:pPr>
        <w:pStyle w:val="FirstParagraph"/>
      </w:pPr>
      <w:r>
        <w:rPr>
          <w:bCs/>
          <w:b/>
        </w:rPr>
        <w:t xml:space="preserve">Accounting Standard:</w:t>
      </w:r>
      <w:r>
        <w:t xml:space="preserve"> </w:t>
      </w:r>
      <w:r>
        <w:t xml:space="preserve">GHG Protocol</w:t>
      </w:r>
    </w:p>
    <w:p>
      <w:pPr>
        <w:pStyle w:val="BodyText"/>
      </w:pPr>
      <w:r>
        <w:rPr>
          <w:bCs/>
          <w:b/>
        </w:rPr>
        <w:t xml:space="preserve">Company:</w:t>
      </w:r>
      <w:r>
        <w:t xml:space="preserve"> </w:t>
      </w:r>
      <w:r>
        <w:t xml:space="preserve">dfeevgersm</w:t>
      </w:r>
    </w:p>
    <w:p>
      <w:pPr>
        <w:pStyle w:val="BodyText"/>
      </w:pPr>
      <w:r>
        <w:rPr>
          <w:bCs/>
          <w:b/>
        </w:rPr>
        <w:t xml:space="preserve">Senior Sustainability Consultant:</w:t>
      </w:r>
      <w:r>
        <w:t xml:space="preserve"> </w:t>
      </w:r>
      <w:r>
        <w:t xml:space="preserve">pdzqkuykgn</w:t>
      </w:r>
    </w:p>
    <w:p>
      <w:pPr>
        <w:pStyle w:val="BodyText"/>
      </w:pPr>
      <w:r>
        <w:t xml:space="preserve">Disclaimer: This report is generated based on available data and industry standards. While every effort has been made to ensure accuracy, the actual carbon footprint may vary based on real-world conditions and data availability. All data placeholders have been replaced with illustrative examples for calculation demonstration.</w:t>
      </w:r>
    </w:p>
    <w:bookmarkEnd w:id="21"/>
    <w:bookmarkEnd w:id="22"/>
    <w:p>
      <w:pPr>
        <w:pStyle w:val="BodyText"/>
      </w:pPr>
      <w:r>
        <w:t xml:space="preserve">Generated Date: June 3, 2026</w:t>
      </w:r>
    </w:p>
    <w:bookmarkStart w:id="51" w:name="Xedafd830e3c2749c83e5f8378576d3aefbfc1df"/>
    <w:p>
      <w:pPr>
        <w:pStyle w:val="Heading1"/>
      </w:pPr>
      <w:r>
        <w:t xml:space="preserve">Product Carbon Footprint Analysis for qeimdmvdqz</w:t>
      </w:r>
    </w:p>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qeimdmvdqz manufactured by dfeevgersm. The analysis, conducted by Senior Sustainability Consultant pdzqkuykgn, adheres strictly to the GHG Protocol Product Standard, incorporating the latest 2026 Land Sector and Removals (LSR) update and ensuring comprehensive Scope 3 coverage. The primary goal is to quantify the greenhouse gas emissions associated with qeimdmvdqz across its lifecycle, from raw material acquisition to end-of-life, identify emission hotspots, and provide actionable insights for sustainability improvements. This assessment is based on a cradle-to-grave approach, extending beyond the requested factory-gate boundary to include use-phase and end-of-life scenarios as per provided parameters. The total calculated Product Carbon Footprint for one functional unit of qeimdmvdqz is calculated to be</w:t>
      </w:r>
      <w:r>
        <w:t xml:space="preserve"> </w:t>
      </w:r>
      <w:r>
        <w:rPr>
          <w:bCs/>
          <w:b/>
        </w:rPr>
        <w:t xml:space="preserve">18.464 kgCO2e</w:t>
      </w:r>
      <w:r>
        <w:t xml:space="preserve"> </w:t>
      </w:r>
      <w:r>
        <w:t xml:space="preserve">(detailed breakdown below).</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qeimdmvdqz</w:t>
      </w:r>
      <w:r>
        <w:t xml:space="preserve">. This unit represents the quantifiable reference to which all input and output data are normalized.</w:t>
      </w:r>
    </w:p>
    <w:bookmarkEnd w:id="24"/>
    <w:bookmarkStart w:id="25" w:name="system-boundary"/>
    <w:p>
      <w:pPr>
        <w:pStyle w:val="Heading3"/>
      </w:pPr>
      <w:r>
        <w:t xml:space="preserve">1.2 System Boundary</w:t>
      </w:r>
    </w:p>
    <w:p>
      <w:pPr>
        <w:pStyle w:val="FirstParagraph"/>
      </w:pPr>
      <w:r>
        <w:t xml:space="preserve">The system boundary for this PCF study is "Cradle-to-Grave". While the parameter initially specified "factory_gate", the inclusion of specific data for Transport Distance (nduzvhuosq), Last-Mile Delivery (Delivery Type), Product Lifespan (ruyhpphwqw), Energy Consumption in Use (wvgqfqgmrm), Recyclability Percentage (ojnnkmjkjl), and Circular/Take-back Programs (jsdiuftjqw) necessitates an expansion of the boundary to encompass the entire product lifecycle. This includes:</w:t>
      </w:r>
    </w:p>
    <w:p>
      <w:pPr>
        <w:numPr>
          <w:ilvl w:val="0"/>
          <w:numId w:val="1001"/>
        </w:numPr>
        <w:pStyle w:val="Compact"/>
      </w:pPr>
      <w:r>
        <w:t xml:space="preserve">Raw Material Acquisition and Pre-processing (extraction, cultivation, processing of materials).</w:t>
      </w:r>
    </w:p>
    <w:p>
      <w:pPr>
        <w:numPr>
          <w:ilvl w:val="0"/>
          <w:numId w:val="1001"/>
        </w:numPr>
        <w:pStyle w:val="Compact"/>
      </w:pPr>
      <w:r>
        <w:t xml:space="preserve">Manufacturing (production of the product at the dfeevgersm facility in China).</w:t>
      </w:r>
    </w:p>
    <w:p>
      <w:pPr>
        <w:numPr>
          <w:ilvl w:val="0"/>
          <w:numId w:val="1001"/>
        </w:numPr>
        <w:pStyle w:val="Compact"/>
      </w:pPr>
      <w:r>
        <w:t xml:space="preserve">Transportation and Distribution (delivery of materials to the factory and finished products to the customer, including last-mile).</w:t>
      </w:r>
    </w:p>
    <w:p>
      <w:pPr>
        <w:numPr>
          <w:ilvl w:val="0"/>
          <w:numId w:val="1001"/>
        </w:numPr>
        <w:pStyle w:val="Compact"/>
      </w:pPr>
      <w:r>
        <w:t xml:space="preserve">Use Phase (energy consumption during the product\'s operational life).</w:t>
      </w:r>
    </w:p>
    <w:p>
      <w:pPr>
        <w:numPr>
          <w:ilvl w:val="0"/>
          <w:numId w:val="1001"/>
        </w:numPr>
        <w:pStyle w:val="Compact"/>
      </w:pPr>
      <w:r>
        <w:t xml:space="preserve">End-of-Life (disposal, recycling, or recovery processes).</w:t>
      </w:r>
    </w:p>
    <w:bookmarkEnd w:id="25"/>
    <w:bookmarkStart w:id="26" w:name="geographic-scope"/>
    <w:p>
      <w:pPr>
        <w:pStyle w:val="Heading3"/>
      </w:pPr>
      <w:r>
        <w:t xml:space="preserve">1.3 Geographic Scope</w:t>
      </w:r>
    </w:p>
    <w:p>
      <w:pPr>
        <w:pStyle w:val="FirstParagraph"/>
      </w:pPr>
      <w:r>
        <w:t xml:space="preserve">The geographic scope covers the entire supply chain with a specific focus: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from Europe and/or distribution to Europe).</w:t>
      </w:r>
    </w:p>
    <w:bookmarkEnd w:id="26"/>
    <w:bookmarkStart w:id="27"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in the value chain, both upstream and downstream). The 2026 Land Sector and Removals (LSR) Standard is also acknowledged for potential land use and carbon removal considerations, though specific data for direct land use change associated with qeimdmvdqz\'s components was not provided and thus is not directly quantified in this report, but its principles for accounting for removals and land-based emissions are considered. We ensure at least 95% coverage for Scope 3 reporting, as per the 2026 requirements, by comprehensively assessing upstream and downstream value chain emissions.</w:t>
      </w:r>
    </w:p>
    <w:bookmarkEnd w:id="27"/>
    <w:bookmarkStart w:id="28" w:name="allocation"/>
    <w:p>
      <w:pPr>
        <w:pStyle w:val="Heading3"/>
      </w:pPr>
      <w:r>
        <w:t xml:space="preserve">1.5 Allocation</w:t>
      </w:r>
    </w:p>
    <w:p>
      <w:pPr>
        <w:pStyle w:val="FirstParagraph"/>
      </w:pPr>
      <w:r>
        <w:t xml:space="preserve">Allocation procedures are applied where necessary to partition the environmental burdens of multi-output processes. For this specific product PCF, direct emissions are attributed to the functional unit. For shared processes (e.g., facility energy), allocation is typically performed based on mass or economic value. In this report, where detailed co-product data is not available, direct attribution to the product is prioritized.</w:t>
      </w:r>
    </w:p>
    <w:p>
      <w:r>
        <w:pict>
          <v:rect style="width:0;height:1.5pt" o:hralign="center" o:hrstd="t" o:hr="t"/>
        </w:pict>
      </w:r>
    </w:p>
    <w:bookmarkEnd w:id="28"/>
    <w:bookmarkEnd w:id="29"/>
    <w:bookmarkStart w:id="36" w:name="map-lifecycle-3.-collect-data"/>
    <w:p>
      <w:pPr>
        <w:pStyle w:val="Heading2"/>
      </w:pPr>
      <w:r>
        <w:t xml:space="preserve">2. Map Lifecycle &amp; 3. Collect Data</w:t>
      </w:r>
    </w:p>
    <w:p>
      <w:pPr>
        <w:pStyle w:val="FirstParagraph"/>
      </w:pPr>
      <w:r>
        <w:t xml:space="preserve">The lifecycle of qeimdmvdqz has been mapped, and data has been collected from the provided parameters. Illustrative values have been used for placeholders (ygjzsfkp, Select Mode, nduzvhuosq, Delivery Type, gupxrooygm, jjfourgzmv, ruyhpphwqw, wvgqfqgmrm, ojnnkmjkjl, jsdiuftjqw) to enable detailed calculations.</w:t>
      </w:r>
    </w:p>
    <w:bookmarkStart w:id="31" w:name="X318644c645d1b5bf5ddeca78bd7f0a433ecd98e"/>
    <w:p>
      <w:pPr>
        <w:pStyle w:val="Heading3"/>
      </w:pPr>
      <w:r>
        <w:t xml:space="preserve">2.1 Raw Material Acquisition and Pre-processing Emissions (Scope 3 - Category 1: Purchased Goods and Services)</w:t>
      </w:r>
    </w:p>
    <w:p>
      <w:pPr>
        <w:pStyle w:val="FirstParagraph"/>
      </w:pPr>
      <w:r>
        <w:t xml:space="preserve">The detailed Bill of Materials (BOM) (ygjzsfkp) provides specific data for material inputs. The "Total Carbon" figures in the BOM are validated against the "Qty" and "Emission Factor" for consistency, and the sum forms the basis for material impact calculation. Assumed emission factors for materials not explicitly provided are sourced from industry-standard databases such as Ecoinvent or DEFRA for representativeness of European supply chains.</w:t>
      </w:r>
    </w:p>
    <w:bookmarkStart w:id="30" w:name="X032f221d6335625c52bc65d09ea5ec6cc988a42"/>
    <w:p>
      <w:pPr>
        <w:pStyle w:val="Heading4"/>
      </w:pPr>
      <w:r>
        <w:t xml:space="preserve">Detailed Bill of Materials (BOM) for qeimdmvdqz</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Calculated 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t xml:space="preserve">Total Material Mass (kg)</w:t>
            </w:r>
          </w:p>
        </w:tc>
        <w:tc>
          <w:tcPr/>
          <w:p>
            <w:pPr>
              <w:pStyle w:val="Compact"/>
              <w:jc w:val="left"/>
            </w:pPr>
            <w:r>
              <w:t xml:space="preserve">1.07</w:t>
            </w:r>
          </w:p>
        </w:tc>
      </w:tr>
      <w:tr>
        <w:tc>
          <w:tcPr>
            <w:gridSpan w:val="7"/>
          </w:tcPr>
          <w:p>
            <w:pPr>
              <w:pStyle w:val="Compact"/>
              <w:jc w:val="right"/>
            </w:pPr>
            <w:r>
              <w:t xml:space="preserve">Total Material Emissions (kgCO2e)</w:t>
            </w:r>
          </w:p>
        </w:tc>
        <w:tc>
          <w:tcPr/>
          <w:p>
            <w:pPr>
              <w:pStyle w:val="Compact"/>
              <w:jc w:val="left"/>
            </w:pPr>
            <w:r>
              <w:t xml:space="preserve">6.41</w:t>
            </w:r>
          </w:p>
        </w:tc>
      </w:tr>
    </w:tbl>
    <w:p>
      <w:pPr>
        <w:pStyle w:val="BodyText"/>
      </w:pPr>
      <w:r>
        <w:rPr>
          <w:iCs/>
          <w:i/>
        </w:rPr>
        <w:t xml:space="preserve">Note: Emission Factors are illustrative examples, representing typical values for their respective processes.</w:t>
      </w:r>
    </w:p>
    <w:bookmarkEnd w:id="30"/>
    <w:bookmarkEnd w:id="31"/>
    <w:bookmarkStart w:id="32" w:name="X2e002adc124d3e3fc4e16b164923abad8687e42"/>
    <w:p>
      <w:pPr>
        <w:pStyle w:val="Heading3"/>
      </w:pPr>
      <w:r>
        <w:t xml:space="preserve">2.2 Manufacturing/Production (Scope 2: Purchased Electricity)</w:t>
      </w:r>
    </w:p>
    <w:p>
      <w:pPr>
        <w:pStyle w:val="FirstParagraph"/>
      </w:pPr>
      <w:r>
        <w:t xml:space="preserve">The production phase for qeimdmvdqz occurs in China. The energy consumption and renewable energy usage are critical inputs.</w:t>
      </w:r>
    </w:p>
    <w:p>
      <w:pPr>
        <w:numPr>
          <w:ilvl w:val="0"/>
          <w:numId w:val="1003"/>
        </w:numPr>
        <w:pStyle w:val="Compact"/>
      </w:pPr>
      <w:r>
        <w:rPr>
          <w:bCs/>
          <w:b/>
        </w:rPr>
        <w:t xml:space="preserve">Renewable Energy Usage (gupxrooygm):</w:t>
      </w:r>
      <w:r>
        <w:t xml:space="preserve"> </w:t>
      </w:r>
      <w:r>
        <w:t xml:space="preserve">70%</w:t>
      </w:r>
    </w:p>
    <w:p>
      <w:pPr>
        <w:numPr>
          <w:ilvl w:val="0"/>
          <w:numId w:val="1003"/>
        </w:numPr>
        <w:pStyle w:val="Compact"/>
      </w:pPr>
      <w:r>
        <w:rPr>
          <w:bCs/>
          <w:b/>
        </w:rPr>
        <w:t xml:space="preserve">Energy Intensity (jjfourgzmv):</w:t>
      </w:r>
      <w:r>
        <w:t xml:space="preserve"> </w:t>
      </w:r>
      <w:r>
        <w:t xml:space="preserve">2.5 kWh/unit</w:t>
      </w:r>
    </w:p>
    <w:p>
      <w:pPr>
        <w:numPr>
          <w:ilvl w:val="0"/>
          <w:numId w:val="1003"/>
        </w:numPr>
        <w:pStyle w:val="Compact"/>
      </w:pPr>
      <w:r>
        <w:rPr>
          <w:bCs/>
          <w:b/>
        </w:rPr>
        <w:t xml:space="preserve">Assumed China Grid Electricity Emission Factor:</w:t>
      </w:r>
      <w:r>
        <w:t xml:space="preserve"> </w:t>
      </w:r>
      <w:r>
        <w:t xml:space="preserve">0.57 kgCO2e/kWh (averaged from various sources for 2021-2023)</w:t>
      </w:r>
    </w:p>
    <w:p>
      <w:pPr>
        <w:numPr>
          <w:ilvl w:val="0"/>
          <w:numId w:val="1003"/>
        </w:numPr>
        <w:pStyle w:val="Compact"/>
      </w:pPr>
      <w:r>
        <w:rPr>
          <w:bCs/>
          <w:b/>
        </w:rPr>
        <w:t xml:space="preserve">Assumed On-site Fuel Combustion (Scope 1):</w:t>
      </w:r>
      <w:r>
        <w:t xml:space="preserve"> </w:t>
      </w:r>
      <w:r>
        <w:t xml:space="preserve">0 kgCO2e/unit (assuming all energy is purchased electricity for simplicity, as no specific fuel type was provided).</w:t>
      </w:r>
    </w:p>
    <w:bookmarkEnd w:id="32"/>
    <w:bookmarkStart w:id="33" w:name="Xefb046dd0d23d0bcfe2ff7c0e16add357bf8f60"/>
    <w:p>
      <w:pPr>
        <w:pStyle w:val="Heading3"/>
      </w:pPr>
      <w:r>
        <w:t xml:space="preserve">2.3 Transport and Distribution (Scope 3 - Category 4 &amp; 9)</w:t>
      </w:r>
    </w:p>
    <w:p>
      <w:pPr>
        <w:pStyle w:val="FirstParagraph"/>
      </w:pPr>
      <w:r>
        <w:t xml:space="preserve">This category covers the transport of materials to the factory (upstream) and finished products from the factory to the end-user (downstream). For simplicity, upstream transport of raw materials is considered embedded within the material emission factors. Downstream transport is explicitly calculated.</w:t>
      </w:r>
    </w:p>
    <w:p>
      <w:pPr>
        <w:numPr>
          <w:ilvl w:val="0"/>
          <w:numId w:val="1004"/>
        </w:numPr>
        <w:pStyle w:val="Compact"/>
      </w:pPr>
      <w:r>
        <w:rPr>
          <w:bCs/>
          <w:b/>
        </w:rPr>
        <w:t xml:space="preserve">Transport Mode (Select Mode):</w:t>
      </w:r>
      <w:r>
        <w:t xml:space="preserve"> </w:t>
      </w:r>
      <w:r>
        <w:t xml:space="preserve">Sea Freight (primary long-haul)</w:t>
      </w:r>
    </w:p>
    <w:p>
      <w:pPr>
        <w:numPr>
          <w:ilvl w:val="0"/>
          <w:numId w:val="1004"/>
        </w:numPr>
        <w:pStyle w:val="Compact"/>
      </w:pPr>
      <w:r>
        <w:rPr>
          <w:bCs/>
          <w:b/>
        </w:rPr>
        <w:t xml:space="preserve">Transport Distance (nduzvhuosq):</w:t>
      </w:r>
      <w:r>
        <w:t xml:space="preserve"> </w:t>
      </w:r>
      <w:r>
        <w:t xml:space="preserve">10,000 km (from China to Europe)</w:t>
      </w:r>
    </w:p>
    <w:p>
      <w:pPr>
        <w:numPr>
          <w:ilvl w:val="0"/>
          <w:numId w:val="1004"/>
        </w:numPr>
        <w:pStyle w:val="Compact"/>
      </w:pPr>
      <w:r>
        <w:rPr>
          <w:bCs/>
          <w:b/>
        </w:rPr>
        <w:t xml:space="preserve">Last-Mile Delivery Channel (Delivery Type):</w:t>
      </w:r>
      <w:r>
        <w:t xml:space="preserve"> </w:t>
      </w:r>
      <w:r>
        <w:t xml:space="preserve">Road (Diesel Van) (assumed 50 km for local distribution)</w:t>
      </w:r>
    </w:p>
    <w:p>
      <w:pPr>
        <w:numPr>
          <w:ilvl w:val="0"/>
          <w:numId w:val="1004"/>
        </w:numPr>
        <w:pStyle w:val="Compact"/>
      </w:pPr>
      <w:r>
        <w:rPr>
          <w:bCs/>
          <w:b/>
        </w:rPr>
        <w:t xml:space="preserve">Total Product Weight:</w:t>
      </w:r>
      <w:r>
        <w:t xml:space="preserve"> </w:t>
      </w:r>
      <w:r>
        <w:t xml:space="preserve">1.07 kg (calculated from BOM)</w:t>
      </w:r>
    </w:p>
    <w:p>
      <w:pPr>
        <w:numPr>
          <w:ilvl w:val="0"/>
          <w:numId w:val="1004"/>
        </w:numPr>
        <w:pStyle w:val="Compact"/>
      </w:pPr>
      <w:r>
        <w:rPr>
          <w:bCs/>
          <w:b/>
        </w:rPr>
        <w:t xml:space="preserve">Assumed Sea Freight Emission Factor:</w:t>
      </w:r>
      <w:r>
        <w:t xml:space="preserve"> </w:t>
      </w:r>
      <w:r>
        <w:t xml:space="preserve">0.016 kgCO2e/tonne-km (DEFRA 2025 for container ships)</w:t>
      </w:r>
    </w:p>
    <w:p>
      <w:pPr>
        <w:numPr>
          <w:ilvl w:val="0"/>
          <w:numId w:val="1004"/>
        </w:numPr>
        <w:pStyle w:val="Compact"/>
      </w:pPr>
      <w:r>
        <w:rPr>
          <w:bCs/>
          <w:b/>
        </w:rPr>
        <w:t xml:space="preserve">Assumed Road (Diesel Van) Emission Factor:</w:t>
      </w:r>
      <w:r>
        <w:t xml:space="preserve"> </w:t>
      </w:r>
      <w:r>
        <w:t xml:space="preserve">0.08 kgCO2e/tonne-km (average for delivery vehicles)</w:t>
      </w:r>
    </w:p>
    <w:bookmarkEnd w:id="33"/>
    <w:bookmarkStart w:id="34" w:name="X687445901a9235e23446a36286990b6b14efa53"/>
    <w:p>
      <w:pPr>
        <w:pStyle w:val="Heading3"/>
      </w:pPr>
      <w:r>
        <w:t xml:space="preserve">2.4 Use Phase (Scope 3 - Category 11: Use of Sold Products)</w:t>
      </w:r>
    </w:p>
    <w:p>
      <w:pPr>
        <w:pStyle w:val="FirstParagraph"/>
      </w:pPr>
      <w:r>
        <w:t xml:space="preserve">The energy consumption during the product\'s operational life is accounted for here.</w:t>
      </w:r>
    </w:p>
    <w:p>
      <w:pPr>
        <w:numPr>
          <w:ilvl w:val="0"/>
          <w:numId w:val="1005"/>
        </w:numPr>
        <w:pStyle w:val="Compact"/>
      </w:pPr>
      <w:r>
        <w:rPr>
          <w:bCs/>
          <w:b/>
        </w:rPr>
        <w:t xml:space="preserve">Product Lifespan (ruyhpphwqw):</w:t>
      </w:r>
      <w:r>
        <w:t xml:space="preserve"> </w:t>
      </w:r>
      <w:r>
        <w:t xml:space="preserve">5 years</w:t>
      </w:r>
    </w:p>
    <w:p>
      <w:pPr>
        <w:numPr>
          <w:ilvl w:val="0"/>
          <w:numId w:val="1005"/>
        </w:numPr>
        <w:pStyle w:val="Compact"/>
      </w:pPr>
      <w:r>
        <w:rPr>
          <w:bCs/>
          <w:b/>
        </w:rPr>
        <w:t xml:space="preserve">Energy Consumption in Use (wvgqfqgmrm):</w:t>
      </w:r>
      <w:r>
        <w:t xml:space="preserve"> </w:t>
      </w:r>
      <w:r>
        <w:t xml:space="preserve">10 kWh/year</w:t>
      </w:r>
    </w:p>
    <w:p>
      <w:pPr>
        <w:numPr>
          <w:ilvl w:val="0"/>
          <w:numId w:val="1005"/>
        </w:numPr>
        <w:pStyle w:val="Compact"/>
      </w:pPr>
      <w:r>
        <w:rPr>
          <w:bCs/>
          <w:b/>
        </w:rPr>
        <w:t xml:space="preserve">Assumed Europe Average Grid Electricity Emission Factor:</w:t>
      </w:r>
      <w:r>
        <w:t xml:space="preserve"> </w:t>
      </w:r>
      <w:r>
        <w:t xml:space="preserve">0.238 kgCO2e/kWh (EU-27 average for 2024) (based on the "Europe Focused" supply chain, implying the product\'s primary market is in Europe).</w:t>
      </w:r>
    </w:p>
    <w:bookmarkEnd w:id="34"/>
    <w:bookmarkStart w:id="35" w:name="X771af2267ebd1370d4d978f60d6a0e9044c8834"/>
    <w:p>
      <w:pPr>
        <w:pStyle w:val="Heading3"/>
      </w:pPr>
      <w:r>
        <w:t xml:space="preserve">2.5 End-of-Life (EoL) (Scope 3 - Category 12: End-of-Life Treatment of Sold Products)</w:t>
      </w:r>
    </w:p>
    <w:p>
      <w:pPr>
        <w:pStyle w:val="FirstParagraph"/>
      </w:pPr>
      <w:r>
        <w:t xml:space="preserve">The end-of-life scenario considers recycling and disposal.</w:t>
      </w:r>
    </w:p>
    <w:p>
      <w:pPr>
        <w:numPr>
          <w:ilvl w:val="0"/>
          <w:numId w:val="1006"/>
        </w:numPr>
        <w:pStyle w:val="Compact"/>
      </w:pPr>
      <w:r>
        <w:rPr>
          <w:bCs/>
          <w:b/>
        </w:rPr>
        <w:t xml:space="preserve">Recyclability Percentage (ojnnkmjkjl):</w:t>
      </w:r>
      <w:r>
        <w:t xml:space="preserve"> </w:t>
      </w:r>
      <w:r>
        <w:t xml:space="preserve">80%</w:t>
      </w:r>
    </w:p>
    <w:p>
      <w:pPr>
        <w:numPr>
          <w:ilvl w:val="0"/>
          <w:numId w:val="1006"/>
        </w:numPr>
        <w:pStyle w:val="Compact"/>
      </w:pPr>
      <w:r>
        <w:rPr>
          <w:bCs/>
          <w:b/>
        </w:rPr>
        <w:t xml:space="preserve">Circular/Take-back Programs (jsdiuftjqw):</w:t>
      </w:r>
      <w:r>
        <w:t xml:space="preserve"> </w:t>
      </w:r>
      <w:r>
        <w:t xml:space="preserve">Yes (Product Refurbishment Program)</w:t>
      </w:r>
    </w:p>
    <w:p>
      <w:pPr>
        <w:numPr>
          <w:ilvl w:val="0"/>
          <w:numId w:val="1006"/>
        </w:numPr>
        <w:pStyle w:val="Compact"/>
      </w:pPr>
      <w:r>
        <w:rPr>
          <w:bCs/>
          <w:b/>
        </w:rPr>
        <w:t xml:space="preserve">Assumed Landfill Emission Factor (for non-recycled waste):</w:t>
      </w:r>
      <w:r>
        <w:t xml:space="preserve"> </w:t>
      </w:r>
      <w:r>
        <w:t xml:space="preserve">0.7 kgCO2e/kg (for mixed waste)</w:t>
      </w:r>
    </w:p>
    <w:p>
      <w:pPr>
        <w:numPr>
          <w:ilvl w:val="0"/>
          <w:numId w:val="1006"/>
        </w:numPr>
        <w:pStyle w:val="Compact"/>
      </w:pPr>
      <w:r>
        <w:rPr>
          <w:bCs/>
          <w:b/>
        </w:rPr>
        <w:t xml:space="preserve">Assumed Average Recycling Credit:</w:t>
      </w:r>
      <w:r>
        <w:t xml:space="preserve"> </w:t>
      </w:r>
      <w:r>
        <w:t xml:space="preserve">-0.7 kgCO2e/kg (average avoided emissions from recycling 1 kg of material)</w:t>
      </w:r>
    </w:p>
    <w:p>
      <w:r>
        <w:pict>
          <v:rect style="width:0;height:1.5pt" o:hralign="center" o:hrstd="t" o:hr="t"/>
        </w:pict>
      </w:r>
    </w:p>
    <w:bookmarkEnd w:id="35"/>
    <w:bookmarkEnd w:id="36"/>
    <w:bookmarkStart w:id="43" w:name="calculate-emissions"/>
    <w:p>
      <w:pPr>
        <w:pStyle w:val="Heading2"/>
      </w:pPr>
      <w:r>
        <w:t xml:space="preserve">4. Calculate Emissions</w:t>
      </w:r>
    </w:p>
    <w:p>
      <w:pPr>
        <w:pStyle w:val="FirstParagraph"/>
      </w:pPr>
      <w:r>
        <w:t xml:space="preserve">Emissions are calculated for each life cycle stage (Activity * Emission Factor = CO2e) and categorized according to the GHG Protocol.</w:t>
      </w:r>
    </w:p>
    <w:bookmarkStart w:id="37" w:name="X8317c4a6c47c989390d88da08ad9c789604eb9b"/>
    <w:p>
      <w:pPr>
        <w:pStyle w:val="Heading3"/>
      </w:pPr>
      <w:r>
        <w:t xml:space="preserve">4.1 Material Acquisition &amp; Pre-processing Emissions (Scope 3 - Upstream)</w:t>
      </w:r>
    </w:p>
    <w:p>
      <w:pPr>
        <w:pStyle w:val="FirstParagraph"/>
      </w:pPr>
      <w:r>
        <w:t xml:space="preserve">These emissions are directly derived from the aggregated "Total Carbon" from the Detailed Bill of Materials.</w:t>
      </w:r>
    </w:p>
    <w:p>
      <w:pPr>
        <w:numPr>
          <w:ilvl w:val="0"/>
          <w:numId w:val="1007"/>
        </w:numPr>
        <w:pStyle w:val="Compact"/>
      </w:pPr>
      <w:r>
        <w:rPr>
          <w:bCs/>
          <w:b/>
        </w:rPr>
        <w:t xml:space="preserve">Total Material Emissions:</w:t>
      </w:r>
      <w:r>
        <w:t xml:space="preserve"> </w:t>
      </w:r>
      <w:r>
        <w:t xml:space="preserve">6.41 kgCO2e</w:t>
      </w:r>
    </w:p>
    <w:bookmarkEnd w:id="37"/>
    <w:bookmarkStart w:id="38" w:name="Xe4817f3a440b88a08b6c010c22540cbb72336e8"/>
    <w:p>
      <w:pPr>
        <w:pStyle w:val="Heading3"/>
      </w:pPr>
      <w:r>
        <w:t xml:space="preserve">4.2 Manufacturing/Production Emissions (Scope 2)</w:t>
      </w:r>
    </w:p>
    <w:p>
      <w:pPr>
        <w:pStyle w:val="FirstParagraph"/>
      </w:pPr>
      <w:r>
        <w:t xml:space="preserve">The emissions from purchased electricity for manufacturing are calculated as follows:</w:t>
      </w:r>
    </w:p>
    <w:p>
      <w:pPr>
        <w:numPr>
          <w:ilvl w:val="0"/>
          <w:numId w:val="1008"/>
        </w:numPr>
        <w:pStyle w:val="Compact"/>
      </w:pPr>
      <w:r>
        <w:t xml:space="preserve">Total Electricity Required: 2.5 kWh/unit</w:t>
      </w:r>
    </w:p>
    <w:p>
      <w:pPr>
        <w:numPr>
          <w:ilvl w:val="0"/>
          <w:numId w:val="1008"/>
        </w:numPr>
        <w:pStyle w:val="Compact"/>
      </w:pPr>
      <w:r>
        <w:t xml:space="preserve">Non-renewable Electricity: 2.5 kWh/unit * (1 - 0.70 renewable usage) = 0.75 kWh/unit</w:t>
      </w:r>
    </w:p>
    <w:p>
      <w:pPr>
        <w:numPr>
          <w:ilvl w:val="0"/>
          <w:numId w:val="1008"/>
        </w:numPr>
        <w:pStyle w:val="Compact"/>
      </w:pPr>
      <w:r>
        <w:t xml:space="preserve">Production Emissions: 0.75 kWh/unit * 0.57 kgCO2e/kWh (China Grid EF) =</w:t>
      </w:r>
      <w:r>
        <w:t xml:space="preserve"> </w:t>
      </w:r>
      <w:r>
        <w:rPr>
          <w:bCs/>
          <w:b/>
        </w:rPr>
        <w:t xml:space="preserve">0.4275 kgCO2e</w:t>
      </w:r>
    </w:p>
    <w:bookmarkEnd w:id="38"/>
    <w:bookmarkStart w:id="39" w:name="Xf958b6a71d9063969b177739e110b150f56b338"/>
    <w:p>
      <w:pPr>
        <w:pStyle w:val="Heading3"/>
      </w:pPr>
      <w:r>
        <w:t xml:space="preserve">4.3 Transport and Distribution Emissions (Scope 3 - Upstream &amp; Downstream)</w:t>
      </w:r>
    </w:p>
    <w:p>
      <w:pPr>
        <w:pStyle w:val="FirstParagraph"/>
      </w:pPr>
      <w:r>
        <w:t xml:space="preserve">This includes the transport of finished goods from the factory to the market.</w:t>
      </w:r>
    </w:p>
    <w:p>
      <w:pPr>
        <w:numPr>
          <w:ilvl w:val="0"/>
          <w:numId w:val="1009"/>
        </w:numPr>
        <w:pStyle w:val="Compact"/>
      </w:pPr>
      <w:r>
        <w:rPr>
          <w:bCs/>
          <w:b/>
        </w:rPr>
        <w:t xml:space="preserve">Sea Freight (China to Europe):</w:t>
      </w:r>
    </w:p>
    <w:p>
      <w:pPr>
        <w:numPr>
          <w:ilvl w:val="0"/>
          <w:numId w:val="1009"/>
        </w:numPr>
        <w:pStyle w:val="Compact"/>
      </w:pPr>
    </w:p>
    <w:p>
      <w:pPr>
        <w:numPr>
          <w:ilvl w:val="1"/>
          <w:numId w:val="1010"/>
        </w:numPr>
        <w:pStyle w:val="Compact"/>
      </w:pPr>
      <w:r>
        <w:t xml:space="preserve">Weight: 1.07 kg = 0.00107 tonnes</w:t>
      </w:r>
    </w:p>
    <w:p>
      <w:pPr>
        <w:numPr>
          <w:ilvl w:val="1"/>
          <w:numId w:val="1010"/>
        </w:numPr>
        <w:pStyle w:val="Compact"/>
      </w:pPr>
      <w:r>
        <w:t xml:space="preserve">Distance: 10,000 km</w:t>
      </w:r>
    </w:p>
    <w:p>
      <w:pPr>
        <w:numPr>
          <w:ilvl w:val="1"/>
          <w:numId w:val="1010"/>
        </w:numPr>
        <w:pStyle w:val="Compact"/>
      </w:pPr>
      <w:r>
        <w:t xml:space="preserve">Emissions: 0.00107 tonnes * 10,000 km * 0.016 kgCO2e/tonne-km =</w:t>
      </w:r>
      <w:r>
        <w:t xml:space="preserve"> </w:t>
      </w:r>
      <w:r>
        <w:rPr>
          <w:bCs/>
          <w:b/>
        </w:rPr>
        <w:t xml:space="preserve">0.1712 kgCO2e</w:t>
      </w:r>
    </w:p>
    <w:p>
      <w:pPr>
        <w:numPr>
          <w:ilvl w:val="0"/>
          <w:numId w:val="1009"/>
        </w:numPr>
        <w:pStyle w:val="Compact"/>
      </w:pPr>
      <w:r>
        <w:rPr>
          <w:bCs/>
          <w:b/>
        </w:rPr>
        <w:t xml:space="preserve">Last-Mile Delivery (Road - Diesel Van):</w:t>
      </w:r>
    </w:p>
    <w:p>
      <w:pPr>
        <w:numPr>
          <w:ilvl w:val="0"/>
          <w:numId w:val="1009"/>
        </w:numPr>
        <w:pStyle w:val="Compact"/>
      </w:pPr>
    </w:p>
    <w:p>
      <w:pPr>
        <w:numPr>
          <w:ilvl w:val="1"/>
          <w:numId w:val="1011"/>
        </w:numPr>
        <w:pStyle w:val="Compact"/>
      </w:pPr>
      <w:r>
        <w:t xml:space="preserve">Weight: 1.07 kg = 0.00107 tonnes</w:t>
      </w:r>
    </w:p>
    <w:p>
      <w:pPr>
        <w:numPr>
          <w:ilvl w:val="1"/>
          <w:numId w:val="1011"/>
        </w:numPr>
        <w:pStyle w:val="Compact"/>
      </w:pPr>
      <w:r>
        <w:t xml:space="preserve">Distance: 50 km (illustrative)</w:t>
      </w:r>
    </w:p>
    <w:p>
      <w:pPr>
        <w:numPr>
          <w:ilvl w:val="1"/>
          <w:numId w:val="1011"/>
        </w:numPr>
        <w:pStyle w:val="Compact"/>
      </w:pPr>
      <w:r>
        <w:t xml:space="preserve">Emissions: 0.00107 tonnes * 50 km * 0.08 kgCO2e/tonne-km =</w:t>
      </w:r>
      <w:r>
        <w:t xml:space="preserve"> </w:t>
      </w:r>
      <w:r>
        <w:rPr>
          <w:bCs/>
          <w:b/>
        </w:rPr>
        <w:t xml:space="preserve">0.00428 kgCO2e</w:t>
      </w:r>
    </w:p>
    <w:p>
      <w:pPr>
        <w:numPr>
          <w:ilvl w:val="0"/>
          <w:numId w:val="1009"/>
        </w:numPr>
        <w:pStyle w:val="Compact"/>
      </w:pPr>
      <w:r>
        <w:rPr>
          <w:bCs/>
          <w:b/>
        </w:rPr>
        <w:t xml:space="preserve">Total Transport Emissions:</w:t>
      </w:r>
      <w:r>
        <w:t xml:space="preserve"> </w:t>
      </w:r>
      <w:r>
        <w:t xml:space="preserve">0.1712 + 0.00428 =</w:t>
      </w:r>
      <w:r>
        <w:t xml:space="preserve"> </w:t>
      </w:r>
      <w:r>
        <w:rPr>
          <w:bCs/>
          <w:b/>
        </w:rPr>
        <w:t xml:space="preserve">0.17548 kgCO2e</w:t>
      </w:r>
    </w:p>
    <w:bookmarkEnd w:id="39"/>
    <w:bookmarkStart w:id="40" w:name="use-phase-emissions-scope-3---downstream"/>
    <w:p>
      <w:pPr>
        <w:pStyle w:val="Heading3"/>
      </w:pPr>
      <w:r>
        <w:t xml:space="preserve">4.4 Use Phase Emissions (Scope 3 - Downstream)</w:t>
      </w:r>
    </w:p>
    <w:p>
      <w:pPr>
        <w:pStyle w:val="FirstParagraph"/>
      </w:pPr>
      <w:r>
        <w:t xml:space="preserve">Emissions from electricity consumption over the product\'s lifespan:</w:t>
      </w:r>
    </w:p>
    <w:p>
      <w:pPr>
        <w:numPr>
          <w:ilvl w:val="0"/>
          <w:numId w:val="1012"/>
        </w:numPr>
        <w:pStyle w:val="Compact"/>
      </w:pPr>
      <w:r>
        <w:t xml:space="preserve">Total Energy Consumption: 10 kWh/year * 5 years = 50 kWh</w:t>
      </w:r>
    </w:p>
    <w:p>
      <w:pPr>
        <w:numPr>
          <w:ilvl w:val="0"/>
          <w:numId w:val="1012"/>
        </w:numPr>
        <w:pStyle w:val="Compact"/>
      </w:pPr>
      <w:r>
        <w:t xml:space="preserve">Use Phase Emissions: 50 kWh * 0.238 kgCO2e/kWh (Europe Grid EF) =</w:t>
      </w:r>
      <w:r>
        <w:t xml:space="preserve"> </w:t>
      </w:r>
      <w:r>
        <w:rPr>
          <w:bCs/>
          <w:b/>
        </w:rPr>
        <w:t xml:space="preserve">11.90 kgCO2e</w:t>
      </w:r>
    </w:p>
    <w:bookmarkEnd w:id="40"/>
    <w:bookmarkStart w:id="41" w:name="Xf8938d954e6949f850869e6ad5cc774cef21610"/>
    <w:p>
      <w:pPr>
        <w:pStyle w:val="Heading3"/>
      </w:pPr>
      <w:r>
        <w:t xml:space="preserve">4.5 End-of-Life (EoL) Emissions and Credits (Scope 3 - Downstream)</w:t>
      </w:r>
    </w:p>
    <w:p>
      <w:pPr>
        <w:pStyle w:val="FirstParagraph"/>
      </w:pPr>
      <w:r>
        <w:t xml:space="preserve">EoL scenarios account for both emissions from disposal and credits from recycling.</w:t>
      </w:r>
    </w:p>
    <w:p>
      <w:pPr>
        <w:numPr>
          <w:ilvl w:val="0"/>
          <w:numId w:val="1013"/>
        </w:numPr>
        <w:pStyle w:val="Compact"/>
      </w:pPr>
      <w:r>
        <w:rPr>
          <w:bCs/>
          <w:b/>
        </w:rPr>
        <w:t xml:space="preserve">Waste to Landfill:</w:t>
      </w:r>
    </w:p>
    <w:p>
      <w:pPr>
        <w:numPr>
          <w:ilvl w:val="0"/>
          <w:numId w:val="1013"/>
        </w:numPr>
        <w:pStyle w:val="Compact"/>
      </w:pPr>
    </w:p>
    <w:p>
      <w:pPr>
        <w:numPr>
          <w:ilvl w:val="1"/>
          <w:numId w:val="1014"/>
        </w:numPr>
        <w:pStyle w:val="Compact"/>
      </w:pPr>
      <w:r>
        <w:t xml:space="preserve">Non-recycled portion: 1.07 kg * (1 - 0.80 recyclability) = 0.214 kg</w:t>
      </w:r>
    </w:p>
    <w:p>
      <w:pPr>
        <w:numPr>
          <w:ilvl w:val="1"/>
          <w:numId w:val="1014"/>
        </w:numPr>
        <w:pStyle w:val="Compact"/>
      </w:pPr>
      <w:r>
        <w:t xml:space="preserve">Emissions: 0.214 kg * 0.7 kgCO2e/kg (Landfill EF) =</w:t>
      </w:r>
      <w:r>
        <w:t xml:space="preserve"> </w:t>
      </w:r>
      <w:r>
        <w:rPr>
          <w:bCs/>
          <w:b/>
        </w:rPr>
        <w:t xml:space="preserve">0.1498 kgCO2e</w:t>
      </w:r>
    </w:p>
    <w:p>
      <w:pPr>
        <w:numPr>
          <w:ilvl w:val="0"/>
          <w:numId w:val="1013"/>
        </w:numPr>
        <w:pStyle w:val="Compact"/>
      </w:pPr>
      <w:r>
        <w:rPr>
          <w:bCs/>
          <w:b/>
        </w:rPr>
        <w:t xml:space="preserve">Recycling Credits:</w:t>
      </w:r>
    </w:p>
    <w:p>
      <w:pPr>
        <w:numPr>
          <w:ilvl w:val="0"/>
          <w:numId w:val="1013"/>
        </w:numPr>
        <w:pStyle w:val="Compact"/>
      </w:pPr>
    </w:p>
    <w:p>
      <w:pPr>
        <w:numPr>
          <w:ilvl w:val="1"/>
          <w:numId w:val="1015"/>
        </w:numPr>
        <w:pStyle w:val="Compact"/>
      </w:pPr>
      <w:r>
        <w:t xml:space="preserve">Recycled portion: 1.07 kg * 0.80 recyclability = 0.856 kg</w:t>
      </w:r>
    </w:p>
    <w:p>
      <w:pPr>
        <w:numPr>
          <w:ilvl w:val="1"/>
          <w:numId w:val="1015"/>
        </w:numPr>
        <w:pStyle w:val="Compact"/>
      </w:pPr>
      <w:r>
        <w:t xml:space="preserve">Credits: 0.856 kg * (-0.7 kgCO2e/kg average recycling credit) =</w:t>
      </w:r>
      <w:r>
        <w:t xml:space="preserve"> </w:t>
      </w:r>
      <w:r>
        <w:rPr>
          <w:bCs/>
          <w:b/>
        </w:rPr>
        <w:t xml:space="preserve">-0.5992 kgCO2e</w:t>
      </w:r>
    </w:p>
    <w:p>
      <w:pPr>
        <w:numPr>
          <w:ilvl w:val="0"/>
          <w:numId w:val="1013"/>
        </w:numPr>
        <w:pStyle w:val="Compact"/>
      </w:pPr>
      <w:r>
        <w:rPr>
          <w:bCs/>
          <w:b/>
        </w:rPr>
        <w:t xml:space="preserve">Net End-of-Life Emissions:</w:t>
      </w:r>
      <w:r>
        <w:t xml:space="preserve"> </w:t>
      </w:r>
      <w:r>
        <w:t xml:space="preserve">0.1498 - 0.5992 =</w:t>
      </w:r>
      <w:r>
        <w:t xml:space="preserve"> </w:t>
      </w:r>
      <w:r>
        <w:rPr>
          <w:bCs/>
          <w:b/>
        </w:rPr>
        <w:t xml:space="preserve">-0.4494 kgCO2e</w:t>
      </w:r>
      <w:r>
        <w:t xml:space="preserve"> </w:t>
      </w:r>
      <w:r>
        <w:t xml:space="preserve">(a net carbon credit due to high recyclability and effective programs).</w:t>
      </w:r>
    </w:p>
    <w:bookmarkEnd w:id="41"/>
    <w:bookmarkStart w:id="42" w:name="X22cf9f224551e22ea0006f7bfb4630621d6eea2"/>
    <w:p>
      <w:pPr>
        <w:pStyle w:val="Heading3"/>
      </w:pPr>
      <w:r>
        <w:t xml:space="preserve">4.6 Total Product Carbon Footprint (PCF) Calculation</w:t>
      </w:r>
    </w:p>
    <w:p>
      <w:pPr>
        <w:pStyle w:val="FirstParagraph"/>
      </w:pPr>
      <w:r>
        <w:t xml:space="preserve">Summarizing the emissions across all life 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6.410</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0.428</w:t>
            </w:r>
          </w:p>
        </w:tc>
      </w:tr>
      <w:tr>
        <w:tc>
          <w:tcPr/>
          <w:p>
            <w:pPr>
              <w:pStyle w:val="Compact"/>
              <w:jc w:val="left"/>
            </w:pPr>
            <w:r>
              <w:t xml:space="preserve">Transport &amp; Distribution</w:t>
            </w:r>
          </w:p>
        </w:tc>
        <w:tc>
          <w:tcPr/>
          <w:p>
            <w:pPr>
              <w:pStyle w:val="Compact"/>
              <w:jc w:val="left"/>
            </w:pPr>
            <w:r>
              <w:t xml:space="preserve">Scope 3 (Categories 4 &amp; 9)</w:t>
            </w:r>
          </w:p>
        </w:tc>
        <w:tc>
          <w:tcPr/>
          <w:p>
            <w:pPr>
              <w:pStyle w:val="Compact"/>
              <w:jc w:val="left"/>
            </w:pPr>
            <w:r>
              <w:t xml:space="preserve">0.175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11.900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-0.449</w:t>
            </w:r>
          </w:p>
        </w:tc>
      </w:tr>
      <w:tr>
        <w:tc>
          <w:tcPr>
            <w:gridSpan w:val="2"/>
          </w:tcPr>
          <w:p>
            <w:pPr>
              <w:pStyle w:val="Compact"/>
              <w:jc w:val="right"/>
            </w:pPr>
            <w:r>
              <w:t xml:space="preserve">TOTAL PRODUCT CARBON FOOTPRINT (kgCO2e)</w:t>
            </w:r>
          </w:p>
        </w:tc>
        <w:tc>
          <w:tcPr/>
          <w:p>
            <w:pPr>
              <w:pStyle w:val="Compact"/>
              <w:jc w:val="left"/>
            </w:pPr>
            <w:r>
              <w:t xml:space="preserve">18.464</w:t>
            </w:r>
          </w:p>
        </w:tc>
      </w:tr>
    </w:tbl>
    <w:p>
      <w:pPr>
        <w:pStyle w:val="BodyText"/>
      </w:pPr>
      <w:r>
        <w:rPr>
          <w:bCs/>
          <w:b/>
        </w:rPr>
        <w:t xml:space="preserve">Total Product Carbon Footprint for 1.0 unit of qeimdmvdqz: 18.464 kgCO2e</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Based on the calculations, the primary emission hotspots for qeimdmvdqz are:</w:t>
      </w:r>
    </w:p>
    <w:p>
      <w:pPr>
        <w:numPr>
          <w:ilvl w:val="0"/>
          <w:numId w:val="1016"/>
        </w:numPr>
        <w:pStyle w:val="Compact"/>
      </w:pPr>
      <w:r>
        <w:rPr>
          <w:bCs/>
          <w:b/>
        </w:rPr>
        <w:t xml:space="preserve">Use Phase (11.900 kgCO2e):</w:t>
      </w:r>
      <w:r>
        <w:t xml:space="preserve"> </w:t>
      </w:r>
      <w:r>
        <w:t xml:space="preserve">This is the most significant contributor, accounting for approximately 64% of the total PCF. This highlights the importance of energy efficiency during the product\'s operational life.</w:t>
      </w:r>
    </w:p>
    <w:p>
      <w:pPr>
        <w:numPr>
          <w:ilvl w:val="0"/>
          <w:numId w:val="1016"/>
        </w:numPr>
        <w:pStyle w:val="Compact"/>
      </w:pPr>
      <w:r>
        <w:rPr>
          <w:bCs/>
          <w:b/>
        </w:rPr>
        <w:t xml:space="preserve">Raw Material Acquisition &amp; Pre-processing (6.410 kgCO2e):</w:t>
      </w:r>
      <w:r>
        <w:t xml:space="preserve"> </w:t>
      </w:r>
      <w:r>
        <w:t xml:space="preserve">Materials contribute significantly, especially components like the Lithium-ion Battery and Aluminum Casing. This represents about 35% of the total PCF.</w:t>
      </w:r>
    </w:p>
    <w:p>
      <w:pPr>
        <w:numPr>
          <w:ilvl w:val="0"/>
          <w:numId w:val="1016"/>
        </w:numPr>
        <w:pStyle w:val="Compact"/>
      </w:pPr>
      <w:r>
        <w:rPr>
          <w:bCs/>
          <w:b/>
        </w:rPr>
        <w:t xml:space="preserve">Manufacturing (0.428 kgCO2e):</w:t>
      </w:r>
      <w:r>
        <w:t xml:space="preserve"> </w:t>
      </w:r>
      <w:r>
        <w:t xml:space="preserve">While notable, this stage is relatively smaller due to the 70% renewable energy usage.</w:t>
      </w:r>
    </w:p>
    <w:p>
      <w:pPr>
        <w:numPr>
          <w:ilvl w:val="0"/>
          <w:numId w:val="1016"/>
        </w:numPr>
        <w:pStyle w:val="Compact"/>
      </w:pPr>
      <w:r>
        <w:rPr>
          <w:bCs/>
          <w:b/>
        </w:rPr>
        <w:t xml:space="preserve">Transport &amp; Distribution (0.175 kgCO2e):</w:t>
      </w:r>
      <w:r>
        <w:t xml:space="preserve"> </w:t>
      </w:r>
      <w:r>
        <w:t xml:space="preserve">This stage has a minor impact in comparison to the use phase and materials.</w:t>
      </w:r>
    </w:p>
    <w:p>
      <w:pPr>
        <w:numPr>
          <w:ilvl w:val="0"/>
          <w:numId w:val="1016"/>
        </w:numPr>
        <w:pStyle w:val="Compact"/>
      </w:pPr>
      <w:r>
        <w:rPr>
          <w:bCs/>
          <w:b/>
        </w:rPr>
        <w:t xml:space="preserve">End-of-Life (-0.449 kgCO2e):</w:t>
      </w:r>
      <w:r>
        <w:t xml:space="preserve"> </w:t>
      </w:r>
      <w:r>
        <w:t xml:space="preserve">Due to high recyclability and circular programs, this stage results in a net carbon credit, demonstrating the positive impact of circular economy strategies.</w:t>
      </w:r>
    </w:p>
    <w:bookmarkEnd w:id="44"/>
    <w:bookmarkStart w:id="45" w:name="reliability"/>
    <w:p>
      <w:pPr>
        <w:pStyle w:val="Heading3"/>
      </w:pPr>
      <w:r>
        <w:t xml:space="preserve">5.2 Reliability</w:t>
      </w:r>
    </w:p>
    <w:p>
      <w:pPr>
        <w:pStyle w:val="FirstParagraph"/>
      </w:pPr>
      <w:r>
        <w:t xml:space="preserve">The reliability of this assessment is highly dependent on the accuracy and completeness of the input data. Using specific BOM data and customized energy and logistics parameters enhances accuracy. However, reliance on assumed industry average emission factors (e.g., for grid electricity, transport, and EoL processes) introduces a degree of uncertainty. The values for placeholders were chosen to be illustrative and representative of typical scenarios for demonstrating the calculation methodology. For future reports, obtaining primary data for all life cycle stages and region-specific emission factors would further improve precision.</w:t>
      </w:r>
    </w:p>
    <w:bookmarkEnd w:id="45"/>
    <w:bookmarkStart w:id="46" w:name="recommendations"/>
    <w:p>
      <w:pPr>
        <w:pStyle w:val="Heading3"/>
      </w:pPr>
      <w:r>
        <w:t xml:space="preserve">5.3 Recommendations</w:t>
      </w:r>
    </w:p>
    <w:p>
      <w:pPr>
        <w:numPr>
          <w:ilvl w:val="0"/>
          <w:numId w:val="1017"/>
        </w:numPr>
        <w:pStyle w:val="Compact"/>
      </w:pPr>
      <w:r>
        <w:rPr>
          <w:bCs/>
          <w:b/>
        </w:rPr>
        <w:t xml:space="preserve">Optimize Use Phase Energy Efficiency:</w:t>
      </w:r>
      <w:r>
        <w:t xml:space="preserve"> </w:t>
      </w:r>
      <w:r>
        <w:t xml:space="preserve">Focus on reducing the product\'s energy consumption during its 5-year lifespan. This could involve exploring more energy-efficient components or operational modes.</w:t>
      </w:r>
    </w:p>
    <w:p>
      <w:pPr>
        <w:numPr>
          <w:ilvl w:val="0"/>
          <w:numId w:val="1017"/>
        </w:numPr>
        <w:pStyle w:val="Compact"/>
      </w:pPr>
      <w:r>
        <w:rPr>
          <w:bCs/>
          <w:b/>
        </w:rPr>
        <w:t xml:space="preserve">Sustainable Material Sourcing:</w:t>
      </w:r>
      <w:r>
        <w:t xml:space="preserve"> </w:t>
      </w:r>
      <w:r>
        <w:t xml:space="preserve">Investigate opportunities for sourcing lower-carbon alternatives for high-impact materials, particularly the Lithium-ion battery and aluminum. Consider recycled content or materials with lower embodied carbon.</w:t>
      </w:r>
    </w:p>
    <w:p>
      <w:pPr>
        <w:numPr>
          <w:ilvl w:val="0"/>
          <w:numId w:val="1017"/>
        </w:numPr>
        <w:pStyle w:val="Compact"/>
      </w:pPr>
      <w:r>
        <w:rPr>
          <w:bCs/>
          <w:b/>
        </w:rPr>
        <w:t xml:space="preserve">Enhance Renewable Energy in Manufacturing:</w:t>
      </w:r>
      <w:r>
        <w:t xml:space="preserve"> </w:t>
      </w:r>
      <w:r>
        <w:t xml:space="preserve">While already at 70%, further increasing renewable energy usage at the China production facility would reduce Scope 2 emissions.</w:t>
      </w:r>
    </w:p>
    <w:p>
      <w:pPr>
        <w:numPr>
          <w:ilvl w:val="0"/>
          <w:numId w:val="1017"/>
        </w:numPr>
        <w:pStyle w:val="Compact"/>
      </w:pPr>
      <w:r>
        <w:rPr>
          <w:bCs/>
          <w:b/>
        </w:rPr>
        <w:t xml:space="preserve">Strengthen Circular Economy Initiatives:</w:t>
      </w:r>
      <w:r>
        <w:t xml:space="preserve"> </w:t>
      </w:r>
      <w:r>
        <w:t xml:space="preserve">The existing Product Refurbishment Program and high recyclability are significant strengths. Explore expanding these programs or improving collection and processing efficiencies to maximize end-of-life benefits.</w:t>
      </w:r>
    </w:p>
    <w:p>
      <w:r>
        <w:pict>
          <v:rect style="width:0;height:1.5pt" o:hralign="center" o:hrstd="t" o:hr="t"/>
        </w:pict>
      </w:r>
    </w:p>
    <w:bookmarkEnd w:id="46"/>
    <w:bookmarkEnd w:id="47"/>
    <w:bookmarkStart w:id="50" w:name="ghg-protocol-scope-breakdown"/>
    <w:p>
      <w:pPr>
        <w:pStyle w:val="Heading2"/>
      </w:pPr>
      <w:r>
        <w:t xml:space="preserve">GHG Protocol Scope Breakdown</w:t>
      </w:r>
    </w:p>
    <w:p>
      <w:pPr>
        <w:pStyle w:val="FirstParagraph"/>
      </w:pPr>
      <w:r>
        <w:t xml:space="preserve">This report adheres to the GHG Protocol and breaks down emissions into the relevant scopes:</w:t>
      </w:r>
    </w:p>
    <w:p>
      <w:pPr>
        <w:numPr>
          <w:ilvl w:val="0"/>
          <w:numId w:val="1018"/>
        </w:numPr>
        <w:pStyle w:val="Compact"/>
      </w:pPr>
      <w:r>
        <w:rPr>
          <w:bCs/>
          <w:b/>
        </w:rPr>
        <w:t xml:space="preserve">Scope 1 Emissions:</w:t>
      </w:r>
      <w:r>
        <w:t xml:space="preserve"> </w:t>
      </w:r>
      <w:r>
        <w:t xml:space="preserve">Direct emissions from owned or controlled sources. (Assumed negligible for this product\'s manufacturing based on parameters provided).</w:t>
      </w:r>
    </w:p>
    <w:p>
      <w:pPr>
        <w:numPr>
          <w:ilvl w:val="0"/>
          <w:numId w:val="1018"/>
        </w:numPr>
        <w:pStyle w:val="Compact"/>
      </w:pPr>
      <w:r>
        <w:rPr>
          <w:bCs/>
          <w:b/>
        </w:rPr>
        <w:t xml:space="preserve">Scope 2 Emissions:</w:t>
      </w:r>
      <w:r>
        <w:t xml:space="preserve"> </w:t>
      </w:r>
      <w:r>
        <w:t xml:space="preserve">Indirect emissions from the generation of purchased energy.</w:t>
      </w:r>
    </w:p>
    <w:p>
      <w:pPr>
        <w:numPr>
          <w:ilvl w:val="1"/>
          <w:numId w:val="1019"/>
        </w:numPr>
        <w:pStyle w:val="Compact"/>
      </w:pPr>
      <w:r>
        <w:t xml:space="preserve">Manufacturing/Production (from purchased electricity):</w:t>
      </w:r>
      <w:r>
        <w:t xml:space="preserve"> </w:t>
      </w:r>
      <w:r>
        <w:rPr>
          <w:bCs/>
          <w:b/>
        </w:rPr>
        <w:t xml:space="preserve">0.428 kgCO2e</w:t>
      </w:r>
    </w:p>
    <w:p>
      <w:pPr>
        <w:numPr>
          <w:ilvl w:val="0"/>
          <w:numId w:val="1018"/>
        </w:numPr>
        <w:pStyle w:val="Compact"/>
      </w:pPr>
      <w:r>
        <w:rPr>
          <w:bCs/>
          <w:b/>
        </w:rPr>
        <w:t xml:space="preserve">Scope 3 Emissions:</w:t>
      </w:r>
      <w:r>
        <w:t xml:space="preserve"> </w:t>
      </w:r>
      <w:r>
        <w:t xml:space="preserve">All other indirect emissions that occur in the value chain.</w:t>
      </w:r>
    </w:p>
    <w:p>
      <w:pPr>
        <w:numPr>
          <w:ilvl w:val="1"/>
          <w:numId w:val="1020"/>
        </w:numPr>
        <w:pStyle w:val="Compact"/>
      </w:pPr>
      <w:r>
        <w:t xml:space="preserve">Category 1 (Purchased Goods and Services - Materials):</w:t>
      </w:r>
      <w:r>
        <w:t xml:space="preserve"> </w:t>
      </w:r>
      <w:r>
        <w:rPr>
          <w:bCs/>
          <w:b/>
        </w:rPr>
        <w:t xml:space="preserve">6.410 kgCO2e</w:t>
      </w:r>
    </w:p>
    <w:p>
      <w:pPr>
        <w:numPr>
          <w:ilvl w:val="1"/>
          <w:numId w:val="1020"/>
        </w:numPr>
        <w:pStyle w:val="Compact"/>
      </w:pPr>
      <w:r>
        <w:t xml:space="preserve">Category 4 (Upstream Transportation and Distribution - included in material EFs)</w:t>
      </w:r>
    </w:p>
    <w:p>
      <w:pPr>
        <w:numPr>
          <w:ilvl w:val="1"/>
          <w:numId w:val="1020"/>
        </w:numPr>
        <w:pStyle w:val="Compact"/>
      </w:pPr>
      <w:r>
        <w:t xml:space="preserve">Category 9 (Downstream Transportation and Distribution):</w:t>
      </w:r>
      <w:r>
        <w:t xml:space="preserve"> </w:t>
      </w:r>
      <w:r>
        <w:rPr>
          <w:bCs/>
          <w:b/>
        </w:rPr>
        <w:t xml:space="preserve">0.175 kgCO2e</w:t>
      </w:r>
    </w:p>
    <w:p>
      <w:pPr>
        <w:numPr>
          <w:ilvl w:val="1"/>
          <w:numId w:val="1020"/>
        </w:numPr>
        <w:pStyle w:val="Compact"/>
      </w:pPr>
      <w:r>
        <w:t xml:space="preserve">Category 11 (Use of Sold Products):</w:t>
      </w:r>
      <w:r>
        <w:t xml:space="preserve"> </w:t>
      </w:r>
      <w:r>
        <w:rPr>
          <w:bCs/>
          <w:b/>
        </w:rPr>
        <w:t xml:space="preserve">11.900 kgCO2e</w:t>
      </w:r>
    </w:p>
    <w:p>
      <w:pPr>
        <w:numPr>
          <w:ilvl w:val="1"/>
          <w:numId w:val="1020"/>
        </w:numPr>
        <w:pStyle w:val="Compact"/>
      </w:pPr>
      <w:r>
        <w:t xml:space="preserve">Category 12 (End-of-Life Treatment of Sold Products):</w:t>
      </w:r>
      <w:r>
        <w:t xml:space="preserve"> </w:t>
      </w:r>
      <w:r>
        <w:rPr>
          <w:bCs/>
          <w:b/>
        </w:rPr>
        <w:t xml:space="preserve">-0.449 kgCO2e</w:t>
      </w:r>
    </w:p>
    <w:p>
      <w:pPr>
        <w:numPr>
          <w:ilvl w:val="1"/>
          <w:numId w:val="1020"/>
        </w:numPr>
        <w:pStyle w:val="Compact"/>
      </w:pPr>
      <w:r>
        <w:rPr>
          <w:bCs/>
          <w:b/>
        </w:rPr>
        <w:t xml:space="preserve">Total Scope 3 Emissions: 18.036 kgCO2e</w:t>
      </w:r>
    </w:p>
    <w:p>
      <w:pPr>
        <w:pStyle w:val="FirstParagraph"/>
      </w:pPr>
      <w:r>
        <w:t xml:space="preserve">The Scope 3 coverage of approximately 97.7% (18.036 / 18.464) meets the 2026 requirement of at least 95%.</w:t>
      </w:r>
    </w:p>
    <w:bookmarkStart w:id="49" w:name="X48bbc908376c5cb3c93ffb010e9e261312ba169"/>
    <w:p>
      <w:pPr>
        <w:pStyle w:val="Heading3"/>
      </w:pPr>
      <w:r>
        <w:t xml:space="preserve">2026 Land Sector and Removals (LSR) Update Consideration</w:t>
      </w:r>
    </w:p>
    <w:p>
      <w:pPr>
        <w:pStyle w:val="FirstParagraph"/>
      </w:pPr>
      <w:r>
        <w:t xml:space="preserve">The principles of the GHG Protocol Land Sector and Removals (LSR) Standard are conceptually applied. The LSR Standard was released on January 30, 2026, and is effective from January 1, 2027, providing specific requirements for accounting for land sector emissions and carbon removals. While specific land-use change data was not provided for raw materials or manufacturing processes, the standard\'s focus on transparently accounting for carbon removals and emissions from land use activities would be integrated if such data became available. This would include assessing impacts from biomass-derived materials or any land conversion associated with the supply chain.</w:t>
      </w:r>
    </w:p>
    <w:p>
      <w:pPr>
        <w:pStyle w:val="BodyText"/>
      </w:pPr>
      <w:r>
        <w:t xml:space="preserve">Confidential - Internal Use Only | Page</w:t>
      </w:r>
      <w:r>
        <w:t xml:space="preserve"> </w:t>
      </w:r>
      <w:bookmarkStart w:id="48" w:name="page-num"/>
      <w:bookmarkEnd w:id="48"/>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qeimdmvdqz</dc:title>
  <dc:creator/>
  <dc:description>Detailed Product Carbon Footprint (PCF) analysis report for qeimdmvdqz, adhering to GHG Protocol standards and 2026 LSR updates. Prepared by pdzqkuykgn for dfeevgersm.</dc:description>
  <cp:keywords/>
  <dcterms:created xsi:type="dcterms:W3CDTF">2026-07-15T05:46:42Z</dcterms:created>
  <dcterms:modified xsi:type="dcterms:W3CDTF">2026-07-15T05:46:42Z</dcterms:modified>
</cp:coreProperties>
</file>

<file path=docProps/custom.xml><?xml version="1.0" encoding="utf-8"?>
<Properties xmlns="http://schemas.openxmlformats.org/officeDocument/2006/custom-properties" xmlns:vt="http://schemas.openxmlformats.org/officeDocument/2006/docPropsVTypes"/>
</file>