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pgemizqedo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Name: pgemizqedo</w:t>
      </w:r>
    </w:p>
    <w:p>
      <w:pPr>
        <w:pStyle w:val="BodyText"/>
      </w:pPr>
      <w:r>
        <w:t xml:space="preserve">Company Name: jxjgukylhx</w:t>
      </w:r>
    </w:p>
    <w:p>
      <w:pPr>
        <w:pStyle w:val="BodyText"/>
      </w:pPr>
      <w:r>
        <w:t xml:space="preserve">Protocol Data (Accounting Standard): GHG Protocol</w:t>
      </w:r>
    </w:p>
    <w:p>
      <w:pPr>
        <w:pStyle w:val="BodyText"/>
      </w:pPr>
      <w:r>
        <w:t xml:space="preserve">Senior Sustainability Consultant: xmwtnmeeij</w:t>
      </w:r>
    </w:p>
    <w:p>
      <w:pPr>
        <w:pStyle w:val="BodyText"/>
      </w:pPr>
      <w:r>
        <w:t xml:space="preserve">This report is generated based on available data and industry standards, supplemented by illustrative assumptions for unspecified parameters. The accuracy is dependent on the completeness and precision of the input data provided.</w:t>
      </w:r>
    </w:p>
    <w:bookmarkEnd w:id="20"/>
    <w:bookmarkStart w:id="21" w:name="Xa87d010c1fd868336511b306fbd202996615f12"/>
    <w:p>
      <w:pPr>
        <w:pStyle w:val="Heading1"/>
      </w:pPr>
      <w:r>
        <w:t xml:space="preserve">Product Carbon Footprint Analysis Report</w:t>
      </w:r>
    </w:p>
    <w:p>
      <w:pPr>
        <w:pStyle w:val="FirstParagraph"/>
      </w:pPr>
      <w:r>
        <w:t xml:space="preserve">For pgemizqedo</w:t>
      </w:r>
    </w:p>
    <w:p>
      <w:pPr>
        <w:pStyle w:val="BodyText"/>
      </w:pPr>
      <w:r>
        <w:t xml:space="preserve">Generated Date: June 02,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pgemizqedo, manufactured by jxjgukylhx. Conducted by Senior Sustainability Consultant xmwtnmeeij, this analysis adheres to the GHG Protocol, including provisions for the 2026 Land Sector and Removals (LSR) Standard and targets at least 95% Scope 3 coverage. The assessment covers the entire product lifecycle from raw material acquisition to end-of-life, providing a comprehensive understanding of its environmental impact in terms of greenhouse gas emissions (CO2e) per functional unit of 1.0 unit. The total Product Carbon Footprint for pgemizqedo is calculated to be 141.504 kgCO2e per functional unit.</w:t>
      </w:r>
    </w:p>
    <w:p>
      <w:r>
        <w:pict>
          <v:rect style="width:0;height:1.5pt" o:hralign="center" o:hrstd="t" o:hr="t"/>
        </w:pict>
      </w:r>
    </w:p>
    <w:bookmarkEnd w:id="22"/>
    <w:bookmarkStart w:id="31" w:name="methodology"/>
    <w:p>
      <w:pPr>
        <w:pStyle w:val="Heading2"/>
      </w:pPr>
      <w:r>
        <w:t xml:space="preserve">1. Methodology</w:t>
      </w:r>
    </w:p>
    <w:p>
      <w:pPr>
        <w:pStyle w:val="FirstParagraph"/>
      </w:pPr>
      <w:r>
        <w:t xml:space="preserve">The Product Carbon Footprint (PCF) analysis for pgemizqedo follows a structured, five-step methodology in accordance with the GHG Protocol, ensuring a robust and transparent assessment of greenhouse gas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reference flow for this study is 1.0 unit of pgemizqedo.</w:t>
      </w:r>
    </w:p>
    <w:p>
      <w:pPr>
        <w:numPr>
          <w:ilvl w:val="0"/>
          <w:numId w:val="1001"/>
        </w:numPr>
        <w:pStyle w:val="Compact"/>
      </w:pPr>
      <w:r>
        <w:rPr>
          <w:bCs/>
          <w:b/>
        </w:rPr>
        <w:t xml:space="preserve">System Boundary:</w:t>
      </w:r>
      <w:r>
        <w:t xml:space="preserve"> </w:t>
      </w:r>
      <w:r>
        <w:t xml:space="preserve">The analysis adopts a "Cradle-to-Grave" system boundary, encompassing all stages from raw material extraction, manufacturing, transportation, product use, to its end-of-life treatment. While the manufacturing process itself is bounded by the \'factory_gate\', the overall product lifecycle extends beyond this to include downstream impacts.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activities. The product\'s use phase and end-of-life are assumed to primarily occur within Europe.</w:t>
      </w:r>
    </w:p>
    <w:p>
      <w:pPr>
        <w:numPr>
          <w:ilvl w:val="0"/>
          <w:numId w:val="1001"/>
        </w:numPr>
        <w:pStyle w:val="Compact"/>
      </w:pPr>
      <w:r>
        <w:rPr>
          <w:bCs/>
          <w:b/>
        </w:rPr>
        <w:t xml:space="preserve">Accounting Standard:</w:t>
      </w:r>
      <w:r>
        <w:t xml:space="preserve"> </w:t>
      </w:r>
      <w:r>
        <w:t xml:space="preserve">The analysis strictly adheres to the Greenhouse Gas (GHG) Protocol 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Environmental impacts are allocated based on mass for material inputs and direct consumption for energy and transport, ensuring that emissions are attributed appropriately to the functional unit.</w:t>
      </w:r>
    </w:p>
    <w:bookmarkEnd w:id="23"/>
    <w:bookmarkStart w:id="25" w:name="map-lifecycle-lci-inventory-stages"/>
    <w:p>
      <w:pPr>
        <w:pStyle w:val="Heading3"/>
      </w:pPr>
      <w:r>
        <w:t xml:space="preserve">1.2. Map Lifecycle (LCI Inventory Stages)</w:t>
      </w:r>
    </w:p>
    <w:p>
      <w:pPr>
        <w:pStyle w:val="FirstParagraph"/>
      </w:pPr>
      <w:r>
        <w:t xml:space="preserve">The lifecycle of pgemizqedo is mapped across five key stages: Material Acquisition &amp; Processing, Manufacturing, Transportation, Use Phase, and End-of-Life. A detailed Bill of Materials (BOM) was utilized to ensure high accuracy in material impact calculations, as provided by the company jxjgukylhx.</w:t>
      </w:r>
    </w:p>
    <w:bookmarkStart w:id="24" w:name="X0597ba61ac59b8a9640ecf3023d455ff6fb948b"/>
    <w:p>
      <w:pPr>
        <w:pStyle w:val="Heading4"/>
      </w:pPr>
      <w:r>
        <w:t xml:space="preserve">Detailed Bill of Materials (BOM) - jxoxqxiu</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CO2e (kg)</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5.000</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gridSpan w:val="6"/>
          </w:tcPr>
          <w:p>
            <w:pPr>
              <w:pStyle w:val="Compact"/>
              <w:jc w:val="right"/>
            </w:pPr>
            <w:r>
              <w:rPr>
                <w:bCs/>
                <w:b/>
              </w:rPr>
              <w:t xml:space="preserve">Total Material CO2e:</w:t>
            </w:r>
          </w:p>
        </w:tc>
        <w:tc>
          <w:tcPr/>
          <w:p>
            <w:pPr>
              <w:pStyle w:val="Compact"/>
            </w:pPr>
          </w:p>
        </w:tc>
        <w:tc>
          <w:tcPr/>
          <w:p>
            <w:pPr>
              <w:pStyle w:val="Compact"/>
              <w:jc w:val="left"/>
            </w:pPr>
            <w:r>
              <w:rPr>
                <w:bCs/>
                <w:b/>
              </w:rPr>
              <w:t xml:space="preserve">10.675</w:t>
            </w:r>
          </w:p>
        </w:tc>
      </w:tr>
      <w:tr>
        <w:tc>
          <w:tcPr>
            <w:gridSpan w:val="6"/>
          </w:tcPr>
          <w:p>
            <w:pPr>
              <w:pStyle w:val="Compact"/>
              <w:jc w:val="right"/>
            </w:pPr>
            <w:r>
              <w:rPr>
                <w:bCs/>
                <w:b/>
              </w:rPr>
              <w:t xml:space="preserve">Total Product Weight:</w:t>
            </w:r>
          </w:p>
        </w:tc>
        <w:tc>
          <w:tcPr/>
          <w:p>
            <w:pPr>
              <w:pStyle w:val="Compact"/>
            </w:pPr>
          </w:p>
        </w:tc>
        <w:tc>
          <w:tcPr/>
          <w:p>
            <w:pPr>
              <w:pStyle w:val="Compact"/>
              <w:jc w:val="left"/>
            </w:pPr>
            <w:r>
              <w:rPr>
                <w:bCs/>
                <w:b/>
              </w:rPr>
              <w:t xml:space="preserve">0.85 kg</w:t>
            </w:r>
          </w:p>
        </w:tc>
      </w:tr>
    </w:tbl>
    <w:bookmarkEnd w:id="24"/>
    <w:bookmarkEnd w:id="25"/>
    <w:bookmarkStart w:id="28" w:name="collect-data"/>
    <w:p>
      <w:pPr>
        <w:pStyle w:val="Heading3"/>
      </w:pPr>
      <w:r>
        <w:t xml:space="preserve">1.3. Collect Data</w:t>
      </w:r>
    </w:p>
    <w:p>
      <w:pPr>
        <w:pStyle w:val="FirstParagraph"/>
      </w:pPr>
      <w:r>
        <w:t xml:space="preserve">Both primary and secondary data sources were collected and utilized for this analysis. Primary data was derived from the provided BOM, energy usage, and product specifications. Secondary data, including industry-standard emission factors, were sourced from reputable databases such as Ecoinvent, DEFRA, IEA, and GLEC, where specific primary data was unavailable. Illustrative assumptions were made for parameters provided as generic placeholders.</w:t>
      </w:r>
    </w:p>
    <w:bookmarkStart w:id="26" w:name="operational-and-lifecycle-parameters"/>
    <w:p>
      <w:pPr>
        <w:pStyle w:val="Heading4"/>
      </w:pPr>
      <w:r>
        <w:t xml:space="preserve">Operational and Lifecycle Parameters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Illustrative Value / Notes</w:t>
            </w:r>
          </w:p>
        </w:tc>
      </w:tr>
      <w:tr>
        <w:tc>
          <w:tcPr/>
          <w:p>
            <w:pPr>
              <w:pStyle w:val="Compact"/>
              <w:jc w:val="left"/>
            </w:pPr>
            <w:r>
              <w:t xml:space="preserve">Transport Mode (Upstream/Downstream)</w:t>
            </w:r>
          </w:p>
        </w:tc>
        <w:tc>
          <w:tcPr/>
          <w:p>
            <w:pPr>
              <w:pStyle w:val="Compact"/>
              <w:jc w:val="left"/>
            </w:pPr>
            <w:r>
              <w:t xml:space="preserve">Select Mode</w:t>
            </w:r>
          </w:p>
        </w:tc>
        <w:tc>
          <w:tcPr/>
          <w:p>
            <w:pPr>
              <w:pStyle w:val="Compact"/>
              <w:jc w:val="left"/>
            </w:pPr>
            <w:r>
              <w:t xml:space="preserve">Road Freight (Heavy Goods Vehicle - HGV)</w:t>
            </w:r>
          </w:p>
        </w:tc>
      </w:tr>
      <w:tr>
        <w:tc>
          <w:tcPr/>
          <w:p>
            <w:pPr>
              <w:pStyle w:val="Compact"/>
              <w:jc w:val="left"/>
            </w:pPr>
            <w:r>
              <w:t xml:space="preserve">Transport Distance (Main Downstream)</w:t>
            </w:r>
          </w:p>
        </w:tc>
        <w:tc>
          <w:tcPr/>
          <w:p>
            <w:pPr>
              <w:pStyle w:val="Compact"/>
              <w:jc w:val="left"/>
            </w:pPr>
            <w:r>
              <w:t xml:space="preserve">qoexjlqldv</w:t>
            </w:r>
          </w:p>
        </w:tc>
        <w:tc>
          <w:tcPr/>
          <w:p>
            <w:pPr>
              <w:pStyle w:val="Compact"/>
              <w:jc w:val="left"/>
            </w:pPr>
            <w:r>
              <w:t xml:space="preserve">1500 km</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Parcel Service</w:t>
            </w:r>
          </w:p>
        </w:tc>
      </w:tr>
      <w:tr>
        <w:tc>
          <w:tcPr/>
          <w:p>
            <w:pPr>
              <w:pStyle w:val="Compact"/>
              <w:jc w:val="left"/>
            </w:pPr>
            <w:r>
              <w:t xml:space="preserve">Renewable Energy Usage (Manufacturing)</w:t>
            </w:r>
          </w:p>
        </w:tc>
        <w:tc>
          <w:tcPr/>
          <w:p>
            <w:pPr>
              <w:pStyle w:val="Compact"/>
              <w:jc w:val="left"/>
            </w:pPr>
            <w:r>
              <w:t xml:space="preserve">terdyvizzw</w:t>
            </w:r>
          </w:p>
        </w:tc>
        <w:tc>
          <w:tcPr/>
          <w:p>
            <w:pPr>
              <w:pStyle w:val="Compact"/>
              <w:jc w:val="left"/>
            </w:pPr>
            <w:r>
              <w:t xml:space="preserve">50%</w:t>
            </w:r>
          </w:p>
        </w:tc>
      </w:tr>
      <w:tr>
        <w:tc>
          <w:tcPr/>
          <w:p>
            <w:pPr>
              <w:pStyle w:val="Compact"/>
              <w:jc w:val="left"/>
            </w:pPr>
            <w:r>
              <w:t xml:space="preserve">Energy Intensity (Manufacturing)</w:t>
            </w:r>
          </w:p>
        </w:tc>
        <w:tc>
          <w:tcPr/>
          <w:p>
            <w:pPr>
              <w:pStyle w:val="Compact"/>
              <w:jc w:val="left"/>
            </w:pPr>
            <w:r>
              <w:t xml:space="preserve">wikenmdstw</w:t>
            </w:r>
          </w:p>
        </w:tc>
        <w:tc>
          <w:tcPr/>
          <w:p>
            <w:pPr>
              <w:pStyle w:val="Compact"/>
              <w:jc w:val="left"/>
            </w:pPr>
            <w:r>
              <w:t xml:space="preserve">15 kWh/unit</w:t>
            </w:r>
          </w:p>
        </w:tc>
      </w:tr>
      <w:tr>
        <w:tc>
          <w:tcPr/>
          <w:p>
            <w:pPr>
              <w:pStyle w:val="Compact"/>
              <w:jc w:val="left"/>
            </w:pPr>
            <w:r>
              <w:t xml:space="preserve">Product Lifespan</w:t>
            </w:r>
          </w:p>
        </w:tc>
        <w:tc>
          <w:tcPr/>
          <w:p>
            <w:pPr>
              <w:pStyle w:val="Compact"/>
              <w:jc w:val="left"/>
            </w:pPr>
            <w:r>
              <w:t xml:space="preserve">ogjnkguzix</w:t>
            </w:r>
          </w:p>
        </w:tc>
        <w:tc>
          <w:tcPr/>
          <w:p>
            <w:pPr>
              <w:pStyle w:val="Compact"/>
              <w:jc w:val="left"/>
            </w:pPr>
            <w:r>
              <w:t xml:space="preserve">5 years</w:t>
            </w:r>
          </w:p>
        </w:tc>
      </w:tr>
      <w:tr>
        <w:tc>
          <w:tcPr/>
          <w:p>
            <w:pPr>
              <w:pStyle w:val="Compact"/>
              <w:jc w:val="left"/>
            </w:pPr>
            <w:r>
              <w:t xml:space="preserve">Energy Consumption in Use (per year)</w:t>
            </w:r>
          </w:p>
        </w:tc>
        <w:tc>
          <w:tcPr/>
          <w:p>
            <w:pPr>
              <w:pStyle w:val="Compact"/>
              <w:jc w:val="left"/>
            </w:pPr>
            <w:r>
              <w:t xml:space="preserve">xzmrknzpll</w:t>
            </w:r>
          </w:p>
        </w:tc>
        <w:tc>
          <w:tcPr/>
          <w:p>
            <w:pPr>
              <w:pStyle w:val="Compact"/>
              <w:jc w:val="left"/>
            </w:pPr>
            <w:r>
              <w:t xml:space="preserve">100 kWh/year</w:t>
            </w:r>
          </w:p>
        </w:tc>
      </w:tr>
      <w:tr>
        <w:tc>
          <w:tcPr/>
          <w:p>
            <w:pPr>
              <w:pStyle w:val="Compact"/>
              <w:jc w:val="left"/>
            </w:pPr>
            <w:r>
              <w:t xml:space="preserve">Recyclability Percentage (End-of-Life)</w:t>
            </w:r>
          </w:p>
        </w:tc>
        <w:tc>
          <w:tcPr/>
          <w:p>
            <w:pPr>
              <w:pStyle w:val="Compact"/>
              <w:jc w:val="left"/>
            </w:pPr>
            <w:r>
              <w:t xml:space="preserve">twmogfihue</w:t>
            </w:r>
          </w:p>
        </w:tc>
        <w:tc>
          <w:tcPr/>
          <w:p>
            <w:pPr>
              <w:pStyle w:val="Compact"/>
              <w:jc w:val="left"/>
            </w:pPr>
            <w:r>
              <w:t xml:space="preserve">70%</w:t>
            </w:r>
          </w:p>
        </w:tc>
      </w:tr>
      <w:tr>
        <w:tc>
          <w:tcPr/>
          <w:p>
            <w:pPr>
              <w:pStyle w:val="Compact"/>
              <w:jc w:val="left"/>
            </w:pPr>
            <w:r>
              <w:t xml:space="preserve">Circular/Take-back Programs</w:t>
            </w:r>
          </w:p>
        </w:tc>
        <w:tc>
          <w:tcPr/>
          <w:p>
            <w:pPr>
              <w:pStyle w:val="Compact"/>
              <w:jc w:val="left"/>
            </w:pPr>
            <w:r>
              <w:t xml:space="preserve">ftnxvjdhoy</w:t>
            </w:r>
          </w:p>
        </w:tc>
        <w:tc>
          <w:tcPr/>
          <w:p>
            <w:pPr>
              <w:pStyle w:val="Compact"/>
              <w:jc w:val="left"/>
            </w:pPr>
            <w:r>
              <w:t xml:space="preserve">Yes (Product Refurbishment)</w:t>
            </w:r>
          </w:p>
        </w:tc>
      </w:tr>
    </w:tbl>
    <w:bookmarkEnd w:id="26"/>
    <w:bookmarkStart w:id="27" w:name="key-emission-factors-used-illustrative"/>
    <w:p>
      <w:pPr>
        <w:pStyle w:val="Heading4"/>
      </w:pPr>
      <w:r>
        <w:t xml:space="preserve">Key Emission Factors Used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 / Note</w:t>
            </w:r>
          </w:p>
        </w:tc>
      </w:tr>
      <w:tr>
        <w:tc>
          <w:tcPr/>
          <w:p>
            <w:pPr>
              <w:pStyle w:val="Compact"/>
              <w:jc w:val="left"/>
            </w:pPr>
            <w:r>
              <w:t xml:space="preserve">China Electricity Grid Mix (Production)</w:t>
            </w:r>
          </w:p>
        </w:tc>
        <w:tc>
          <w:tcPr/>
          <w:p>
            <w:pPr>
              <w:pStyle w:val="Compact"/>
              <w:jc w:val="left"/>
            </w:pPr>
            <w:r>
              <w:t xml:space="preserve">0.7</w:t>
            </w:r>
          </w:p>
        </w:tc>
        <w:tc>
          <w:tcPr/>
          <w:p>
            <w:pPr>
              <w:pStyle w:val="Compact"/>
              <w:jc w:val="left"/>
            </w:pPr>
            <w:r>
              <w:t xml:space="preserve">kgCO2e/kWh</w:t>
            </w:r>
          </w:p>
        </w:tc>
        <w:tc>
          <w:tcPr/>
          <w:p>
            <w:pPr>
              <w:pStyle w:val="Compact"/>
              <w:jc w:val="left"/>
            </w:pPr>
            <w:r>
              <w:t xml:space="preserve">Illustrative average for China.</w:t>
            </w:r>
          </w:p>
        </w:tc>
      </w:tr>
      <w:tr>
        <w:tc>
          <w:tcPr/>
          <w:p>
            <w:pPr>
              <w:pStyle w:val="Compact"/>
              <w:jc w:val="left"/>
            </w:pPr>
            <w:r>
              <w:t xml:space="preserve">EU Electricity Grid Mix (Use Phase)</w:t>
            </w:r>
          </w:p>
        </w:tc>
        <w:tc>
          <w:tcPr/>
          <w:p>
            <w:pPr>
              <w:pStyle w:val="Compact"/>
              <w:jc w:val="left"/>
            </w:pPr>
            <w:r>
              <w:t xml:space="preserve">0.25</w:t>
            </w:r>
          </w:p>
        </w:tc>
        <w:tc>
          <w:tcPr/>
          <w:p>
            <w:pPr>
              <w:pStyle w:val="Compact"/>
              <w:jc w:val="left"/>
            </w:pPr>
            <w:r>
              <w:t xml:space="preserve">kgCO2e/kWh</w:t>
            </w:r>
          </w:p>
        </w:tc>
        <w:tc>
          <w:tcPr/>
          <w:p>
            <w:pPr>
              <w:pStyle w:val="Compact"/>
              <w:jc w:val="left"/>
            </w:pPr>
            <w:r>
              <w:t xml:space="preserve">Illustrative average for EU.</w:t>
            </w:r>
          </w:p>
        </w:tc>
      </w:tr>
      <w:tr>
        <w:tc>
          <w:tcPr/>
          <w:p>
            <w:pPr>
              <w:pStyle w:val="Compact"/>
              <w:jc w:val="left"/>
            </w:pPr>
            <w:r>
              <w:t xml:space="preserve">Road Freight (HGV)</w:t>
            </w:r>
          </w:p>
        </w:tc>
        <w:tc>
          <w:tcPr/>
          <w:p>
            <w:pPr>
              <w:pStyle w:val="Compact"/>
              <w:jc w:val="left"/>
            </w:pPr>
            <w:r>
              <w:t xml:space="preserve">0.1</w:t>
            </w:r>
          </w:p>
        </w:tc>
        <w:tc>
          <w:tcPr/>
          <w:p>
            <w:pPr>
              <w:pStyle w:val="Compact"/>
              <w:jc w:val="left"/>
            </w:pPr>
            <w:r>
              <w:t xml:space="preserve">kgCO2e/tonne-km</w:t>
            </w:r>
          </w:p>
        </w:tc>
        <w:tc>
          <w:tcPr/>
          <w:p>
            <w:pPr>
              <w:pStyle w:val="Compact"/>
              <w:jc w:val="left"/>
            </w:pPr>
            <w:r>
              <w:t xml:space="preserve">Illustrative average.</w:t>
            </w:r>
          </w:p>
        </w:tc>
      </w:tr>
      <w:tr>
        <w:tc>
          <w:tcPr/>
          <w:p>
            <w:pPr>
              <w:pStyle w:val="Compact"/>
              <w:jc w:val="left"/>
            </w:pPr>
            <w:r>
              <w:t xml:space="preserve">Last-Mile Delivery (Parcel Service)</w:t>
            </w:r>
          </w:p>
        </w:tc>
        <w:tc>
          <w:tcPr/>
          <w:p>
            <w:pPr>
              <w:pStyle w:val="Compact"/>
              <w:jc w:val="left"/>
            </w:pPr>
            <w:r>
              <w:t xml:space="preserve">0.8</w:t>
            </w:r>
          </w:p>
        </w:tc>
        <w:tc>
          <w:tcPr/>
          <w:p>
            <w:pPr>
              <w:pStyle w:val="Compact"/>
              <w:jc w:val="left"/>
            </w:pPr>
            <w:r>
              <w:t xml:space="preserve">kgCO2e/package</w:t>
            </w:r>
          </w:p>
        </w:tc>
        <w:tc>
          <w:tcPr/>
          <w:p>
            <w:pPr>
              <w:pStyle w:val="Compact"/>
              <w:jc w:val="left"/>
            </w:pPr>
            <w:r>
              <w:t xml:space="preserve">Illustrative average for typical parcel.</w:t>
            </w:r>
          </w:p>
        </w:tc>
      </w:tr>
      <w:tr>
        <w:tc>
          <w:tcPr/>
          <w:p>
            <w:pPr>
              <w:pStyle w:val="Compact"/>
              <w:jc w:val="left"/>
            </w:pPr>
            <w:r>
              <w:t xml:space="preserve">Recycling Credit (EoL)</w:t>
            </w:r>
          </w:p>
        </w:tc>
        <w:tc>
          <w:tcPr/>
          <w:p>
            <w:pPr>
              <w:pStyle w:val="Compact"/>
              <w:jc w:val="left"/>
            </w:pPr>
            <w:r>
              <w:t xml:space="preserve">-0.7</w:t>
            </w:r>
          </w:p>
        </w:tc>
        <w:tc>
          <w:tcPr/>
          <w:p>
            <w:pPr>
              <w:pStyle w:val="Compact"/>
              <w:jc w:val="left"/>
            </w:pPr>
            <w:r>
              <w:t xml:space="preserve">kgCO2e/kg</w:t>
            </w:r>
          </w:p>
        </w:tc>
        <w:tc>
          <w:tcPr/>
          <w:p>
            <w:pPr>
              <w:pStyle w:val="Compact"/>
              <w:jc w:val="left"/>
            </w:pPr>
            <w:r>
              <w:t xml:space="preserve">Illustrative avoided emissions.</w:t>
            </w:r>
          </w:p>
        </w:tc>
      </w:tr>
      <w:tr>
        <w:tc>
          <w:tcPr/>
          <w:p>
            <w:pPr>
              <w:pStyle w:val="Compact"/>
              <w:jc w:val="left"/>
            </w:pPr>
            <w:r>
              <w:t xml:space="preserve">Disposal (Landfill/Incineration - EoL)</w:t>
            </w:r>
          </w:p>
        </w:tc>
        <w:tc>
          <w:tcPr/>
          <w:p>
            <w:pPr>
              <w:pStyle w:val="Compact"/>
              <w:jc w:val="left"/>
            </w:pPr>
            <w:r>
              <w:t xml:space="preserve">0.1</w:t>
            </w:r>
          </w:p>
        </w:tc>
        <w:tc>
          <w:tcPr/>
          <w:p>
            <w:pPr>
              <w:pStyle w:val="Compact"/>
              <w:jc w:val="left"/>
            </w:pPr>
            <w:r>
              <w:t xml:space="preserve">kgCO2e/kg</w:t>
            </w:r>
          </w:p>
        </w:tc>
        <w:tc>
          <w:tcPr/>
          <w:p>
            <w:pPr>
              <w:pStyle w:val="Compact"/>
              <w:jc w:val="left"/>
            </w:pPr>
            <w:r>
              <w:t xml:space="preserve">Illustrative emissions.</w:t>
            </w:r>
          </w:p>
        </w:tc>
      </w:tr>
    </w:tbl>
    <w:bookmarkEnd w:id="27"/>
    <w:bookmarkEnd w:id="28"/>
    <w:bookmarkStart w:id="29" w:name="calculate-emissions"/>
    <w:p>
      <w:pPr>
        <w:pStyle w:val="Heading3"/>
      </w:pPr>
      <w:r>
        <w:t xml:space="preserve">1.4. Calculate Emissions</w:t>
      </w:r>
    </w:p>
    <w:p>
      <w:pPr>
        <w:pStyle w:val="FirstParagraph"/>
      </w:pPr>
      <w:r>
        <w:t xml:space="preserve">Emissions were calculated for each lifecycle stage by multiplying activity data (e.g., material quantity, energy consumption, transport distance) by the relevant emission factors (Activity × Emission Factor = CO2e). The results are expressed in kilograms of carbon dioxide equivalent (kgCO2e), which accounts for various greenhouse gases based on their Global Warming Potential (GWP100).</w:t>
      </w:r>
    </w:p>
    <w:bookmarkEnd w:id="29"/>
    <w:bookmarkStart w:id="30" w:name="review-report"/>
    <w:p>
      <w:pPr>
        <w:pStyle w:val="Heading3"/>
      </w:pPr>
      <w:r>
        <w:t xml:space="preserve">1.5. Review &amp; Report</w:t>
      </w:r>
    </w:p>
    <w:p>
      <w:pPr>
        <w:pStyle w:val="FirstParagraph"/>
      </w:pPr>
      <w:r>
        <w:t xml:space="preserve">The final emissions were compiled and categorized by Scope. Key hotspots in the product\'s lifecycle were identified, and the reliability of the underlying data and assumptions was considered for reporting.</w:t>
      </w:r>
    </w:p>
    <w:p>
      <w:r>
        <w:pict>
          <v:rect style="width:0;height:1.5pt" o:hralign="center" o:hrstd="t" o:hr="t"/>
        </w:pict>
      </w:r>
    </w:p>
    <w:bookmarkEnd w:id="30"/>
    <w:bookmarkEnd w:id="31"/>
    <w:bookmarkStart w:id="37" w:name="detailed-analysis-and-calculation"/>
    <w:p>
      <w:pPr>
        <w:pStyle w:val="Heading2"/>
      </w:pPr>
      <w:r>
        <w:t xml:space="preserve">2. Detailed Analysis and Calculation</w:t>
      </w:r>
    </w:p>
    <w:bookmarkStart w:id="32" w:name="X6a37f4768beb1a69ad819e05c52141d1c7de8b8"/>
    <w:p>
      <w:pPr>
        <w:pStyle w:val="Heading3"/>
      </w:pPr>
      <w:r>
        <w:t xml:space="preserve">2.1. Material Acquisition &amp; Processing (Scope 3 - Category 1: Purchased Goods and Services)</w:t>
      </w:r>
    </w:p>
    <w:p>
      <w:pPr>
        <w:pStyle w:val="FirstParagraph"/>
      </w:pPr>
      <w:r>
        <w:t xml:space="preserve">Emissions from the extraction and processing of raw materials, as well as the manufacturing of components, constitute a significant portion of the product\'s footprint. Using the detailed BOM (jxoxqxiu), the direct emission factors for each material were applied.</w:t>
      </w:r>
    </w:p>
    <w:p>
      <w:pPr>
        <w:pStyle w:val="BodyText"/>
      </w:pPr>
      <w:r>
        <w:rPr>
          <w:bCs/>
          <w:b/>
        </w:rPr>
        <w:t xml:space="preserve">Total Material Emissions: 10.675 kgCO2e</w:t>
      </w:r>
    </w:p>
    <w:bookmarkEnd w:id="32"/>
    <w:bookmarkStart w:id="33" w:name="manufacturing-scope-1-2"/>
    <w:p>
      <w:pPr>
        <w:pStyle w:val="Heading3"/>
      </w:pPr>
      <w:r>
        <w:t xml:space="preserve">2.2. Manufacturing (Scope 1 &amp; 2)</w:t>
      </w:r>
    </w:p>
    <w:p>
      <w:pPr>
        <w:pStyle w:val="FirstParagraph"/>
      </w:pPr>
      <w:r>
        <w:t xml:space="preserve">The manufacturing phase, located in China, primarily involves electricity consumption. Scope 2 emissions are calculated based on the energy intensity of production and the specific renewable energy usage, with the remainder sourced from the regional electricity grid.</w:t>
      </w:r>
    </w:p>
    <w:p>
      <w:pPr>
        <w:numPr>
          <w:ilvl w:val="0"/>
          <w:numId w:val="1002"/>
        </w:numPr>
        <w:pStyle w:val="Compact"/>
      </w:pPr>
      <w:r>
        <w:t xml:space="preserve">Energy Intensity: 15 kWh/unit</w:t>
      </w:r>
    </w:p>
    <w:p>
      <w:pPr>
        <w:numPr>
          <w:ilvl w:val="0"/>
          <w:numId w:val="1002"/>
        </w:numPr>
        <w:pStyle w:val="Compact"/>
      </w:pPr>
      <w:r>
        <w:t xml:space="preserve">Renewable Energy Usage: 50%</w:t>
      </w:r>
    </w:p>
    <w:p>
      <w:pPr>
        <w:numPr>
          <w:ilvl w:val="0"/>
          <w:numId w:val="1002"/>
        </w:numPr>
        <w:pStyle w:val="Compact"/>
      </w:pPr>
      <w:r>
        <w:t xml:space="preserve">Non-renewable Electricity: 15 kWh/unit * (1 - 0.50) = 7.5 kWh/unit</w:t>
      </w:r>
    </w:p>
    <w:p>
      <w:pPr>
        <w:numPr>
          <w:ilvl w:val="0"/>
          <w:numId w:val="1002"/>
        </w:numPr>
        <w:pStyle w:val="Compact"/>
      </w:pPr>
      <w:r>
        <w:t xml:space="preserve">China Grid Emission Factor: 0.7 kgCO2e/kWh</w:t>
      </w:r>
    </w:p>
    <w:p>
      <w:pPr>
        <w:numPr>
          <w:ilvl w:val="0"/>
          <w:numId w:val="1002"/>
        </w:numPr>
        <w:pStyle w:val="Compact"/>
      </w:pPr>
      <w:r>
        <w:rPr>
          <w:bCs/>
          <w:b/>
        </w:rPr>
        <w:t xml:space="preserve">Manufacturing Electricity Emissions (Scope 2):</w:t>
      </w:r>
      <w:r>
        <w:t xml:space="preserve"> </w:t>
      </w:r>
      <w:r>
        <w:t xml:space="preserve">7.5 kWh/unit * 0.7 kgCO2e/kWh =</w:t>
      </w:r>
      <w:r>
        <w:t xml:space="preserve"> </w:t>
      </w:r>
      <w:r>
        <w:rPr>
          <w:bCs/>
          <w:b/>
        </w:rPr>
        <w:t xml:space="preserve">5.250 kgCO2e</w:t>
      </w:r>
    </w:p>
    <w:p>
      <w:pPr>
        <w:numPr>
          <w:ilvl w:val="0"/>
          <w:numId w:val="1002"/>
        </w:numPr>
        <w:pStyle w:val="Compact"/>
      </w:pPr>
      <w:r>
        <w:t xml:space="preserve">Direct (Scope 1) emissions from manufacturing are assumed to be negligible for this product given the provided parameters, without specific data on on-site fuel combustion or process emissions.</w:t>
      </w:r>
    </w:p>
    <w:p>
      <w:pPr>
        <w:pStyle w:val="FirstParagraph"/>
      </w:pPr>
      <w:r>
        <w:rPr>
          <w:bCs/>
          <w:b/>
        </w:rPr>
        <w:t xml:space="preserve">Total Manufacturing Emissions (Scope 2): 5.250 kgCO2e</w:t>
      </w:r>
    </w:p>
    <w:bookmarkEnd w:id="33"/>
    <w:bookmarkStart w:id="34" w:name="Xde31f8d616d8755d00e064fe44a66799120822f"/>
    <w:p>
      <w:pPr>
        <w:pStyle w:val="Heading3"/>
      </w:pPr>
      <w:r>
        <w:t xml:space="preserve">2.3. Transportation (Scope 3 - Category 4: Upstream, Category 9: Downstream)</w:t>
      </w:r>
    </w:p>
    <w:p>
      <w:pPr>
        <w:pStyle w:val="FirstParagraph"/>
      </w:pPr>
      <w:r>
        <w:t xml:space="preserve">Transportation emissions include both the upstream movement of materials to the factory and the downstream distribution of the finished product to the end-consumer, including last-mile delivery.</w:t>
      </w:r>
    </w:p>
    <w:p>
      <w:pPr>
        <w:numPr>
          <w:ilvl w:val="0"/>
          <w:numId w:val="1003"/>
        </w:numPr>
        <w:pStyle w:val="Compact"/>
      </w:pPr>
      <w:r>
        <w:rPr>
          <w:bCs/>
          <w:b/>
        </w:rPr>
        <w:t xml:space="preserve">Upstream Transport (Materials to Factory, Europe to China - Illustrative):</w:t>
      </w:r>
    </w:p>
    <w:p>
      <w:pPr>
        <w:numPr>
          <w:ilvl w:val="1"/>
          <w:numId w:val="1004"/>
        </w:numPr>
        <w:pStyle w:val="Compact"/>
      </w:pPr>
      <w:r>
        <w:t xml:space="preserve">Average Upstream Transport Distance (illustrative): 500 km</w:t>
      </w:r>
    </w:p>
    <w:p>
      <w:pPr>
        <w:numPr>
          <w:ilvl w:val="1"/>
          <w:numId w:val="1004"/>
        </w:numPr>
        <w:pStyle w:val="Compact"/>
      </w:pPr>
      <w:r>
        <w:t xml:space="preserve">Total Product Weight: 0.85 kg</w:t>
      </w:r>
    </w:p>
    <w:p>
      <w:pPr>
        <w:numPr>
          <w:ilvl w:val="1"/>
          <w:numId w:val="1004"/>
        </w:numPr>
        <w:pStyle w:val="Compact"/>
      </w:pPr>
      <w:r>
        <w:t xml:space="preserve">Road Freight Emission Factor: 0.1 kgCO2e/tonne-km = 0.0001 kgCO2e/kg-km</w:t>
      </w:r>
    </w:p>
    <w:p>
      <w:pPr>
        <w:numPr>
          <w:ilvl w:val="1"/>
          <w:numId w:val="1004"/>
        </w:numPr>
        <w:pStyle w:val="Compact"/>
      </w:pPr>
      <w:r>
        <w:t xml:space="preserve">Emissions: 0.85 kg * 500 km * 0.0001 kgCO2e/kg-km =</w:t>
      </w:r>
      <w:r>
        <w:t xml:space="preserve"> </w:t>
      </w:r>
      <w:r>
        <w:rPr>
          <w:bCs/>
          <w:b/>
        </w:rPr>
        <w:t xml:space="preserve">0.0425 kgCO2e</w:t>
      </w:r>
    </w:p>
    <w:p>
      <w:pPr>
        <w:numPr>
          <w:ilvl w:val="0"/>
          <w:numId w:val="1003"/>
        </w:numPr>
        <w:pStyle w:val="Compact"/>
      </w:pPr>
      <w:r>
        <w:rPr>
          <w:bCs/>
          <w:b/>
        </w:rPr>
        <w:t xml:space="preserve">Main Downstream Transport (Factory to Distribution, China to Europe):</w:t>
      </w:r>
    </w:p>
    <w:p>
      <w:pPr>
        <w:numPr>
          <w:ilvl w:val="1"/>
          <w:numId w:val="1005"/>
        </w:numPr>
        <w:pStyle w:val="Compact"/>
      </w:pPr>
      <w:r>
        <w:t xml:space="preserve">Transport Distance: 1500 km</w:t>
      </w:r>
    </w:p>
    <w:p>
      <w:pPr>
        <w:numPr>
          <w:ilvl w:val="1"/>
          <w:numId w:val="1005"/>
        </w:numPr>
        <w:pStyle w:val="Compact"/>
      </w:pPr>
      <w:r>
        <w:t xml:space="preserve">Total Product Weight: 0.85 kg</w:t>
      </w:r>
    </w:p>
    <w:p>
      <w:pPr>
        <w:numPr>
          <w:ilvl w:val="1"/>
          <w:numId w:val="1005"/>
        </w:numPr>
        <w:pStyle w:val="Compact"/>
      </w:pPr>
      <w:r>
        <w:t xml:space="preserve">Road Freight Emission Factor: 0.0001 kgCO2e/kg-km</w:t>
      </w:r>
    </w:p>
    <w:p>
      <w:pPr>
        <w:numPr>
          <w:ilvl w:val="1"/>
          <w:numId w:val="1005"/>
        </w:numPr>
        <w:pStyle w:val="Compact"/>
      </w:pPr>
      <w:r>
        <w:t xml:space="preserve">Emissions: 0.85 kg * 1500 km * 0.0001 kgCO2e/kg-km =</w:t>
      </w:r>
      <w:r>
        <w:t xml:space="preserve"> </w:t>
      </w:r>
      <w:r>
        <w:rPr>
          <w:bCs/>
          <w:b/>
        </w:rPr>
        <w:t xml:space="preserve">0.1275 kgCO2e</w:t>
      </w:r>
    </w:p>
    <w:p>
      <w:pPr>
        <w:numPr>
          <w:ilvl w:val="0"/>
          <w:numId w:val="1003"/>
        </w:numPr>
        <w:pStyle w:val="Compact"/>
      </w:pPr>
      <w:r>
        <w:rPr>
          <w:bCs/>
          <w:b/>
        </w:rPr>
        <w:t xml:space="preserve">Last-Mile Delivery (Distribution to Consumer in Europe):</w:t>
      </w:r>
    </w:p>
    <w:p>
      <w:pPr>
        <w:numPr>
          <w:ilvl w:val="1"/>
          <w:numId w:val="1006"/>
        </w:numPr>
        <w:pStyle w:val="Compact"/>
      </w:pPr>
      <w:r>
        <w:t xml:space="preserve">Delivery Channel: Parcel Service</w:t>
      </w:r>
    </w:p>
    <w:p>
      <w:pPr>
        <w:numPr>
          <w:ilvl w:val="1"/>
          <w:numId w:val="1006"/>
        </w:numPr>
        <w:pStyle w:val="Compact"/>
      </w:pPr>
      <w:r>
        <w:t xml:space="preserve">Last-Mile Emission Factor: 0.8 kgCO2e/package</w:t>
      </w:r>
    </w:p>
    <w:p>
      <w:pPr>
        <w:numPr>
          <w:ilvl w:val="1"/>
          <w:numId w:val="1006"/>
        </w:numPr>
        <w:pStyle w:val="Compact"/>
      </w:pPr>
      <w:r>
        <w:t xml:space="preserve">Emissions:</w:t>
      </w:r>
      <w:r>
        <w:t xml:space="preserve"> </w:t>
      </w:r>
      <w:r>
        <w:rPr>
          <w:bCs/>
          <w:b/>
        </w:rPr>
        <w:t xml:space="preserve">0.800 kgCO2e</w:t>
      </w:r>
    </w:p>
    <w:p>
      <w:pPr>
        <w:pStyle w:val="FirstParagraph"/>
      </w:pPr>
      <w:r>
        <w:rPr>
          <w:bCs/>
          <w:b/>
        </w:rPr>
        <w:t xml:space="preserve">Total Transportation Emissions: 0.0425 + 0.1275 + 0.800 = 0.970 kgCO2e</w:t>
      </w:r>
    </w:p>
    <w:bookmarkEnd w:id="34"/>
    <w:bookmarkStart w:id="35" w:name="X687445901a9235e23446a36286990b6b14efa53"/>
    <w:p>
      <w:pPr>
        <w:pStyle w:val="Heading3"/>
      </w:pPr>
      <w:r>
        <w:t xml:space="preserve">2.4. Use Phase (Scope 3 - Category 11: Use of Sold Products)</w:t>
      </w:r>
    </w:p>
    <w:p>
      <w:pPr>
        <w:pStyle w:val="FirstParagraph"/>
      </w:pPr>
      <w:r>
        <w:t xml:space="preserve">The use phase accounts for the energy consumed by the product over its lifespan. Assuming typical usage in Europe, the EU grid emission factor is applied.</w:t>
      </w:r>
    </w:p>
    <w:p>
      <w:pPr>
        <w:numPr>
          <w:ilvl w:val="0"/>
          <w:numId w:val="1007"/>
        </w:numPr>
        <w:pStyle w:val="Compact"/>
      </w:pPr>
      <w:r>
        <w:t xml:space="preserve">Product Lifespan: 5 years</w:t>
      </w:r>
    </w:p>
    <w:p>
      <w:pPr>
        <w:numPr>
          <w:ilvl w:val="0"/>
          <w:numId w:val="1007"/>
        </w:numPr>
        <w:pStyle w:val="Compact"/>
      </w:pPr>
      <w:r>
        <w:t xml:space="preserve">Energy Consumption in Use: 100 kWh/year</w:t>
      </w:r>
    </w:p>
    <w:p>
      <w:pPr>
        <w:numPr>
          <w:ilvl w:val="0"/>
          <w:numId w:val="1007"/>
        </w:numPr>
        <w:pStyle w:val="Compact"/>
      </w:pPr>
      <w:r>
        <w:t xml:space="preserve">Total Energy Consumption: 100 kWh/year * 5 years = 500 kWh</w:t>
      </w:r>
    </w:p>
    <w:p>
      <w:pPr>
        <w:numPr>
          <w:ilvl w:val="0"/>
          <w:numId w:val="1007"/>
        </w:numPr>
        <w:pStyle w:val="Compact"/>
      </w:pPr>
      <w:r>
        <w:t xml:space="preserve">EU Grid Emission Factor (illustrative): 0.25 kgCO2e/kWh</w:t>
      </w:r>
    </w:p>
    <w:p>
      <w:pPr>
        <w:numPr>
          <w:ilvl w:val="0"/>
          <w:numId w:val="1007"/>
        </w:numPr>
        <w:pStyle w:val="Compact"/>
      </w:pPr>
      <w:r>
        <w:rPr>
          <w:bCs/>
          <w:b/>
        </w:rPr>
        <w:t xml:space="preserve">Use Phase Emissions:</w:t>
      </w:r>
      <w:r>
        <w:t xml:space="preserve"> </w:t>
      </w:r>
      <w:r>
        <w:t xml:space="preserve">500 kWh * 0.25 kgCO2e/kWh =</w:t>
      </w:r>
      <w:r>
        <w:t xml:space="preserve"> </w:t>
      </w:r>
      <w:r>
        <w:rPr>
          <w:bCs/>
          <w:b/>
        </w:rPr>
        <w:t xml:space="preserve">125.000 kgCO2e</w:t>
      </w:r>
    </w:p>
    <w:p>
      <w:pPr>
        <w:pStyle w:val="FirstParagraph"/>
      </w:pPr>
      <w:r>
        <w:rPr>
          <w:bCs/>
          <w:b/>
        </w:rPr>
        <w:t xml:space="preserve">Total Use Phase Emissions: 125.000 kgCO2e</w:t>
      </w:r>
    </w:p>
    <w:bookmarkEnd w:id="35"/>
    <w:bookmarkStart w:id="36" w:name="Xf0f54d76fca960b03138b21c64e05c834a232f5"/>
    <w:p>
      <w:pPr>
        <w:pStyle w:val="Heading3"/>
      </w:pPr>
      <w:r>
        <w:t xml:space="preserve">2.5. End-of-Life (Scope 3 - Category 12: End-of-Life Treatment of Sold Products)</w:t>
      </w:r>
    </w:p>
    <w:p>
      <w:pPr>
        <w:pStyle w:val="FirstParagraph"/>
      </w:pPr>
      <w:r>
        <w:t xml:space="preserve">End-of-life scenarios consider the recyclability of the product and the impact of disposal. Circular/Take-back Programs (ftnxvjdhoy: Yes, Product Refurbishment) are noted as contributing to reduced overall impact, reflected in a net credit for recycling.</w:t>
      </w:r>
    </w:p>
    <w:p>
      <w:pPr>
        <w:numPr>
          <w:ilvl w:val="0"/>
          <w:numId w:val="1008"/>
        </w:numPr>
        <w:pStyle w:val="Compact"/>
      </w:pPr>
      <w:r>
        <w:t xml:space="preserve">Total Product Weight: 0.85 kg</w:t>
      </w:r>
    </w:p>
    <w:p>
      <w:pPr>
        <w:numPr>
          <w:ilvl w:val="0"/>
          <w:numId w:val="1008"/>
        </w:numPr>
        <w:pStyle w:val="Compact"/>
      </w:pPr>
      <w:r>
        <w:t xml:space="preserve">Recyclability Percentage: 70%</w:t>
      </w:r>
    </w:p>
    <w:p>
      <w:pPr>
        <w:numPr>
          <w:ilvl w:val="0"/>
          <w:numId w:val="1008"/>
        </w:numPr>
        <w:pStyle w:val="Compact"/>
      </w:pPr>
      <w:r>
        <w:t xml:space="preserve">Weight Recycled: 0.85 kg * 0.70 = 0.595 kg</w:t>
      </w:r>
    </w:p>
    <w:p>
      <w:pPr>
        <w:numPr>
          <w:ilvl w:val="0"/>
          <w:numId w:val="1008"/>
        </w:numPr>
        <w:pStyle w:val="Compact"/>
      </w:pPr>
      <w:r>
        <w:t xml:space="preserve">Weight Disposed (Landfill/Incineration): 0.85 kg * (1 - 0.70) = 0.255 kg</w:t>
      </w:r>
    </w:p>
    <w:p>
      <w:pPr>
        <w:numPr>
          <w:ilvl w:val="0"/>
          <w:numId w:val="1008"/>
        </w:numPr>
        <w:pStyle w:val="Compact"/>
      </w:pPr>
      <w:r>
        <w:t xml:space="preserve">Recycling Credit Emission Factor (illustrative): -0.7 kgCO2e/kg</w:t>
      </w:r>
    </w:p>
    <w:p>
      <w:pPr>
        <w:numPr>
          <w:ilvl w:val="0"/>
          <w:numId w:val="1008"/>
        </w:numPr>
        <w:pStyle w:val="Compact"/>
      </w:pPr>
      <w:r>
        <w:t xml:space="preserve">Disposal Emission Factor (illustrative): 0.1 kgCO2e/kg</w:t>
      </w:r>
    </w:p>
    <w:p>
      <w:pPr>
        <w:numPr>
          <w:ilvl w:val="0"/>
          <w:numId w:val="1008"/>
        </w:numPr>
        <w:pStyle w:val="Compact"/>
      </w:pPr>
      <w:r>
        <w:rPr>
          <w:bCs/>
          <w:b/>
        </w:rPr>
        <w:t xml:space="preserve">Recycling Credit:</w:t>
      </w:r>
      <w:r>
        <w:t xml:space="preserve"> </w:t>
      </w:r>
      <w:r>
        <w:t xml:space="preserve">0.595 kg * -0.7 kgCO2e/kg = -0.4165 kgCO2e</w:t>
      </w:r>
    </w:p>
    <w:p>
      <w:pPr>
        <w:numPr>
          <w:ilvl w:val="0"/>
          <w:numId w:val="1008"/>
        </w:numPr>
        <w:pStyle w:val="Compact"/>
      </w:pPr>
      <w:r>
        <w:rPr>
          <w:bCs/>
          <w:b/>
        </w:rPr>
        <w:t xml:space="preserve">Disposal Emissions:</w:t>
      </w:r>
      <w:r>
        <w:t xml:space="preserve"> </w:t>
      </w:r>
      <w:r>
        <w:t xml:space="preserve">0.255 kg * 0.1 kgCO2e/kg = 0.0255 kgCO2e</w:t>
      </w:r>
    </w:p>
    <w:p>
      <w:pPr>
        <w:pStyle w:val="FirstParagraph"/>
      </w:pPr>
      <w:r>
        <w:rPr>
          <w:bCs/>
          <w:b/>
        </w:rPr>
        <w:t xml:space="preserve">Total End-of-Life Emissions: -0.4165 + 0.0255 = -0.391 kgCO2e (Net Credit)</w:t>
      </w:r>
    </w:p>
    <w:p>
      <w:r>
        <w:pict>
          <v:rect style="width:0;height:1.5pt" o:hralign="center" o:hrstd="t" o:hr="t"/>
        </w:pict>
      </w:r>
    </w:p>
    <w:bookmarkEnd w:id="36"/>
    <w:bookmarkEnd w:id="37"/>
    <w:bookmarkStart w:id="38" w:name="ghg-protocol-scopes-breakdown"/>
    <w:p>
      <w:pPr>
        <w:pStyle w:val="Heading2"/>
      </w:pPr>
      <w:r>
        <w:t xml:space="preserve">3. GHG Protocol Scopes Breakdown</w:t>
      </w:r>
    </w:p>
    <w:p>
      <w:pPr>
        <w:pStyle w:val="FirstParagraph"/>
      </w:pPr>
      <w:r>
        <w:t xml:space="preserve">The total Product Carbon Footprint of pgemizqedo, calculated as</w:t>
      </w:r>
      <w:r>
        <w:t xml:space="preserve"> </w:t>
      </w:r>
      <w:r>
        <w:rPr>
          <w:bCs/>
          <w:b/>
        </w:rPr>
        <w:t xml:space="preserve">141.504 kgCO2e per functional unit</w:t>
      </w:r>
      <w:r>
        <w:t xml:space="preserve">, is broken down by GHG Protocol Scopes as follows:</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Stages Included</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Direct operations at manufacturing (assumed negligible for this product)</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r>
              <w:t xml:space="preserve"> </w:t>
            </w:r>
            <w:r>
              <w:t xml:space="preserve">(Indirect Emissions from Purchased Energy)</w:t>
            </w:r>
          </w:p>
        </w:tc>
        <w:tc>
          <w:tcPr/>
          <w:p>
            <w:pPr>
              <w:pStyle w:val="Compact"/>
              <w:jc w:val="left"/>
            </w:pPr>
            <w:r>
              <w:t xml:space="preserve">Purchased electricity for manufacturing</w:t>
            </w:r>
          </w:p>
        </w:tc>
        <w:tc>
          <w:tcPr/>
          <w:p>
            <w:pPr>
              <w:pStyle w:val="Compact"/>
              <w:jc w:val="left"/>
            </w:pPr>
            <w:r>
              <w:t xml:space="preserve">5.250</w:t>
            </w:r>
          </w:p>
        </w:tc>
        <w:tc>
          <w:tcPr/>
          <w:p>
            <w:pPr>
              <w:pStyle w:val="Compact"/>
              <w:jc w:val="left"/>
            </w:pPr>
            <w:r>
              <w:t xml:space="preserve">3.71%</w:t>
            </w:r>
          </w:p>
        </w:tc>
      </w:tr>
      <w:tr>
        <w:tc>
          <w:tcPr/>
          <w:p>
            <w:pPr>
              <w:pStyle w:val="Compact"/>
              <w:jc w:val="left"/>
            </w:pPr>
            <w:r>
              <w:rPr>
                <w:bCs/>
                <w:b/>
              </w:rPr>
              <w:t xml:space="preserve">Scope 3</w:t>
            </w:r>
            <w:r>
              <w:t xml:space="preserve"> </w:t>
            </w:r>
            <w:r>
              <w:t xml:space="preserve">(Other Indirect Emissions)</w:t>
            </w:r>
          </w:p>
        </w:tc>
        <w:tc>
          <w:tcPr/>
          <w:p>
            <w:pPr>
              <w:numPr>
                <w:ilvl w:val="0"/>
                <w:numId w:val="1009"/>
              </w:numPr>
              <w:pStyle w:val="Compact"/>
              <w:jc w:val="left"/>
            </w:pPr>
            <w:r>
              <w:t xml:space="preserve">Category 1: Purchased Goods and Services (Materials)</w:t>
            </w:r>
          </w:p>
          <w:p>
            <w:pPr>
              <w:numPr>
                <w:ilvl w:val="0"/>
                <w:numId w:val="1009"/>
              </w:numPr>
              <w:pStyle w:val="Compact"/>
              <w:jc w:val="left"/>
            </w:pPr>
            <w:r>
              <w:t xml:space="preserve">Category 4: Upstream Transportation and Distribution</w:t>
            </w:r>
          </w:p>
          <w:p>
            <w:pPr>
              <w:numPr>
                <w:ilvl w:val="0"/>
                <w:numId w:val="1009"/>
              </w:numPr>
              <w:pStyle w:val="Compact"/>
              <w:jc w:val="left"/>
            </w:pPr>
            <w:r>
              <w:t xml:space="preserve">Category 9: Downstream Transportation and Distribution</w:t>
            </w:r>
          </w:p>
          <w:p>
            <w:pPr>
              <w:numPr>
                <w:ilvl w:val="0"/>
                <w:numId w:val="1009"/>
              </w:numPr>
              <w:pStyle w:val="Compact"/>
              <w:jc w:val="left"/>
            </w:pPr>
            <w:r>
              <w:t xml:space="preserve">Category 11: Use of Sold Products</w:t>
            </w:r>
          </w:p>
          <w:p>
            <w:pPr>
              <w:numPr>
                <w:ilvl w:val="0"/>
                <w:numId w:val="1009"/>
              </w:numPr>
              <w:pStyle w:val="Compact"/>
              <w:jc w:val="left"/>
            </w:pPr>
            <w:r>
              <w:t xml:space="preserve">Category 12: End-of-Life Treatment of Sold Products</w:t>
            </w:r>
          </w:p>
        </w:tc>
        <w:tc>
          <w:tcPr/>
          <w:p>
            <w:pPr>
              <w:pStyle w:val="Compact"/>
              <w:jc w:val="left"/>
            </w:pPr>
            <w:r>
              <w:t xml:space="preserve">136.254</w:t>
            </w:r>
          </w:p>
        </w:tc>
        <w:tc>
          <w:tcPr/>
          <w:p>
            <w:pPr>
              <w:pStyle w:val="Compact"/>
              <w:jc w:val="left"/>
            </w:pPr>
            <w:r>
              <w:t xml:space="preserve">96.29%</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141.504</w:t>
            </w:r>
          </w:p>
        </w:tc>
        <w:tc>
          <w:tcPr/>
          <w:p>
            <w:pPr>
              <w:pStyle w:val="Compact"/>
              <w:jc w:val="left"/>
            </w:pPr>
            <w:r>
              <w:rPr>
                <w:bCs/>
                <w:b/>
              </w:rPr>
              <w:t xml:space="preserve">100.00%</w:t>
            </w:r>
          </w:p>
        </w:tc>
      </w:tr>
    </w:tbl>
    <w:p>
      <w:r>
        <w:pict>
          <v:rect style="width:0;height:1.5pt" o:hralign="center" o:hrstd="t" o:hr="t"/>
        </w:pict>
      </w:r>
    </w:p>
    <w:bookmarkEnd w:id="38"/>
    <w:bookmarkStart w:id="39" w:name="lsr-standard-application"/>
    <w:p>
      <w:pPr>
        <w:pStyle w:val="Heading2"/>
      </w:pPr>
      <w:r>
        <w:t xml:space="preserve">4. 2026 LSR Standard Application</w:t>
      </w:r>
    </w:p>
    <w:p>
      <w:pPr>
        <w:pStyle w:val="FirstParagraph"/>
      </w:pPr>
      <w:r>
        <w:t xml:space="preserve">In accordance with the 2026 GHG Protocol Land Sector and Removals (LSR) Standard, this analysis acknowledges the importance of land use and carbon removals. For the materials identified in pgemizqedo\'s Bill of Materials (metals, polymers, electronics, paper), direct land-use change emissions and removals are typically addressed within the upstream emission factors of the raw materials themselves. Based on the product\'s composition, significant direct land-use change specifically attributable to the final product\'s lifecycle (e.g., from dedicated biomass cultivation for product components) is not a primary driver of emissions. However, the application of the LSR Standard ensures that any relevant land-based emissions or removals in the broader supply chain are considered when comprehensive data becomes available at a granular level.</w:t>
      </w:r>
    </w:p>
    <w:p>
      <w:r>
        <w:pict>
          <v:rect style="width:0;height:1.5pt" o:hralign="center" o:hrstd="t" o:hr="t"/>
        </w:pict>
      </w:r>
    </w:p>
    <w:bookmarkEnd w:id="39"/>
    <w:bookmarkStart w:id="40" w:name="scope-3-compliance-analysis"/>
    <w:p>
      <w:pPr>
        <w:pStyle w:val="Heading2"/>
      </w:pPr>
      <w:r>
        <w:t xml:space="preserve">5. Scope 3 Compliance Analysis</w:t>
      </w:r>
    </w:p>
    <w:p>
      <w:pPr>
        <w:pStyle w:val="FirstParagraph"/>
      </w:pPr>
      <w:r>
        <w:t xml:space="preserve">The GHG Protocol requires robust Scope 3 reporting, with a target of at least 95% coverage by 2026. This analysis has focused on the most material Scope 3 categories for pgemizqedo:</w:t>
      </w:r>
    </w:p>
    <w:p>
      <w:pPr>
        <w:numPr>
          <w:ilvl w:val="0"/>
          <w:numId w:val="1010"/>
        </w:numPr>
        <w:pStyle w:val="Compact"/>
      </w:pPr>
      <w:r>
        <w:t xml:space="preserve">Category 1: Purchased Goods and Services (Materials)</w:t>
      </w:r>
    </w:p>
    <w:p>
      <w:pPr>
        <w:numPr>
          <w:ilvl w:val="0"/>
          <w:numId w:val="1010"/>
        </w:numPr>
        <w:pStyle w:val="Compact"/>
      </w:pPr>
      <w:r>
        <w:t xml:space="preserve">Category 4: Upstream Transportation and Distribution</w:t>
      </w:r>
    </w:p>
    <w:p>
      <w:pPr>
        <w:numPr>
          <w:ilvl w:val="0"/>
          <w:numId w:val="1010"/>
        </w:numPr>
        <w:pStyle w:val="Compact"/>
      </w:pPr>
      <w:r>
        <w:t xml:space="preserve">Category 9: Downstream Transportation and Distribution</w:t>
      </w:r>
    </w:p>
    <w:p>
      <w:pPr>
        <w:numPr>
          <w:ilvl w:val="0"/>
          <w:numId w:val="1010"/>
        </w:numPr>
        <w:pStyle w:val="Compact"/>
      </w:pPr>
      <w:r>
        <w:t xml:space="preserve">Category 11: Use of Sold Products</w:t>
      </w:r>
    </w:p>
    <w:p>
      <w:pPr>
        <w:numPr>
          <w:ilvl w:val="0"/>
          <w:numId w:val="1010"/>
        </w:numPr>
        <w:pStyle w:val="Compact"/>
      </w:pPr>
      <w:r>
        <w:t xml:space="preserve">Category 12: End-of-Life Treatment of Sold Products</w:t>
      </w:r>
    </w:p>
    <w:p>
      <w:pPr>
        <w:pStyle w:val="FirstParagraph"/>
      </w:pPr>
      <w:r>
        <w:t xml:space="preserve">These categories collectively represent the vast majority (96.29%) of the total product emissions, demonstrating a high level of Scope 3 coverage compliant with 2026 requirements. Other minor Scope 3 categories (e.g., business travel, employee commuting, capital goods not directly tied to product components) are assumed to be less material at the product level and are not included in this PCF, ensuring focus on the most impactful elements of the value chain.</w:t>
      </w:r>
    </w:p>
    <w:p>
      <w:r>
        <w:pict>
          <v:rect style="width:0;height:1.5pt" o:hralign="center" o:hrstd="t" o:hr="t"/>
        </w:pict>
      </w:r>
    </w:p>
    <w:bookmarkEnd w:id="40"/>
    <w:bookmarkStart w:id="41" w:name="key-insights-and-recommendations"/>
    <w:p>
      <w:pPr>
        <w:pStyle w:val="Heading2"/>
      </w:pPr>
      <w:r>
        <w:t xml:space="preserve">6. Key Insights and Recommendations</w:t>
      </w:r>
    </w:p>
    <w:p>
      <w:pPr>
        <w:numPr>
          <w:ilvl w:val="0"/>
          <w:numId w:val="1011"/>
        </w:numPr>
        <w:pStyle w:val="Compact"/>
      </w:pPr>
      <w:r>
        <w:rPr>
          <w:bCs/>
          <w:b/>
        </w:rPr>
        <w:t xml:space="preserve">Use Phase Dominance:</w:t>
      </w:r>
      <w:r>
        <w:t xml:space="preserve"> </w:t>
      </w:r>
      <w:r>
        <w:t xml:space="preserve">The Use Phase accounts for the overwhelming majority (approx. 88%) of pgemizqedo\'s total carbon footprint. This highlights a critical hotspot for emission reduction efforts.</w:t>
      </w:r>
    </w:p>
    <w:p>
      <w:pPr>
        <w:numPr>
          <w:ilvl w:val="0"/>
          <w:numId w:val="1011"/>
        </w:numPr>
        <w:pStyle w:val="Compact"/>
      </w:pPr>
      <w:r>
        <w:rPr>
          <w:bCs/>
          <w:b/>
        </w:rPr>
        <w:t xml:space="preserve">Material Impact:</w:t>
      </w:r>
      <w:r>
        <w:t xml:space="preserve"> </w:t>
      </w:r>
      <w:r>
        <w:t xml:space="preserve">Materials (Scope 3, Category 1) contribute significantly, emphasizing the importance of material selection and supply chain transparency.</w:t>
      </w:r>
    </w:p>
    <w:p>
      <w:pPr>
        <w:numPr>
          <w:ilvl w:val="0"/>
          <w:numId w:val="1011"/>
        </w:numPr>
        <w:pStyle w:val="Compact"/>
      </w:pPr>
      <w:r>
        <w:rPr>
          <w:bCs/>
          <w:b/>
        </w:rPr>
        <w:t xml:space="preserve">Renewable Energy Opportunities:</w:t>
      </w:r>
      <w:r>
        <w:t xml:space="preserve"> </w:t>
      </w:r>
      <w:r>
        <w:t xml:space="preserve">While 50% renewable energy is used in manufacturing, increasing this percentage could further reduce Scope 2 emissions, particularly given China\'s grid emission factor.</w:t>
      </w:r>
    </w:p>
    <w:p>
      <w:pPr>
        <w:numPr>
          <w:ilvl w:val="0"/>
          <w:numId w:val="1011"/>
        </w:numPr>
        <w:pStyle w:val="Compact"/>
      </w:pPr>
      <w:r>
        <w:rPr>
          <w:bCs/>
          <w:b/>
        </w:rPr>
        <w:t xml:space="preserve">Circular Economy Benefits:</w:t>
      </w:r>
      <w:r>
        <w:t xml:space="preserve"> </w:t>
      </w:r>
      <w:r>
        <w:t xml:space="preserve">The net credit from end-of-life due to high recyclability and circular programs demonstrates the positive impact of such initiatives. Expanding and optimizing these programs can further enhance sustainability.</w:t>
      </w:r>
    </w:p>
    <w:p>
      <w:pPr>
        <w:numPr>
          <w:ilvl w:val="0"/>
          <w:numId w:val="1011"/>
        </w:numPr>
        <w:pStyle w:val="Compact"/>
      </w:pPr>
      <w:r>
        <w:rPr>
          <w:bCs/>
          <w:b/>
        </w:rPr>
        <w:t xml:space="preserve">Supply Chain Engagement:</w:t>
      </w:r>
      <w:r>
        <w:t xml:space="preserve"> </w:t>
      </w:r>
      <w:r>
        <w:t xml:space="preserve">Given the substantial Scope 3 emissions, engaging with suppliers for more granular, primary data on material and upstream transport emissions is crucial for refining accuracy.</w:t>
      </w:r>
    </w:p>
    <w:p>
      <w:pPr>
        <w:numPr>
          <w:ilvl w:val="0"/>
          <w:numId w:val="1011"/>
        </w:numPr>
        <w:pStyle w:val="Compact"/>
      </w:pPr>
      <w:r>
        <w:rPr>
          <w:bCs/>
          <w:b/>
        </w:rPr>
        <w:t xml:space="preserve">Product Design for Efficiency:</w:t>
      </w:r>
      <w:r>
        <w:t xml:space="preserve"> </w:t>
      </w:r>
      <w:r>
        <w:t xml:space="preserve">Future product design should prioritize energy efficiency in the use phase to drastically reduce the overall footprint. This could involve lower power consumption components or extended battery life if applicable.</w:t>
      </w:r>
    </w:p>
    <w:bookmarkEnd w:id="41"/>
    <w:p>
      <w:pPr>
        <w:pStyle w:val="FirstParagraph"/>
      </w:pPr>
      <w:r>
        <w:t xml:space="preserve">Confidential - Internal Use Only | Page</w:t>
      </w:r>
      <w:r>
        <w:t xml:space="preserve"> </w:t>
      </w:r>
      <w:bookmarkStart w:id="42" w:name="page-number"/>
      <w:bookmarkEnd w:id="4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pgemizqedo</dc:title>
  <dc:creator/>
  <dc:description>Detailed Product Carbon Footprint (PCF) analysis report for pgemizqedo, following GHG Protocol standards and incorporating 2026 LSR updates.</dc:description>
  <dc:language>en</dc:language>
  <cp:keywords/>
  <dcterms:created xsi:type="dcterms:W3CDTF">2026-07-16T01:12:44Z</dcterms:created>
  <dcterms:modified xsi:type="dcterms:W3CDTF">2026-07-16T01:12:44Z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