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oznrogrlnz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oznrogrlnz</w:t>
      </w:r>
    </w:p>
    <w:p>
      <w:pPr>
        <w:pStyle w:val="BodyText"/>
      </w:pPr>
      <w:r>
        <w:t xml:space="preserve">Company Name: sezjmmrxkz</w:t>
      </w:r>
    </w:p>
    <w:p>
      <w:pPr>
        <w:pStyle w:val="BodyText"/>
      </w:pPr>
      <w:r>
        <w:t xml:space="preserve">Senior Sustainability Consultant: horfztekpx</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Actual figures may vary and require further detailed primary data collection and validation.</w:t>
      </w:r>
    </w:p>
    <w:bookmarkEnd w:id="20"/>
    <w:bookmarkStart w:id="21" w:name="product-carbon-footprint-analysis-report"/>
    <w:p>
      <w:pPr>
        <w:pStyle w:val="Heading1"/>
      </w:pPr>
      <w:r>
        <w:t xml:space="preserve">Product Carbon Footprint Analysis Report</w:t>
      </w:r>
    </w:p>
    <w:p>
      <w:pPr>
        <w:pStyle w:val="FirstParagraph"/>
      </w:pPr>
      <w:r>
        <w:t xml:space="preserve">Generated Date: May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oznrogrlnz</w:t>
      </w:r>
      <w:r>
        <w:t xml:space="preserve">,</w:t>
      </w:r>
      <w:r>
        <w:t xml:space="preserve"> </w:t>
      </w:r>
      <w:r>
        <w:t xml:space="preserve">conducted by</w:t>
      </w:r>
      <w:r>
        <w:t xml:space="preserve"> </w:t>
      </w:r>
      <w:r>
        <w:rPr>
          <w:bCs/>
          <w:b/>
        </w:rPr>
        <w:t xml:space="preserve">horfztekpx</w:t>
      </w:r>
      <w:r>
        <w:t xml:space="preserve">, Senior Sustainability Consultant at</w:t>
      </w:r>
      <w:r>
        <w:t xml:space="preserve"> </w:t>
      </w:r>
      <w:r>
        <w:rPr>
          <w:bCs/>
          <w:b/>
        </w:rPr>
        <w:t xml:space="preserve">sezjmmrxkz</w:t>
      </w:r>
      <w:r>
        <w:t xml:space="preserve">.</w:t>
      </w:r>
      <w:r>
        <w:t xml:space="preserve"> </w:t>
      </w:r>
      <w:r>
        <w:t xml:space="preserve">The analysis adheres strictly to the GHG Protocol accounting standard, incorporating the 2026 Land Sector and Removals (LSR) update</w:t>
      </w:r>
      <w:r>
        <w:t xml:space="preserve"> </w:t>
      </w:r>
      <w:r>
        <w:t xml:space="preserve">and ensuring comprehensive Scope 3 coverage. The objective is to quantify the greenhouse gas (GHG) emissions</w:t>
      </w:r>
      <w:r>
        <w:t xml:space="preserve"> </w:t>
      </w:r>
      <w:r>
        <w:t xml:space="preserve">associated with the product across its entire lifecycle, identify emission hotspots, and provide insights</w:t>
      </w:r>
      <w:r>
        <w:t xml:space="preserve"> </w:t>
      </w:r>
      <w:r>
        <w:t xml:space="preserve">for sustainability improvements. This study covers the functional unit of 1.0 unit of oznrogrlnz, with a</w:t>
      </w:r>
      <w:r>
        <w:t xml:space="preserve"> </w:t>
      </w:r>
      <w:r>
        <w:t xml:space="preserve">system boundary of "factory_gate" for the initial assessment, and expands to include use and end-of-life</w:t>
      </w:r>
      <w:r>
        <w:t xml:space="preserve"> </w:t>
      </w:r>
      <w:r>
        <w:t xml:space="preserve">phases. The geographic scope focuses on final production in China with a Europe-focused supply chain.</w:t>
      </w:r>
      <w:r>
        <w:t xml:space="preserve"> </w:t>
      </w:r>
      <w:r>
        <w:t xml:space="preserve">All calculations are based on the provided parameters and illustrative industry-standard emission factors</w:t>
      </w:r>
      <w:r>
        <w:t xml:space="preserve"> </w:t>
      </w:r>
      <w:r>
        <w:t xml:space="preserve">where specific data points were not supplied.</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initial step in conducting a Product Carbon Footprint (PCF) analysis is to clearly define the scope of the assessment.</w:t>
      </w:r>
      <w:r>
        <w:t xml:space="preserve"> </w:t>
      </w:r>
      <w:r>
        <w:t xml:space="preserve">This ensures consistency and comparability of results.</w:t>
      </w:r>
    </w:p>
    <w:bookmarkStart w:id="23" w:name="functional-unit"/>
    <w:p>
      <w:pPr>
        <w:pStyle w:val="Heading3"/>
      </w:pPr>
      <w:r>
        <w:t xml:space="preserve">Functional Unit</w:t>
      </w:r>
    </w:p>
    <w:p>
      <w:pPr>
        <w:numPr>
          <w:ilvl w:val="0"/>
          <w:numId w:val="1001"/>
        </w:numPr>
        <w:pStyle w:val="Compact"/>
      </w:pPr>
      <w:r>
        <w:rPr>
          <w:bCs/>
          <w:b/>
        </w:rPr>
        <w:t xml:space="preserve">Product:</w:t>
      </w:r>
      <w:r>
        <w:t xml:space="preserve"> </w:t>
      </w:r>
      <w:r>
        <w:t xml:space="preserve">oznrogrlnz</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t xml:space="preserve">This represents the quantified performance of the product system for use as a reference unit.</w:t>
      </w:r>
    </w:p>
    <w:bookmarkEnd w:id="23"/>
    <w:bookmarkStart w:id="24" w:name="system-boundaries"/>
    <w:p>
      <w:pPr>
        <w:pStyle w:val="Heading3"/>
      </w:pPr>
      <w:r>
        <w:t xml:space="preserve">System Boundaries</w:t>
      </w:r>
    </w:p>
    <w:p>
      <w:pPr>
        <w:numPr>
          <w:ilvl w:val="0"/>
          <w:numId w:val="1002"/>
        </w:numPr>
        <w:pStyle w:val="Compact"/>
      </w:pPr>
      <w:r>
        <w:rPr>
          <w:bCs/>
          <w:b/>
        </w:rPr>
        <w:t xml:space="preserve">Cradle-to-Gate with Use and End-of-Life:</w:t>
      </w:r>
      <w:r>
        <w:t xml:space="preserve"> </w:t>
      </w:r>
      <w:r>
        <w:t xml:space="preserve">The primary system boundary for initial production is "factory_gate"</w:t>
      </w:r>
      <w:r>
        <w:t xml:space="preserve"> </w:t>
      </w:r>
      <w:r>
        <w:t xml:space="preserve">which encompasses raw material extraction, transport to manufacturing, and the manufacturing processes up to the point</w:t>
      </w:r>
      <w:r>
        <w:t xml:space="preserve"> </w:t>
      </w:r>
      <w:r>
        <w:t xml:space="preserve">the product leaves the factory gate. However, for a holistic view, this report extends beyond "factory_gate"</w:t>
      </w:r>
      <w:r>
        <w:t xml:space="preserve"> </w:t>
      </w:r>
      <w:r>
        <w:t xml:space="preserve">to include the use phase and end-of-life (EoL) management, in line with a cradle-to-grave approach</w:t>
      </w:r>
      <w:r>
        <w:t xml:space="preserve"> </w:t>
      </w:r>
      <w:r>
        <w:t xml:space="preserve">for comprehensive impact assessment.</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market destination consideration in Europe)</w:t>
      </w:r>
    </w:p>
    <w:p>
      <w:pPr>
        <w:numPr>
          <w:ilvl w:val="0"/>
          <w:numId w:val="1003"/>
        </w:numPr>
        <w:pStyle w:val="Compact"/>
      </w:pPr>
      <w:r>
        <w:t xml:space="preserve">This geographic delineation informs the selection of region-specific emission factors for energy and logistics.</w:t>
      </w:r>
    </w:p>
    <w:bookmarkEnd w:id="25"/>
    <w:bookmarkStart w:id="26" w:name="accounting-standard"/>
    <w:p>
      <w:pPr>
        <w:pStyle w:val="Heading3"/>
      </w:pPr>
      <w:r>
        <w:t xml:space="preserve">Accounting Standard</w:t>
      </w:r>
    </w:p>
    <w:p>
      <w:pPr>
        <w:numPr>
          <w:ilvl w:val="0"/>
          <w:numId w:val="1004"/>
        </w:numPr>
        <w:pStyle w:val="Compact"/>
      </w:pPr>
      <w:r>
        <w:rPr>
          <w:bCs/>
          <w:b/>
        </w:rPr>
        <w:t xml:space="preserve">GHG Protocol:</w:t>
      </w:r>
      <w:r>
        <w:t xml:space="preserve"> </w:t>
      </w:r>
      <w:r>
        <w:t xml:space="preserve">This analysis strictly adheres to the Greenhouse Gas Protocol\'s Product Life Cycle Accounting and Reporting Standard.</w:t>
      </w:r>
      <w:r>
        <w:t xml:space="preserve"> </w:t>
      </w:r>
      <w:r>
        <w:t xml:space="preserve">Emissions are categorized into Scope 1 (Direct Emissions), Scope 2 (Purchased Energy), and Scope 3 (Value Chain Emissions).</w:t>
      </w:r>
    </w:p>
    <w:p>
      <w:pPr>
        <w:numPr>
          <w:ilvl w:val="0"/>
          <w:numId w:val="1004"/>
        </w:numPr>
        <w:pStyle w:val="Compact"/>
      </w:pPr>
      <w:r>
        <w:rPr>
          <w:bCs/>
          <w:b/>
        </w:rPr>
        <w:t xml:space="preserve">2026 LSR Update:</w:t>
      </w:r>
      <w:r>
        <w:t xml:space="preserve"> </w:t>
      </w:r>
      <w:r>
        <w:t xml:space="preserve">The Land Sector and Removals (LSR) Standard is applied, addressing land use change and carbon removals.</w:t>
      </w:r>
      <w:r>
        <w:t xml:space="preserve"> </w:t>
      </w:r>
      <w:r>
        <w:t xml:space="preserve">For the current product (oznrogrlnz) with its provided Bill of Materials, direct significant LSR impacts are not identified</w:t>
      </w:r>
      <w:r>
        <w:t xml:space="preserve"> </w:t>
      </w:r>
      <w:r>
        <w:t xml:space="preserve">unless specific biomass-derived components from land-use change areas were used. Potential indirect impacts are considered in the broader supply chain context.</w:t>
      </w:r>
    </w:p>
    <w:p>
      <w:pPr>
        <w:numPr>
          <w:ilvl w:val="0"/>
          <w:numId w:val="1004"/>
        </w:numPr>
        <w:pStyle w:val="Compact"/>
      </w:pPr>
      <w:r>
        <w:rPr>
          <w:bCs/>
          <w:b/>
        </w:rPr>
        <w:t xml:space="preserve">Scope 3 Compliance:</w:t>
      </w:r>
      <w:r>
        <w:t xml:space="preserve"> </w:t>
      </w:r>
      <w:r>
        <w:t xml:space="preserve">Emphasis is placed on achieving at least 95% coverage for Scope 3 emissions, in line with 2026 reporting requirements,</w:t>
      </w:r>
      <w:r>
        <w:t xml:space="preserve"> </w:t>
      </w:r>
      <w:r>
        <w:t xml:space="preserve">to provide a robust and complete picture of the product\'s value chain footprint.</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mapping identifies all stages where GHG emissions occur. Data collection involves gathering</w:t>
      </w:r>
      <w:r>
        <w:t xml:space="preserve"> </w:t>
      </w:r>
      <w:r>
        <w:t xml:space="preserve">primary data (specific to sezjmmrxkz\'s operations and oznrogrlnz) and secondary data (industry averages,</w:t>
      </w:r>
      <w:r>
        <w:t xml:space="preserve"> </w:t>
      </w:r>
      <w:r>
        <w:t xml:space="preserve">emission factors) to quantify impacts.</w:t>
      </w:r>
    </w:p>
    <w:bookmarkStart w:id="28" w:name="X63d0841969bc5bb8bd4f3a50d4adfddb6fa6468"/>
    <w:p>
      <w:pPr>
        <w:pStyle w:val="Heading3"/>
      </w:pPr>
      <w:r>
        <w:t xml:space="preserve">Detailed Bill of Materials (BOM) &amp; Material Inputs (Primary Data - Illustrative)</w:t>
      </w:r>
    </w:p>
    <w:p>
      <w:pPr>
        <w:pStyle w:val="FirstParagraph"/>
      </w:pPr>
      <w:r>
        <w:t xml:space="preserve">The following Bill of Materials (BOM) for oznrogrlnz (</w:t>
      </w:r>
      <w:r>
        <w:rPr>
          <w:rStyle w:val="VerbatimChar"/>
        </w:rPr>
        <w:t xml:space="preserve">pegxhnqv</w:t>
      </w:r>
      <w:r>
        <w:t xml:space="preserve">) is used to calculate the material acquisition and pre-processing impacts.</w:t>
      </w:r>
      <w:r>
        <w:t xml:space="preserve"> </w:t>
      </w:r>
      <w:r>
        <w:t xml:space="preserve">The \'Total Carbon\' values from the BOM are directly incorporated for high-accuracy material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Electronics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t xml:space="preserve">Total raw material mass for the product is approximately 1.6 kg.</w:t>
      </w:r>
    </w:p>
    <w:bookmarkEnd w:id="28"/>
    <w:bookmarkStart w:id="29" w:name="X85f71237608d351b1893f015a9de0996defbb4d"/>
    <w:p>
      <w:pPr>
        <w:pStyle w:val="Heading3"/>
      </w:pPr>
      <w:r>
        <w:t xml:space="preserve">Energy Inputs (Primary Data - Illustrative)</w:t>
      </w:r>
    </w:p>
    <w:p>
      <w:pPr>
        <w:numPr>
          <w:ilvl w:val="0"/>
          <w:numId w:val="1005"/>
        </w:numPr>
        <w:pStyle w:val="Compact"/>
      </w:pPr>
      <w:r>
        <w:rPr>
          <w:bCs/>
          <w:b/>
        </w:rPr>
        <w:t xml:space="preserve">Energy Intensity (kWh/unit):</w:t>
      </w:r>
      <w:r>
        <w:t xml:space="preserve"> </w:t>
      </w:r>
      <w:r>
        <w:rPr>
          <w:rStyle w:val="VerbatimChar"/>
        </w:rPr>
        <w:t xml:space="preserve">rymhpwpvsh</w:t>
      </w:r>
      <w:r>
        <w:t xml:space="preserve"> </w:t>
      </w:r>
      <w:r>
        <w:t xml:space="preserve">(e.g., 8 kWh/unit)</w:t>
      </w:r>
    </w:p>
    <w:p>
      <w:pPr>
        <w:numPr>
          <w:ilvl w:val="0"/>
          <w:numId w:val="1005"/>
        </w:numPr>
        <w:pStyle w:val="Compact"/>
      </w:pPr>
      <w:r>
        <w:rPr>
          <w:bCs/>
          <w:b/>
        </w:rPr>
        <w:t xml:space="preserve">Renewable Energy Usage:</w:t>
      </w:r>
      <w:r>
        <w:t xml:space="preserve"> </w:t>
      </w:r>
      <w:r>
        <w:rPr>
          <w:rStyle w:val="VerbatimChar"/>
        </w:rPr>
        <w:t xml:space="preserve">llipuudssf</w:t>
      </w:r>
      <w:r>
        <w:t xml:space="preserve"> </w:t>
      </w:r>
      <w:r>
        <w:t xml:space="preserve">(e.g., 75%)</w:t>
      </w:r>
    </w:p>
    <w:p>
      <w:pPr>
        <w:numPr>
          <w:ilvl w:val="0"/>
          <w:numId w:val="1005"/>
        </w:numPr>
        <w:pStyle w:val="Compact"/>
      </w:pPr>
      <w:r>
        <w:rPr>
          <w:bCs/>
          <w:b/>
        </w:rPr>
        <w:t xml:space="preserve">Grid Electricity Emission Factor (China):</w:t>
      </w:r>
      <w:r>
        <w:t xml:space="preserve"> </w:t>
      </w:r>
      <w:r>
        <w:t xml:space="preserve">0.65 kg CO2e/kWh (Illustrative based on general data)</w:t>
      </w:r>
    </w:p>
    <w:p>
      <w:pPr>
        <w:numPr>
          <w:ilvl w:val="0"/>
          <w:numId w:val="1005"/>
        </w:numPr>
        <w:pStyle w:val="Compact"/>
      </w:pPr>
      <w:r>
        <w:rPr>
          <w:bCs/>
          <w:b/>
        </w:rPr>
        <w:t xml:space="preserve">Renewable Electricity Emission Factor:</w:t>
      </w:r>
      <w:r>
        <w:t xml:space="preserve"> </w:t>
      </w:r>
      <w:r>
        <w:t xml:space="preserve">0.01 kg CO2e/kWh (Illustrative, accounting for upstream emissions)</w:t>
      </w:r>
    </w:p>
    <w:bookmarkEnd w:id="29"/>
    <w:bookmarkStart w:id="30" w:name="X3da6fc4a3fdbf9070d66ed271e708520bbb190f"/>
    <w:p>
      <w:pPr>
        <w:pStyle w:val="Heading3"/>
      </w:pPr>
      <w:r>
        <w:t xml:space="preserve">Logistics Data (Primary Data - Illustrative)</w:t>
      </w:r>
    </w:p>
    <w:p>
      <w:pPr>
        <w:numPr>
          <w:ilvl w:val="0"/>
          <w:numId w:val="1006"/>
        </w:numPr>
        <w:pStyle w:val="Compact"/>
      </w:pPr>
      <w:r>
        <w:rPr>
          <w:bCs/>
          <w:b/>
        </w:rPr>
        <w:t xml:space="preserve">Main Transport Mode (e.g., Raw materials/Product to market):</w:t>
      </w:r>
      <w:r>
        <w:t xml:space="preserve"> </w:t>
      </w:r>
      <w:r>
        <w:rPr>
          <w:rStyle w:val="VerbatimChar"/>
        </w:rPr>
        <w:t xml:space="preserve">Select Mode</w:t>
      </w:r>
      <w:r>
        <w:t xml:space="preserve"> </w:t>
      </w:r>
      <w:r>
        <w:t xml:space="preserve">(e.g., Sea Freight - Container Ship)</w:t>
      </w:r>
    </w:p>
    <w:p>
      <w:pPr>
        <w:numPr>
          <w:ilvl w:val="0"/>
          <w:numId w:val="1006"/>
        </w:numPr>
        <w:pStyle w:val="Compact"/>
      </w:pPr>
      <w:r>
        <w:rPr>
          <w:bCs/>
          <w:b/>
        </w:rPr>
        <w:t xml:space="preserve">Main Transport Distance:</w:t>
      </w:r>
      <w:r>
        <w:t xml:space="preserve"> </w:t>
      </w:r>
      <w:r>
        <w:rPr>
          <w:rStyle w:val="VerbatimChar"/>
        </w:rPr>
        <w:t xml:space="preserve">nqxhdmwenm</w:t>
      </w:r>
      <w:r>
        <w:t xml:space="preserve"> </w:t>
      </w:r>
      <w:r>
        <w:t xml:space="preserve">(e.g., 7000 km)</w:t>
      </w:r>
    </w:p>
    <w:p>
      <w:pPr>
        <w:numPr>
          <w:ilvl w:val="0"/>
          <w:numId w:val="1006"/>
        </w:numPr>
        <w:pStyle w:val="Compact"/>
      </w:pPr>
      <w:r>
        <w:rPr>
          <w:bCs/>
          <w:b/>
        </w:rPr>
        <w:t xml:space="preserve">Last-Mile Delivery Channel:</w:t>
      </w:r>
      <w:r>
        <w:t xml:space="preserve"> </w:t>
      </w:r>
      <w:r>
        <w:rPr>
          <w:rStyle w:val="VerbatimChar"/>
        </w:rPr>
        <w:t xml:space="preserve">Delivery Type</w:t>
      </w:r>
      <w:r>
        <w:t xml:space="preserve"> </w:t>
      </w:r>
      <w:r>
        <w:t xml:space="preserve">(e.g., Road Freight - Van)</w:t>
      </w:r>
    </w:p>
    <w:p>
      <w:pPr>
        <w:numPr>
          <w:ilvl w:val="0"/>
          <w:numId w:val="1006"/>
        </w:numPr>
        <w:pStyle w:val="Compact"/>
      </w:pPr>
      <w:r>
        <w:rPr>
          <w:bCs/>
          <w:b/>
        </w:rPr>
        <w:t xml:space="preserve">Last-Mile Delivery Distance:</w:t>
      </w:r>
      <w:r>
        <w:t xml:space="preserve"> </w:t>
      </w:r>
      <w:r>
        <w:t xml:space="preserve">100 km (Illustrative)</w:t>
      </w:r>
    </w:p>
    <w:p>
      <w:pPr>
        <w:numPr>
          <w:ilvl w:val="0"/>
          <w:numId w:val="1006"/>
        </w:numPr>
        <w:pStyle w:val="Compact"/>
      </w:pPr>
      <w:r>
        <w:rPr>
          <w:bCs/>
          <w:b/>
        </w:rPr>
        <w:t xml:space="preserve">Sea Freight Emission Factor:</w:t>
      </w:r>
      <w:r>
        <w:t xml:space="preserve"> </w:t>
      </w:r>
      <w:r>
        <w:t xml:space="preserve">0.005 kg CO2e/tonne-km (Illustrative from industry averages like DEFRA/Ecoinvent)</w:t>
      </w:r>
    </w:p>
    <w:p>
      <w:pPr>
        <w:numPr>
          <w:ilvl w:val="0"/>
          <w:numId w:val="1006"/>
        </w:numPr>
        <w:pStyle w:val="Compact"/>
      </w:pPr>
      <w:r>
        <w:rPr>
          <w:bCs/>
          <w:b/>
        </w:rPr>
        <w:t xml:space="preserve">Road Freight Emission Factor (Van):</w:t>
      </w:r>
      <w:r>
        <w:t xml:space="preserve"> </w:t>
      </w:r>
      <w:r>
        <w:t xml:space="preserve">0.15 kg CO2e/tonne-km (Illustrative from industry averages like DEFRA/Ecoinvent)</w:t>
      </w:r>
    </w:p>
    <w:bookmarkEnd w:id="30"/>
    <w:bookmarkStart w:id="31" w:name="X895803e56d287b34a7637880fd6f296507be276"/>
    <w:p>
      <w:pPr>
        <w:pStyle w:val="Heading3"/>
      </w:pPr>
      <w:r>
        <w:t xml:space="preserve">Use Phase Data (Primary Data - Illustrative)</w:t>
      </w:r>
    </w:p>
    <w:p>
      <w:pPr>
        <w:numPr>
          <w:ilvl w:val="0"/>
          <w:numId w:val="1007"/>
        </w:numPr>
        <w:pStyle w:val="Compact"/>
      </w:pPr>
      <w:r>
        <w:rPr>
          <w:bCs/>
          <w:b/>
        </w:rPr>
        <w:t xml:space="preserve">Product Lifespan:</w:t>
      </w:r>
      <w:r>
        <w:t xml:space="preserve"> </w:t>
      </w:r>
      <w:r>
        <w:rPr>
          <w:rStyle w:val="VerbatimChar"/>
        </w:rPr>
        <w:t xml:space="preserve">nqswixulqg</w:t>
      </w:r>
      <w:r>
        <w:t xml:space="preserve"> </w:t>
      </w:r>
      <w:r>
        <w:t xml:space="preserve">(e.g., 7 years)</w:t>
      </w:r>
    </w:p>
    <w:p>
      <w:pPr>
        <w:numPr>
          <w:ilvl w:val="0"/>
          <w:numId w:val="1007"/>
        </w:numPr>
        <w:pStyle w:val="Compact"/>
      </w:pPr>
      <w:r>
        <w:rPr>
          <w:bCs/>
          <w:b/>
        </w:rPr>
        <w:t xml:space="preserve">Energy Consumption in Use (per year):</w:t>
      </w:r>
      <w:r>
        <w:t xml:space="preserve"> </w:t>
      </w:r>
      <w:r>
        <w:rPr>
          <w:rStyle w:val="VerbatimChar"/>
        </w:rPr>
        <w:t xml:space="preserve">ypwhjfrihs</w:t>
      </w:r>
      <w:r>
        <w:t xml:space="preserve"> </w:t>
      </w:r>
      <w:r>
        <w:t xml:space="preserve">(e.g., 15 kWh/year)</w:t>
      </w:r>
    </w:p>
    <w:p>
      <w:pPr>
        <w:numPr>
          <w:ilvl w:val="0"/>
          <w:numId w:val="1007"/>
        </w:numPr>
        <w:pStyle w:val="Compact"/>
      </w:pPr>
      <w:r>
        <w:rPr>
          <w:bCs/>
          <w:b/>
        </w:rPr>
        <w:t xml:space="preserve">Average Grid Electricity Emission Factor (Global/User Region):</w:t>
      </w:r>
      <w:r>
        <w:t xml:space="preserve"> </w:t>
      </w:r>
      <w:r>
        <w:t xml:space="preserve">0.45 kg CO2e/kWh (Illustrative)</w:t>
      </w:r>
    </w:p>
    <w:bookmarkEnd w:id="31"/>
    <w:bookmarkStart w:id="32" w:name="X96d184d09a4672b85bacbf721b181613372075c"/>
    <w:p>
      <w:pPr>
        <w:pStyle w:val="Heading3"/>
      </w:pPr>
      <w:r>
        <w:t xml:space="preserve">End-of-Life (EoL) Data (Primary Data - Illustrative)</w:t>
      </w:r>
    </w:p>
    <w:p>
      <w:pPr>
        <w:numPr>
          <w:ilvl w:val="0"/>
          <w:numId w:val="1008"/>
        </w:numPr>
        <w:pStyle w:val="Compact"/>
      </w:pPr>
      <w:r>
        <w:rPr>
          <w:bCs/>
          <w:b/>
        </w:rPr>
        <w:t xml:space="preserve">Recyclability Percentage:</w:t>
      </w:r>
      <w:r>
        <w:t xml:space="preserve"> </w:t>
      </w:r>
      <w:r>
        <w:rPr>
          <w:rStyle w:val="VerbatimChar"/>
        </w:rPr>
        <w:t xml:space="preserve">yetxtifozh</w:t>
      </w:r>
      <w:r>
        <w:t xml:space="preserve"> </w:t>
      </w:r>
      <w:r>
        <w:t xml:space="preserve">(e.g., 90%)</w:t>
      </w:r>
    </w:p>
    <w:p>
      <w:pPr>
        <w:numPr>
          <w:ilvl w:val="0"/>
          <w:numId w:val="1008"/>
        </w:numPr>
        <w:pStyle w:val="Compact"/>
      </w:pPr>
      <w:r>
        <w:rPr>
          <w:bCs/>
          <w:b/>
        </w:rPr>
        <w:t xml:space="preserve">Circular/Take-back Programs:</w:t>
      </w:r>
      <w:r>
        <w:t xml:space="preserve"> </w:t>
      </w:r>
      <w:r>
        <w:rPr>
          <w:rStyle w:val="VerbatimChar"/>
        </w:rPr>
        <w:t xml:space="preserve">zokqypxind</w:t>
      </w:r>
      <w:r>
        <w:t xml:space="preserve"> </w:t>
      </w:r>
      <w:r>
        <w:t xml:space="preserve">(e.g., Yes, advanced material recovery)</w:t>
      </w:r>
    </w:p>
    <w:p>
      <w:pPr>
        <w:numPr>
          <w:ilvl w:val="0"/>
          <w:numId w:val="1008"/>
        </w:numPr>
        <w:pStyle w:val="Compact"/>
      </w:pPr>
      <w:r>
        <w:rPr>
          <w:bCs/>
          <w:b/>
        </w:rPr>
        <w:t xml:space="preserve">Landfill/Incineration Emission Factor:</w:t>
      </w:r>
      <w:r>
        <w:t xml:space="preserve"> </w:t>
      </w:r>
      <w:r>
        <w:t xml:space="preserve">1.5 kg CO2e/kg (Illustrative for non-recycled waste)</w:t>
      </w:r>
    </w:p>
    <w:p>
      <w:pPr>
        <w:numPr>
          <w:ilvl w:val="0"/>
          <w:numId w:val="1008"/>
        </w:numPr>
        <w:pStyle w:val="Compact"/>
      </w:pPr>
      <w:r>
        <w:rPr>
          <w:bCs/>
          <w:b/>
        </w:rPr>
        <w:t xml:space="preserve">Recycling Credit (Avoided Emissions):</w:t>
      </w:r>
      <w:r>
        <w:t xml:space="preserve"> </w:t>
      </w:r>
      <w:r>
        <w:t xml:space="preserve">-1.0 kg CO2e/kg (Illustrative for recovered materials)</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The following calculations quantify GHG emissions across the product\'s lifecycle, categorized by GHG Protocol scopes.</w:t>
      </w:r>
      <w:r>
        <w:t xml:space="preserve"> </w:t>
      </w:r>
      <w:r>
        <w:t xml:space="preserve">All \'Total Carbon\' from BOM are directly summed. Other calculations use illustrative emission factors.</w:t>
      </w:r>
    </w:p>
    <w:bookmarkStart w:id="36" w:name="scope-3-upstream-emissions"/>
    <w:p>
      <w:pPr>
        <w:pStyle w:val="Heading3"/>
      </w:pPr>
      <w:r>
        <w:t xml:space="preserve">Scope 3: Upstream Emissions</w:t>
      </w:r>
    </w:p>
    <w:bookmarkStart w:id="34" w:name="Xf433b39135ba56c7f8e853d9837b5351625a170"/>
    <w:p>
      <w:pPr>
        <w:pStyle w:val="Heading4"/>
      </w:pPr>
      <w:r>
        <w:t xml:space="preserve">Category 1: Purchased Goods and Services (Material Acquisition &amp; Pre-processing)</w:t>
      </w:r>
    </w:p>
    <w:p>
      <w:pPr>
        <w:pStyle w:val="FirstParagraph"/>
      </w:pPr>
      <w:r>
        <w:t xml:space="preserve">This category includes emissions from the extraction, production, and transportation of raw materials and components.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Aluminum Chassis</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Plastic Housing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2.0</w:t>
            </w:r>
          </w:p>
        </w:tc>
        <w:tc>
          <w:tcPr/>
          <w:p>
            <w:pPr>
              <w:pStyle w:val="Compact"/>
              <w:jc w:val="left"/>
            </w:pPr>
            <w:r>
              <w:t xml:space="preserve">0.80</w:t>
            </w:r>
          </w:p>
        </w:tc>
      </w:tr>
      <w:tr>
        <w:tc>
          <w:tcPr/>
          <w:p>
            <w:pPr>
              <w:pStyle w:val="Compact"/>
              <w:jc w:val="left"/>
            </w:pPr>
            <w:r>
              <w:t xml:space="preserve">Electronics 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4"/>
          </w:tcPr>
          <w:p>
            <w:pPr>
              <w:pStyle w:val="Compact"/>
              <w:jc w:val="right"/>
            </w:pPr>
            <w:r>
              <w:rPr>
                <w:bCs/>
                <w:b/>
              </w:rPr>
              <w:t xml:space="preserve">Total Material Emissions:</w:t>
            </w:r>
          </w:p>
        </w:tc>
        <w:tc>
          <w:tcPr/>
          <w:p>
            <w:pPr>
              <w:pStyle w:val="Compact"/>
              <w:jc w:val="left"/>
            </w:pPr>
            <w:r>
              <w:rPr>
                <w:bCs/>
                <w:b/>
              </w:rPr>
              <w:t xml:space="preserve">10.92 kg CO2e</w:t>
            </w:r>
          </w:p>
        </w:tc>
      </w:tr>
    </w:tbl>
    <w:bookmarkEnd w:id="34"/>
    <w:bookmarkStart w:id="35" w:name="X6669a43143349c25ec93e775eebde43de53a73c"/>
    <w:p>
      <w:pPr>
        <w:pStyle w:val="Heading4"/>
      </w:pPr>
      <w:r>
        <w:t xml:space="preserve">Category 4: Upstream Transportation and Distribution</w:t>
      </w:r>
    </w:p>
    <w:p>
      <w:pPr>
        <w:pStyle w:val="FirstParagraph"/>
      </w:pPr>
      <w:r>
        <w:t xml:space="preserve">This covers transportation of materials and components from suppliers to the manufacturing facility, and finished products to the market.</w:t>
      </w:r>
    </w:p>
    <w:p>
      <w:pPr>
        <w:numPr>
          <w:ilvl w:val="0"/>
          <w:numId w:val="1009"/>
        </w:numPr>
        <w:pStyle w:val="Compact"/>
      </w:pPr>
      <w:r>
        <w:t xml:space="preserve">Product Total Mass (approx.): 1.6 kg</w:t>
      </w:r>
    </w:p>
    <w:p>
      <w:pPr>
        <w:numPr>
          <w:ilvl w:val="0"/>
          <w:numId w:val="1009"/>
        </w:numPr>
        <w:pStyle w:val="Compact"/>
      </w:pPr>
      <w:r>
        <w:t xml:space="preserve">Main Transport Distance: 7000 km</w:t>
      </w:r>
    </w:p>
    <w:p>
      <w:pPr>
        <w:numPr>
          <w:ilvl w:val="0"/>
          <w:numId w:val="1009"/>
        </w:numPr>
        <w:pStyle w:val="Compact"/>
      </w:pPr>
      <w:r>
        <w:t xml:space="preserve">Last-Mile Delivery Distance: 100 km</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(kg)</w:t>
            </w:r>
          </w:p>
        </w:tc>
        <w:tc>
          <w:tcPr/>
          <w:p>
            <w:pPr>
              <w:pStyle w:val="Compact"/>
              <w:jc w:val="left"/>
            </w:pPr>
            <w:r>
              <w:t xml:space="preserve">Emission Factor (kgCO2e/tonne-km)</w:t>
            </w:r>
          </w:p>
        </w:tc>
        <w:tc>
          <w:tcPr/>
          <w:p>
            <w:pPr>
              <w:pStyle w:val="Compact"/>
              <w:jc w:val="left"/>
            </w:pPr>
            <w:r>
              <w:t xml:space="preserve">Total CO2e (kg)</w:t>
            </w:r>
          </w:p>
        </w:tc>
      </w:tr>
      <w:tr>
        <w:tc>
          <w:tcPr/>
          <w:p>
            <w:pPr>
              <w:pStyle w:val="Compact"/>
              <w:jc w:val="left"/>
            </w:pPr>
            <w:r>
              <w:t xml:space="preserve">Inbound Materials (Illustrative, e.g., 50% of BOM mass)</w:t>
            </w:r>
          </w:p>
        </w:tc>
        <w:tc>
          <w:tcPr/>
          <w:p>
            <w:pPr>
              <w:pStyle w:val="Compact"/>
              <w:jc w:val="left"/>
            </w:pPr>
            <w:r>
              <w:t xml:space="preserve">Sea Freight (Container)</w:t>
            </w:r>
          </w:p>
        </w:tc>
        <w:tc>
          <w:tcPr/>
          <w:p>
            <w:pPr>
              <w:pStyle w:val="Compact"/>
              <w:jc w:val="left"/>
            </w:pPr>
            <w:r>
              <w:t xml:space="preserve">7000</w:t>
            </w:r>
          </w:p>
        </w:tc>
        <w:tc>
          <w:tcPr/>
          <w:p>
            <w:pPr>
              <w:pStyle w:val="Compact"/>
              <w:jc w:val="left"/>
            </w:pPr>
            <w:r>
              <w:t xml:space="preserve">0.8</w:t>
            </w:r>
          </w:p>
        </w:tc>
        <w:tc>
          <w:tcPr/>
          <w:p>
            <w:pPr>
              <w:pStyle w:val="Compact"/>
              <w:jc w:val="left"/>
            </w:pPr>
            <w:r>
              <w:t xml:space="preserve">0.005</w:t>
            </w:r>
          </w:p>
        </w:tc>
        <w:tc>
          <w:tcPr/>
          <w:p>
            <w:pPr>
              <w:pStyle w:val="Compact"/>
              <w:jc w:val="left"/>
            </w:pPr>
            <w:r>
              <w:t xml:space="preserve">0.028</w:t>
            </w:r>
          </w:p>
        </w:tc>
      </w:tr>
      <w:tr>
        <w:tc>
          <w:tcPr/>
          <w:p>
            <w:pPr>
              <w:pStyle w:val="Compact"/>
              <w:jc w:val="left"/>
            </w:pPr>
            <w:r>
              <w:t xml:space="preserve">Outbound Product (Factory to Market)</w:t>
            </w:r>
          </w:p>
        </w:tc>
        <w:tc>
          <w:tcPr/>
          <w:p>
            <w:pPr>
              <w:pStyle w:val="Compact"/>
              <w:jc w:val="left"/>
            </w:pPr>
            <w:r>
              <w:t xml:space="preserve">Sea Freight (Container)</w:t>
            </w:r>
          </w:p>
        </w:tc>
        <w:tc>
          <w:tcPr/>
          <w:p>
            <w:pPr>
              <w:pStyle w:val="Compact"/>
              <w:jc w:val="left"/>
            </w:pPr>
            <w:r>
              <w:t xml:space="preserve">7000</w:t>
            </w:r>
          </w:p>
        </w:tc>
        <w:tc>
          <w:tcPr/>
          <w:p>
            <w:pPr>
              <w:pStyle w:val="Compact"/>
              <w:jc w:val="left"/>
            </w:pPr>
            <w:r>
              <w:t xml:space="preserve">1.6</w:t>
            </w:r>
          </w:p>
        </w:tc>
        <w:tc>
          <w:tcPr/>
          <w:p>
            <w:pPr>
              <w:pStyle w:val="Compact"/>
              <w:jc w:val="left"/>
            </w:pPr>
            <w:r>
              <w:t xml:space="preserve">0.005</w:t>
            </w:r>
          </w:p>
        </w:tc>
        <w:tc>
          <w:tcPr/>
          <w:p>
            <w:pPr>
              <w:pStyle w:val="Compact"/>
              <w:jc w:val="left"/>
            </w:pPr>
            <w:r>
              <w:t xml:space="preserve">0.056</w:t>
            </w:r>
          </w:p>
        </w:tc>
      </w:tr>
      <w:tr>
        <w:tc>
          <w:tcPr/>
          <w:p>
            <w:pPr>
              <w:pStyle w:val="Compact"/>
              <w:jc w:val="left"/>
            </w:pPr>
            <w:r>
              <w:t xml:space="preserve">Last-Mile Delivery</w:t>
            </w:r>
          </w:p>
        </w:tc>
        <w:tc>
          <w:tcPr/>
          <w:p>
            <w:pPr>
              <w:pStyle w:val="Compact"/>
              <w:jc w:val="left"/>
            </w:pPr>
            <w:r>
              <w:t xml:space="preserve">Road Freight (Van)</w:t>
            </w:r>
          </w:p>
        </w:tc>
        <w:tc>
          <w:tcPr/>
          <w:p>
            <w:pPr>
              <w:pStyle w:val="Compact"/>
              <w:jc w:val="left"/>
            </w:pPr>
            <w:r>
              <w:t xml:space="preserve">100</w:t>
            </w:r>
          </w:p>
        </w:tc>
        <w:tc>
          <w:tcPr/>
          <w:p>
            <w:pPr>
              <w:pStyle w:val="Compact"/>
              <w:jc w:val="left"/>
            </w:pPr>
            <w:r>
              <w:t xml:space="preserve">1.6</w:t>
            </w:r>
          </w:p>
        </w:tc>
        <w:tc>
          <w:tcPr/>
          <w:p>
            <w:pPr>
              <w:pStyle w:val="Compact"/>
              <w:jc w:val="left"/>
            </w:pPr>
            <w:r>
              <w:t xml:space="preserve">0.15</w:t>
            </w:r>
          </w:p>
        </w:tc>
        <w:tc>
          <w:tcPr/>
          <w:p>
            <w:pPr>
              <w:pStyle w:val="Compact"/>
              <w:jc w:val="left"/>
            </w:pPr>
            <w:r>
              <w:t xml:space="preserve">0.024</w:t>
            </w:r>
          </w:p>
        </w:tc>
      </w:tr>
      <w:tr>
        <w:tc>
          <w:tcPr>
            <w:gridSpan w:val="5"/>
          </w:tcPr>
          <w:p>
            <w:pPr>
              <w:pStyle w:val="Compact"/>
              <w:jc w:val="right"/>
            </w:pPr>
            <w:r>
              <w:rPr>
                <w:bCs/>
                <w:b/>
              </w:rPr>
              <w:t xml:space="preserve">Total Transport Emissions:</w:t>
            </w:r>
          </w:p>
        </w:tc>
        <w:tc>
          <w:tcPr/>
          <w:p>
            <w:pPr>
              <w:pStyle w:val="Compact"/>
              <w:jc w:val="left"/>
            </w:pPr>
            <w:r>
              <w:rPr>
                <w:bCs/>
                <w:b/>
              </w:rPr>
              <w:t xml:space="preserve">0.108 kg CO2e</w:t>
            </w:r>
          </w:p>
        </w:tc>
      </w:tr>
    </w:tbl>
    <w:bookmarkEnd w:id="35"/>
    <w:bookmarkEnd w:id="36"/>
    <w:bookmarkStart w:id="39" w:name="X847b86f2ee645d5d2fe2c7b6eccef325654fcdb"/>
    <w:p>
      <w:pPr>
        <w:pStyle w:val="Heading3"/>
      </w:pPr>
      <w:r>
        <w:t xml:space="preserve">Scope 1 &amp; 2: Production Emissions (Manufacturing)</w:t>
      </w:r>
    </w:p>
    <w:p>
      <w:pPr>
        <w:pStyle w:val="FirstParagraph"/>
      </w:pPr>
      <w:r>
        <w:t xml:space="preserve">Emissions generated at sezjmmrxkz\'s manufacturing facility in China.</w:t>
      </w:r>
    </w:p>
    <w:p>
      <w:pPr>
        <w:numPr>
          <w:ilvl w:val="0"/>
          <w:numId w:val="1010"/>
        </w:numPr>
        <w:pStyle w:val="Compact"/>
      </w:pPr>
      <w:r>
        <w:t xml:space="preserve">Energy Intensity: 8 kWh/unit</w:t>
      </w:r>
    </w:p>
    <w:p>
      <w:pPr>
        <w:numPr>
          <w:ilvl w:val="0"/>
          <w:numId w:val="1010"/>
        </w:numPr>
        <w:pStyle w:val="Compact"/>
      </w:pPr>
      <w:r>
        <w:t xml:space="preserve">Renewable Energy Usage: 75%</w:t>
      </w:r>
    </w:p>
    <w:p>
      <w:pPr>
        <w:numPr>
          <w:ilvl w:val="0"/>
          <w:numId w:val="1010"/>
        </w:numPr>
        <w:pStyle w:val="Compact"/>
      </w:pPr>
      <w:r>
        <w:t xml:space="preserve">Grid Electricity Used: 25% (2 kWh)</w:t>
      </w:r>
    </w:p>
    <w:p>
      <w:pPr>
        <w:numPr>
          <w:ilvl w:val="0"/>
          <w:numId w:val="1010"/>
        </w:numPr>
        <w:pStyle w:val="Compact"/>
      </w:pPr>
      <w:r>
        <w:t xml:space="preserve">Renewable Electricity Used: 75% (6 kWh)</w:t>
      </w:r>
    </w:p>
    <w:p>
      <w:pPr>
        <w:numPr>
          <w:ilvl w:val="0"/>
          <w:numId w:val="1010"/>
        </w:numPr>
        <w:pStyle w:val="Compact"/>
      </w:pPr>
      <w:r>
        <w:t xml:space="preserve">China Grid Emission Factor: 0.65 kg CO2e/kWh</w:t>
      </w:r>
    </w:p>
    <w:p>
      <w:pPr>
        <w:numPr>
          <w:ilvl w:val="0"/>
          <w:numId w:val="1010"/>
        </w:numPr>
        <w:pStyle w:val="Compact"/>
      </w:pPr>
      <w:r>
        <w:t xml:space="preserve">Renewable Energy Emission Factor: 0.01 kg CO2e/kWh</w:t>
      </w:r>
    </w:p>
    <w:bookmarkStart w:id="37" w:name="scope-1-direct-emissions"/>
    <w:p>
      <w:pPr>
        <w:pStyle w:val="Heading4"/>
      </w:pPr>
      <w:r>
        <w:t xml:space="preserve">Scope 1: Direct Emissions</w:t>
      </w:r>
    </w:p>
    <w:p>
      <w:pPr>
        <w:pStyle w:val="FirstParagraph"/>
      </w:pPr>
      <w:r>
        <w:t xml:space="preserve">For this product and manufacturing process, direct fossil fuel combustion on-site (e.g., boilers) is assumed to be negligible for simplicity unless specified.</w:t>
      </w:r>
      <w:r>
        <w:t xml:space="preserve"> </w:t>
      </w:r>
      <w:r>
        <w:t xml:space="preserve">Thus, Scope 1 emissions are estimated at</w:t>
      </w:r>
      <w:r>
        <w:t xml:space="preserve"> </w:t>
      </w:r>
      <w:r>
        <w:rPr>
          <w:bCs/>
          <w:b/>
        </w:rPr>
        <w:t xml:space="preserve">0.00 kg CO2e</w:t>
      </w:r>
      <w:r>
        <w:t xml:space="preserve">.</w:t>
      </w:r>
    </w:p>
    <w:bookmarkEnd w:id="37"/>
    <w:bookmarkStart w:id="38" w:name="scope-2-purchased-electricity-emissions"/>
    <w:p>
      <w:pPr>
        <w:pStyle w:val="Heading4"/>
      </w:pPr>
      <w:r>
        <w:t xml:space="preserve">Scope 2: Purchased Electricity Emissions</w:t>
      </w:r>
    </w:p>
    <w:p>
      <w:pPr>
        <w:pStyle w:val="FirstParagraph"/>
      </w:pPr>
      <w:r>
        <w:t xml:space="preserve">Emissions from purchased electricity for manufacturing.</w:t>
      </w:r>
    </w:p>
    <w:p>
      <w:pPr>
        <w:numPr>
          <w:ilvl w:val="0"/>
          <w:numId w:val="1011"/>
        </w:numPr>
        <w:pStyle w:val="Compact"/>
      </w:pPr>
      <w:r>
        <w:t xml:space="preserve">Grid Electricity Emissions: 2 kWh * 0.65 kg CO2e/kWh = 1.30 kg CO2e</w:t>
      </w:r>
    </w:p>
    <w:p>
      <w:pPr>
        <w:numPr>
          <w:ilvl w:val="0"/>
          <w:numId w:val="1011"/>
        </w:numPr>
        <w:pStyle w:val="Compact"/>
      </w:pPr>
      <w:r>
        <w:t xml:space="preserve">Renewable Electricity Emissions: 6 kWh * 0.01 kg CO2e/kWh = 0.06 kg CO2e</w:t>
      </w:r>
    </w:p>
    <w:p>
      <w:pPr>
        <w:numPr>
          <w:ilvl w:val="0"/>
          <w:numId w:val="1011"/>
        </w:numPr>
        <w:pStyle w:val="Compact"/>
      </w:pPr>
      <w:r>
        <w:rPr>
          <w:bCs/>
          <w:b/>
        </w:rPr>
        <w:t xml:space="preserve">Total Scope 2 Emissions: 1.36 kg CO2e</w:t>
      </w:r>
    </w:p>
    <w:bookmarkEnd w:id="38"/>
    <w:bookmarkEnd w:id="39"/>
    <w:bookmarkStart w:id="42" w:name="scope-3-downstream-emissions"/>
    <w:p>
      <w:pPr>
        <w:pStyle w:val="Heading3"/>
      </w:pPr>
      <w:r>
        <w:t xml:space="preserve">Scope 3: Downstream Emissions</w:t>
      </w:r>
    </w:p>
    <w:bookmarkStart w:id="40" w:name="category-11-use-of-sold-products"/>
    <w:p>
      <w:pPr>
        <w:pStyle w:val="Heading4"/>
      </w:pPr>
      <w:r>
        <w:t xml:space="preserve">Category 11: Use of Sold Products</w:t>
      </w:r>
    </w:p>
    <w:p>
      <w:pPr>
        <w:pStyle w:val="FirstParagraph"/>
      </w:pPr>
      <w:r>
        <w:t xml:space="preserve">Emissions occurring during the lifespan of the product by the end-user.</w:t>
      </w:r>
    </w:p>
    <w:p>
      <w:pPr>
        <w:numPr>
          <w:ilvl w:val="0"/>
          <w:numId w:val="1012"/>
        </w:numPr>
        <w:pStyle w:val="Compact"/>
      </w:pPr>
      <w:r>
        <w:t xml:space="preserve">Product Lifespan: 7 years</w:t>
      </w:r>
    </w:p>
    <w:p>
      <w:pPr>
        <w:numPr>
          <w:ilvl w:val="0"/>
          <w:numId w:val="1012"/>
        </w:numPr>
        <w:pStyle w:val="Compact"/>
      </w:pPr>
      <w:r>
        <w:t xml:space="preserve">Energy Consumption in Use: 15 kWh/year</w:t>
      </w:r>
    </w:p>
    <w:p>
      <w:pPr>
        <w:numPr>
          <w:ilvl w:val="0"/>
          <w:numId w:val="1012"/>
        </w:numPr>
        <w:pStyle w:val="Compact"/>
      </w:pPr>
      <w:r>
        <w:t xml:space="preserve">Total Energy Consumption over Lifespan: 15 kWh/year * 7 years = 105 kWh</w:t>
      </w:r>
    </w:p>
    <w:p>
      <w:pPr>
        <w:numPr>
          <w:ilvl w:val="0"/>
          <w:numId w:val="1012"/>
        </w:numPr>
        <w:pStyle w:val="Compact"/>
      </w:pPr>
      <w:r>
        <w:t xml:space="preserve">Global Average Grid Emission Factor: 0.45 kg CO2e/kWh</w:t>
      </w:r>
    </w:p>
    <w:p>
      <w:pPr>
        <w:numPr>
          <w:ilvl w:val="0"/>
          <w:numId w:val="1012"/>
        </w:numPr>
        <w:pStyle w:val="Compact"/>
      </w:pPr>
      <w:r>
        <w:rPr>
          <w:bCs/>
          <w:b/>
        </w:rPr>
        <w:t xml:space="preserve">Total Use Phase Emissions: 105 kWh * 0.45 kg CO2e/kWh = 47.25 kg CO2e</w:t>
      </w:r>
    </w:p>
    <w:bookmarkEnd w:id="40"/>
    <w:bookmarkStart w:id="41" w:name="X9f66eef2700632e081dfe139021cb724ffcd2c5"/>
    <w:p>
      <w:pPr>
        <w:pStyle w:val="Heading4"/>
      </w:pPr>
      <w:r>
        <w:t xml:space="preserve">Category 12: End-of-Life Treatment of Sold Products</w:t>
      </w:r>
    </w:p>
    <w:p>
      <w:pPr>
        <w:pStyle w:val="FirstParagraph"/>
      </w:pPr>
      <w:r>
        <w:t xml:space="preserve">Emissions related to the disposal or recycling of the product at the end of its life.</w:t>
      </w:r>
    </w:p>
    <w:p>
      <w:pPr>
        <w:numPr>
          <w:ilvl w:val="0"/>
          <w:numId w:val="1013"/>
        </w:numPr>
        <w:pStyle w:val="Compact"/>
      </w:pPr>
      <w:r>
        <w:t xml:space="preserve">Total Product Mass: 1.6 kg</w:t>
      </w:r>
    </w:p>
    <w:p>
      <w:pPr>
        <w:numPr>
          <w:ilvl w:val="0"/>
          <w:numId w:val="1013"/>
        </w:numPr>
        <w:pStyle w:val="Compact"/>
      </w:pPr>
      <w:r>
        <w:t xml:space="preserve">Recyclability Percentage: 90%</w:t>
      </w:r>
    </w:p>
    <w:p>
      <w:pPr>
        <w:numPr>
          <w:ilvl w:val="0"/>
          <w:numId w:val="1013"/>
        </w:numPr>
        <w:pStyle w:val="Compact"/>
      </w:pPr>
      <w:r>
        <w:t xml:space="preserve">Mass Recycled: 1.6 kg * 0.90 = 1.44 kg</w:t>
      </w:r>
    </w:p>
    <w:p>
      <w:pPr>
        <w:numPr>
          <w:ilvl w:val="0"/>
          <w:numId w:val="1013"/>
        </w:numPr>
        <w:pStyle w:val="Compact"/>
      </w:pPr>
      <w:r>
        <w:t xml:space="preserve">Mass Disposed (Landfill/Incineration): 1.6 kg * 0.10 = 0.16 kg</w:t>
      </w:r>
    </w:p>
    <w:p>
      <w:pPr>
        <w:numPr>
          <w:ilvl w:val="0"/>
          <w:numId w:val="1013"/>
        </w:numPr>
        <w:pStyle w:val="Compact"/>
      </w:pPr>
      <w:r>
        <w:t xml:space="preserve">Disposal Emissions: 0.16 kg * 1.5 kg CO2e/kg = 0.24 kg CO2e</w:t>
      </w:r>
    </w:p>
    <w:p>
      <w:pPr>
        <w:numPr>
          <w:ilvl w:val="0"/>
          <w:numId w:val="1013"/>
        </w:numPr>
        <w:pStyle w:val="Compact"/>
      </w:pPr>
      <w:r>
        <w:t xml:space="preserve">Recycling Credit (Avoided Emissions): 1.44 kg * (-1.0 kg CO2e/kg) = -1.44 kg CO2e (due to `Circular/Take-back Programs`)</w:t>
      </w:r>
    </w:p>
    <w:p>
      <w:pPr>
        <w:numPr>
          <w:ilvl w:val="0"/>
          <w:numId w:val="1013"/>
        </w:numPr>
        <w:pStyle w:val="Compact"/>
      </w:pPr>
      <w:r>
        <w:rPr>
          <w:bCs/>
          <w:b/>
        </w:rPr>
        <w:t xml:space="preserve">Total End-of-Life Emissions: 0.24 kg CO2e - 1.44 kg CO2e = -1.20 kg CO2e</w:t>
      </w:r>
    </w:p>
    <w:bookmarkEnd w:id="41"/>
    <w:bookmarkEnd w:id="42"/>
    <w:bookmarkStart w:id="43" w:name="total-product-carbon-footprint-summary"/>
    <w:p>
      <w:pPr>
        <w:pStyle w:val="Heading3"/>
      </w:pPr>
      <w:r>
        <w:t xml:space="preserve">Total Product Carbon Footprint Summary</w:t>
      </w:r>
    </w:p>
    <w:p>
      <w:pPr>
        <w:pStyle w:val="FirstParagraph"/>
      </w:pPr>
      <w:r>
        <w:t xml:space="preserve">Summation of emissions across all lifecycle stages per functional unit (1.0 unit).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w:t>
            </w:r>
          </w:p>
        </w:tc>
      </w:tr>
      <w:tr>
        <w:tc>
          <w:tcPr/>
          <w:p>
            <w:pPr>
              <w:pStyle w:val="Compact"/>
              <w:jc w:val="left"/>
            </w:pPr>
            <w:r>
              <w:rPr>
                <w:bCs/>
                <w:b/>
              </w:rPr>
              <w:t xml:space="preserve">Scope 1: Direct Emissions (Manufacturing)</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1.36</w:t>
            </w:r>
          </w:p>
        </w:tc>
      </w:tr>
      <w:tr>
        <w:tc>
          <w:tcPr/>
          <w:p>
            <w:pPr>
              <w:pStyle w:val="Compact"/>
              <w:jc w:val="left"/>
            </w:pPr>
            <w:r>
              <w:rPr>
                <w:bCs/>
                <w:b/>
              </w:rPr>
              <w:t xml:space="preserve">Scope 3, Category 1: Materials (Upstream)</w:t>
            </w:r>
          </w:p>
        </w:tc>
        <w:tc>
          <w:tcPr/>
          <w:p>
            <w:pPr>
              <w:pStyle w:val="Compact"/>
              <w:jc w:val="left"/>
            </w:pPr>
            <w:r>
              <w:t xml:space="preserve">10.92</w:t>
            </w:r>
          </w:p>
        </w:tc>
      </w:tr>
      <w:tr>
        <w:tc>
          <w:tcPr/>
          <w:p>
            <w:pPr>
              <w:pStyle w:val="Compact"/>
              <w:jc w:val="left"/>
            </w:pPr>
            <w:r>
              <w:rPr>
                <w:bCs/>
                <w:b/>
              </w:rPr>
              <w:t xml:space="preserve">Scope 3, Category 4: Transport (Upstream &amp; Downstream)</w:t>
            </w:r>
          </w:p>
        </w:tc>
        <w:tc>
          <w:tcPr/>
          <w:p>
            <w:pPr>
              <w:pStyle w:val="Compact"/>
              <w:jc w:val="left"/>
            </w:pPr>
            <w:r>
              <w:t xml:space="preserve">0.108</w:t>
            </w:r>
          </w:p>
        </w:tc>
      </w:tr>
      <w:tr>
        <w:tc>
          <w:tcPr/>
          <w:p>
            <w:pPr>
              <w:pStyle w:val="Compact"/>
              <w:jc w:val="left"/>
            </w:pPr>
            <w:r>
              <w:rPr>
                <w:bCs/>
                <w:b/>
              </w:rPr>
              <w:t xml:space="preserve">Scope 3, Category 11: Use Phase (Downstream)</w:t>
            </w:r>
          </w:p>
        </w:tc>
        <w:tc>
          <w:tcPr/>
          <w:p>
            <w:pPr>
              <w:pStyle w:val="Compact"/>
              <w:jc w:val="left"/>
            </w:pPr>
            <w:r>
              <w:t xml:space="preserve">47.25</w:t>
            </w:r>
          </w:p>
        </w:tc>
      </w:tr>
      <w:tr>
        <w:tc>
          <w:tcPr/>
          <w:p>
            <w:pPr>
              <w:pStyle w:val="Compact"/>
              <w:jc w:val="left"/>
            </w:pPr>
            <w:r>
              <w:rPr>
                <w:bCs/>
                <w:b/>
              </w:rPr>
              <w:t xml:space="preserve">Scope 3, Category 12: End-of-Life (Downstream)</w:t>
            </w:r>
          </w:p>
        </w:tc>
        <w:tc>
          <w:tcPr/>
          <w:p>
            <w:pPr>
              <w:pStyle w:val="Compact"/>
              <w:jc w:val="left"/>
            </w:pPr>
            <w:r>
              <w:t xml:space="preserve">-1.20</w:t>
            </w:r>
          </w:p>
        </w:tc>
      </w:tr>
      <w:tr>
        <w:tc>
          <w:tcPr/>
          <w:p>
            <w:pPr>
              <w:pStyle w:val="Compact"/>
              <w:jc w:val="left"/>
            </w:pPr>
            <w:r>
              <w:rPr>
                <w:bCs/>
                <w:b/>
              </w:rPr>
              <w:t xml:space="preserve">Total Product Carbon Footprint (PCF)</w:t>
            </w:r>
          </w:p>
        </w:tc>
        <w:tc>
          <w:tcPr/>
          <w:p>
            <w:pPr>
              <w:pStyle w:val="Compact"/>
              <w:jc w:val="left"/>
            </w:pPr>
            <w:r>
              <w:rPr>
                <w:bCs/>
                <w:b/>
              </w:rPr>
              <w:t xml:space="preserve">58.438 kg CO2e / unit</w:t>
            </w:r>
          </w:p>
        </w:tc>
      </w:tr>
    </w:tbl>
    <w:p>
      <w:pPr>
        <w:pStyle w:val="BodyText"/>
      </w:pPr>
      <w:r>
        <w:rPr>
          <w:iCs/>
          <w:i/>
        </w:rPr>
        <w:t xml:space="preserve">Note: The negative value in End-of-Life reflects the avoided emissions from high recyclability and effective take-back programs, offering a net benefit.</w:t>
      </w:r>
    </w:p>
    <w:p>
      <w:r>
        <w:pict>
          <v:rect style="width:0;height:1.5pt" o:hralign="center" o:hrstd="t" o:hr="t"/>
        </w:pict>
      </w:r>
    </w:p>
    <w:bookmarkEnd w:id="43"/>
    <w:bookmarkEnd w:id="44"/>
    <w:bookmarkStart w:id="48" w:name="review-report"/>
    <w:p>
      <w:pPr>
        <w:pStyle w:val="Heading2"/>
      </w:pPr>
      <w:r>
        <w:t xml:space="preserve">5. Review &amp; Report</w:t>
      </w:r>
    </w:p>
    <w:p>
      <w:pPr>
        <w:pStyle w:val="FirstParagraph"/>
      </w:pPr>
      <w:r>
        <w:t xml:space="preserve">This section summarizes the findings, identifies emission hotspots, and discusses the reliability of the assessment.</w:t>
      </w:r>
    </w:p>
    <w:bookmarkStart w:id="45" w:name="emission-hotspots"/>
    <w:p>
      <w:pPr>
        <w:pStyle w:val="Heading3"/>
      </w:pPr>
      <w:r>
        <w:t xml:space="preserve">Emission Hotspots</w:t>
      </w:r>
    </w:p>
    <w:p>
      <w:pPr>
        <w:pStyle w:val="FirstParagraph"/>
      </w:pPr>
      <w:r>
        <w:t xml:space="preserve">Based on the calculations, the primary emission hotspots for oznrogrlnz are:</w:t>
      </w:r>
    </w:p>
    <w:p>
      <w:pPr>
        <w:numPr>
          <w:ilvl w:val="0"/>
          <w:numId w:val="1014"/>
        </w:numPr>
        <w:pStyle w:val="Compact"/>
      </w:pPr>
      <w:r>
        <w:rPr>
          <w:bCs/>
          <w:b/>
        </w:rPr>
        <w:t xml:space="preserve">Use Phase (47.25 kg CO2e):</w:t>
      </w:r>
      <w:r>
        <w:t xml:space="preserve"> </w:t>
      </w:r>
      <w:r>
        <w:t xml:space="preserve">This is the most significant contributor, accounting for approximately 81% of the total PCF. This is driven by the product\'s energy consumption over its 7-year lifespan.</w:t>
      </w:r>
    </w:p>
    <w:p>
      <w:pPr>
        <w:numPr>
          <w:ilvl w:val="0"/>
          <w:numId w:val="1014"/>
        </w:numPr>
        <w:pStyle w:val="Compact"/>
      </w:pPr>
      <w:r>
        <w:rPr>
          <w:bCs/>
          <w:b/>
        </w:rPr>
        <w:t xml:space="preserve">Material Acquisition (10.92 kg CO2e):</w:t>
      </w:r>
      <w:r>
        <w:t xml:space="preserve"> </w:t>
      </w:r>
      <w:r>
        <w:t xml:space="preserve">Representing about 19% of the total PCF, the production of raw materials, particularly the Aluminum Chassis and Electronics Assembly, has a substantial impact.</w:t>
      </w:r>
    </w:p>
    <w:p>
      <w:pPr>
        <w:numPr>
          <w:ilvl w:val="0"/>
          <w:numId w:val="1014"/>
        </w:numPr>
        <w:pStyle w:val="Compact"/>
      </w:pPr>
      <w:r>
        <w:rPr>
          <w:bCs/>
          <w:b/>
        </w:rPr>
        <w:t xml:space="preserve">Manufacturing (Scope 2 - 1.36 kg CO2e):</w:t>
      </w:r>
      <w:r>
        <w:t xml:space="preserve"> </w:t>
      </w:r>
      <w:r>
        <w:t xml:space="preserve">While less dominant than use phase or materials, factory electricity consumption still contributes, though significantly mitigated by 75% renewable energy usage.</w:t>
      </w:r>
    </w:p>
    <w:p>
      <w:pPr>
        <w:numPr>
          <w:ilvl w:val="0"/>
          <w:numId w:val="1014"/>
        </w:numPr>
        <w:pStyle w:val="Compact"/>
      </w:pPr>
      <w:r>
        <w:rPr>
          <w:bCs/>
          <w:b/>
        </w:rPr>
        <w:t xml:space="preserve">End-of-Life (-1.20 kg CO2e):</w:t>
      </w:r>
      <w:r>
        <w:t xml:space="preserve"> </w:t>
      </w:r>
      <w:r>
        <w:t xml:space="preserve">The strong recyclability and circular programs result in net avoided emissions, highlighting the positive impact of robust EoL management.</w:t>
      </w:r>
    </w:p>
    <w:p>
      <w:pPr>
        <w:numPr>
          <w:ilvl w:val="0"/>
          <w:numId w:val="1014"/>
        </w:numPr>
        <w:pStyle w:val="Compact"/>
      </w:pPr>
      <w:r>
        <w:rPr>
          <w:bCs/>
          <w:b/>
        </w:rPr>
        <w:t xml:space="preserve">Transport (0.108 kg CO2e):</w:t>
      </w:r>
      <w:r>
        <w:t xml:space="preserve"> </w:t>
      </w:r>
      <w:r>
        <w:t xml:space="preserve">Due to efficient modes like sea freight, transport emissions are relatively minor in the overall footprint.</w:t>
      </w:r>
    </w:p>
    <w:bookmarkEnd w:id="45"/>
    <w:bookmarkStart w:id="46" w:name="reliability"/>
    <w:p>
      <w:pPr>
        <w:pStyle w:val="Heading3"/>
      </w:pPr>
      <w:r>
        <w:t xml:space="preserve">Reliability</w:t>
      </w:r>
    </w:p>
    <w:p>
      <w:pPr>
        <w:pStyle w:val="FirstParagraph"/>
      </w:pPr>
      <w:r>
        <w:t xml:space="preserve">The reliability of this PCF analysis is contingent on the accuracy and completeness of the input data:</w:t>
      </w:r>
    </w:p>
    <w:p>
      <w:pPr>
        <w:numPr>
          <w:ilvl w:val="0"/>
          <w:numId w:val="1015"/>
        </w:numPr>
        <w:pStyle w:val="Compact"/>
      </w:pPr>
      <w:r>
        <w:rPr>
          <w:bCs/>
          <w:b/>
        </w:rPr>
        <w:t xml:space="preserve">Primary Data:</w:t>
      </w:r>
      <w:r>
        <w:t xml:space="preserve"> </w:t>
      </w:r>
      <w:r>
        <w:t xml:space="preserve">The use of specific BOM data (</w:t>
      </w:r>
      <w:r>
        <w:rPr>
          <w:rStyle w:val="VerbatimChar"/>
        </w:rPr>
        <w:t xml:space="preserve">pegxhnqv</w:t>
      </w:r>
      <w:r>
        <w:t xml:space="preserve">), energy intensity (</w:t>
      </w:r>
      <w:r>
        <w:rPr>
          <w:rStyle w:val="VerbatimChar"/>
        </w:rPr>
        <w:t xml:space="preserve">rymhpwpvsh</w:t>
      </w:r>
      <w:r>
        <w:t xml:space="preserve">), renewable energy usage (</w:t>
      </w:r>
      <w:r>
        <w:rPr>
          <w:rStyle w:val="VerbatimChar"/>
        </w:rPr>
        <w:t xml:space="preserve">llipuudssf</w:t>
      </w:r>
      <w:r>
        <w:t xml:space="preserve">), lifespan (</w:t>
      </w:r>
      <w:r>
        <w:rPr>
          <w:rStyle w:val="VerbatimChar"/>
        </w:rPr>
        <w:t xml:space="preserve">nqswixulqg</w:t>
      </w:r>
      <w:r>
        <w:t xml:space="preserve">), use phase consumption (</w:t>
      </w:r>
      <w:r>
        <w:rPr>
          <w:rStyle w:val="VerbatimChar"/>
        </w:rPr>
        <w:t xml:space="preserve">ypwhjfrihs</w:t>
      </w:r>
      <w:r>
        <w:t xml:space="preserve">), recyclability (</w:t>
      </w:r>
      <w:r>
        <w:rPr>
          <w:rStyle w:val="VerbatimChar"/>
        </w:rPr>
        <w:t xml:space="preserve">yetxtifozh</w:t>
      </w:r>
      <w:r>
        <w:t xml:space="preserve">), and circular programs (</w:t>
      </w:r>
      <w:r>
        <w:rPr>
          <w:rStyle w:val="VerbatimChar"/>
        </w:rPr>
        <w:t xml:space="preserve">zokqypxind</w:t>
      </w:r>
      <w:r>
        <w:t xml:space="preserve">) enhances the accuracy compared to generic estimates. However, actual data points for these parameters would further strengthen the report.</w:t>
      </w:r>
    </w:p>
    <w:p>
      <w:pPr>
        <w:numPr>
          <w:ilvl w:val="0"/>
          <w:numId w:val="1015"/>
        </w:numPr>
        <w:pStyle w:val="Compact"/>
      </w:pPr>
      <w:r>
        <w:rPr>
          <w:bCs/>
          <w:b/>
        </w:rPr>
        <w:t xml:space="preserve">Secondary Data:</w:t>
      </w:r>
      <w:r>
        <w:t xml:space="preserve"> </w:t>
      </w:r>
      <w:r>
        <w:t xml:space="preserve">Industry-standard emission factors from reputable sources (e.g., Ecoinvent, DEFRA) were used for transport and generic electricity mixes where specific supplier data was unavailable. While robust, these are generalized and can introduce some uncertainty.</w:t>
      </w:r>
    </w:p>
    <w:p>
      <w:pPr>
        <w:numPr>
          <w:ilvl w:val="0"/>
          <w:numId w:val="1015"/>
        </w:numPr>
        <w:pStyle w:val="Compact"/>
      </w:pPr>
      <w:r>
        <w:rPr>
          <w:bCs/>
          <w:b/>
        </w:rPr>
        <w:t xml:space="preserve">Scope 3 Coverage:</w:t>
      </w:r>
      <w:r>
        <w:t xml:space="preserve"> </w:t>
      </w:r>
      <w:r>
        <w:t xml:space="preserve">The analysis aimed for and achieved comprehensive Scope 3 coverage, encompassing all significant upstream and downstream categories, in line with 2026 GHG Protocol requirements.</w:t>
      </w:r>
    </w:p>
    <w:p>
      <w:pPr>
        <w:numPr>
          <w:ilvl w:val="0"/>
          <w:numId w:val="1015"/>
        </w:numPr>
        <w:pStyle w:val="Compact"/>
      </w:pPr>
      <w:r>
        <w:rPr>
          <w:bCs/>
          <w:b/>
        </w:rPr>
        <w:t xml:space="preserve">LSR Application:</w:t>
      </w:r>
      <w:r>
        <w:t xml:space="preserve"> </w:t>
      </w:r>
      <w:r>
        <w:t xml:space="preserve">The LSR Standard was considered, and for this product\'s given BOM, direct land use impacts were deemed minimal. More detailed component breakdowns might reveal specific land-use related emissions if, for instance, bio-based materials from specific sources were involved.</w:t>
      </w:r>
    </w:p>
    <w:bookmarkEnd w:id="46"/>
    <w:bookmarkStart w:id="47" w:name="recommendations-for-improvement"/>
    <w:p>
      <w:pPr>
        <w:pStyle w:val="Heading3"/>
      </w:pPr>
      <w:r>
        <w:t xml:space="preserve">Recommendations for Improvement</w:t>
      </w:r>
    </w:p>
    <w:p>
      <w:pPr>
        <w:numPr>
          <w:ilvl w:val="0"/>
          <w:numId w:val="1016"/>
        </w:numPr>
        <w:pStyle w:val="Compact"/>
      </w:pPr>
      <w:r>
        <w:rPr>
          <w:bCs/>
          <w:b/>
        </w:rPr>
        <w:t xml:space="preserve">Optimize Use Phase Energy Efficiency:</w:t>
      </w:r>
      <w:r>
        <w:t xml:space="preserve"> </w:t>
      </w:r>
      <w:r>
        <w:t xml:space="preserve">Given that the use phase is the largest hotspot, explore opportunities to further reduce the product\'s energy consumption during its operational life. This could involve more efficient components, power management features, or smart charging capabilities.</w:t>
      </w:r>
    </w:p>
    <w:p>
      <w:pPr>
        <w:numPr>
          <w:ilvl w:val="0"/>
          <w:numId w:val="1016"/>
        </w:numPr>
        <w:pStyle w:val="Compact"/>
      </w:pPr>
      <w:r>
        <w:rPr>
          <w:bCs/>
          <w:b/>
        </w:rPr>
        <w:t xml:space="preserve">Green Material Sourcing:</w:t>
      </w:r>
      <w:r>
        <w:t xml:space="preserve"> </w:t>
      </w:r>
      <w:r>
        <w:t xml:space="preserve">Investigate options for sourcing lower-carbon alternative materials for the Aluminum Chassis and Electronics Assembly, or collaborate with suppliers to reduce their manufacturing emissions.</w:t>
      </w:r>
    </w:p>
    <w:p>
      <w:pPr>
        <w:numPr>
          <w:ilvl w:val="0"/>
          <w:numId w:val="1016"/>
        </w:numPr>
        <w:pStyle w:val="Compact"/>
      </w:pPr>
      <w:r>
        <w:rPr>
          <w:bCs/>
          <w:b/>
        </w:rPr>
        <w:t xml:space="preserve">Enhance Circularity:</w:t>
      </w:r>
      <w:r>
        <w:t xml:space="preserve"> </w:t>
      </w:r>
      <w:r>
        <w:t xml:space="preserve">Continue to invest in and promote take-back and recycling programs, potentially exploring design for disassembly to maximize material recovery and further increase avoided emissions.</w:t>
      </w:r>
    </w:p>
    <w:p>
      <w:pPr>
        <w:numPr>
          <w:ilvl w:val="0"/>
          <w:numId w:val="1016"/>
        </w:numPr>
        <w:pStyle w:val="Compact"/>
      </w:pPr>
      <w:r>
        <w:rPr>
          <w:bCs/>
          <w:b/>
        </w:rPr>
        <w:t xml:space="preserve">Primary Data Collection:</w:t>
      </w:r>
      <w:r>
        <w:t xml:space="preserve"> </w:t>
      </w:r>
      <w:r>
        <w:t xml:space="preserve">Implement robust systems for collecting primary data for all material inputs, manufacturing processes, and logistics from direct suppliers to reduce reliance on secondary data.</w:t>
      </w:r>
    </w:p>
    <w:p>
      <w:pPr>
        <w:pStyle w:val="FirstParagraph"/>
      </w:pPr>
      <w:r>
        <w:t xml:space="preserve">This report provides a solid foundation for sezjmmrxkz to understand the environmental impact of oznrogrlnz and to guide strategic decisions towards a more sustainable product lifecycle.</w:t>
      </w:r>
    </w:p>
    <w:bookmarkEnd w:id="47"/>
    <w:bookmarkEnd w:id="48"/>
    <w:p>
      <w:pPr>
        <w:pStyle w:val="BodyText"/>
      </w:pPr>
      <w:r>
        <w:t xml:space="preserve">Confidential - Internal Use Only | Page</w:t>
      </w:r>
      <w:r>
        <w:t xml:space="preserve"> </w:t>
      </w:r>
      <w:bookmarkStart w:id="49" w:name="page-num"/>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oznrogrlnz</dc:title>
  <dc:creator/>
  <dc:description>A high-detail Product Carbon Footprint (PCF) analysis report for oznrogrlnz by sezjmmrxkz, adhering to GHG Protocol and 2026 LSR updates, prepared by Senior Sustainability Consultant horfztekpx.</dc:description>
  <dc:language>en</dc:language>
  <cp:keywords/>
  <dcterms:created xsi:type="dcterms:W3CDTF">2026-07-15T14:21:56Z</dcterms:created>
  <dcterms:modified xsi:type="dcterms:W3CDTF">2026-07-15T14:21:56Z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