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omhrqjywlx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omhrqjywlx</w:t>
      </w:r>
    </w:p>
    <w:p>
      <w:pPr>
        <w:pStyle w:val="BodyText"/>
      </w:pPr>
      <w:r>
        <w:rPr>
          <w:bCs/>
          <w:b/>
        </w:rPr>
        <w:t xml:space="preserve">Company:</w:t>
      </w:r>
      <w:r>
        <w:t xml:space="preserve"> </w:t>
      </w:r>
      <w:r>
        <w:t xml:space="preserve">meumjdmqhy</w:t>
      </w:r>
    </w:p>
    <w:p>
      <w:pPr>
        <w:pStyle w:val="BodyText"/>
      </w:pPr>
      <w:r>
        <w:rPr>
          <w:bCs/>
          <w:b/>
        </w:rPr>
        <w:t xml:space="preserve">Senior Sustainability Consultant:</w:t>
      </w:r>
      <w:r>
        <w:t xml:space="preserve"> </w:t>
      </w:r>
      <w:r>
        <w:t xml:space="preserve">otuxmezpnr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Specific emission factors and calculation results are illustrative and based on assumed/placeholder data due to the nature of the prompt, but the methodology adheres to GHG Protocol principles.</w:t>
      </w:r>
    </w:p>
    <w:bookmarkEnd w:id="20"/>
    <w:p>
      <w:pPr>
        <w:pStyle w:val="BodyText"/>
      </w:pPr>
      <w:r>
        <w:t xml:space="preserve">Generated Date: Monday, May 25,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omhrqjywlx</w:t>
      </w:r>
      <w:r>
        <w:t xml:space="preserve">, manufactured by</w:t>
      </w:r>
      <w:r>
        <w:t xml:space="preserve"> </w:t>
      </w:r>
      <w:r>
        <w:rPr>
          <w:bCs/>
          <w:b/>
        </w:rPr>
        <w:t xml:space="preserve">meumjdmqhy</w:t>
      </w:r>
      <w:r>
        <w:t xml:space="preserve">. The analysis was conducted by</w:t>
      </w:r>
      <w:r>
        <w:t xml:space="preserve"> </w:t>
      </w:r>
      <w:r>
        <w:rPr>
          <w:bCs/>
          <w:b/>
        </w:rPr>
        <w:t xml:space="preserve">otuxmezpnr</w:t>
      </w:r>
      <w:r>
        <w:t xml:space="preserve">, Senior Sustainability Consultant, adhering to the Greenhouse Gas (GHG) Protocol. The primary objective is to quantify the total greenhouse gas emissions associated with the product\'s lifecycle, from raw material extraction to end-of-life, expressed in carbon dioxide equivalents (CO2e).</w:t>
      </w:r>
    </w:p>
    <w:p>
      <w:pPr>
        <w:pStyle w:val="BodyText"/>
      </w:pPr>
      <w:r>
        <w:t xml:space="preserve">The PCF was calculated using a cradle-to-gate plus downstream approach, incorporating specific data for materials, manufacturing energy, transport, product use, and end-of-life scenarios. Special attention has been given to the 2026 Land Sector and Removals (LSR) Standard updates and achieving at least 95% coverage for Scope 3 emissions, as per emerging GHG Protocol requirements.</w:t>
      </w:r>
    </w:p>
    <w:p>
      <w:pPr>
        <w:pStyle w:val="BodyText"/>
      </w:pPr>
      <w:r>
        <w:t xml:space="preserve">Key findings highlight the significant emission hotspots across the product\'s lifecycle, providing strategic insights for emission reduction initiatives.</w:t>
      </w:r>
    </w:p>
    <w:p>
      <w:r>
        <w:pict>
          <v:rect style="width:0;height:1.5pt" o:hralign="center" o:hrstd="t" o:hr="t"/>
        </w:pict>
      </w:r>
    </w:p>
    <w:bookmarkEnd w:id="21"/>
    <w:bookmarkStart w:id="29" w:name="methodology-and-scope-definition"/>
    <w:p>
      <w:pPr>
        <w:pStyle w:val="Heading1"/>
      </w:pPr>
      <w:r>
        <w:t xml:space="preserve">1. Methodology and Scope Definition</w:t>
      </w:r>
    </w:p>
    <w:bookmarkStart w:id="22" w:name="accounting-standard"/>
    <w:p>
      <w:pPr>
        <w:pStyle w:val="Heading2"/>
      </w:pPr>
      <w:r>
        <w:t xml:space="preserve">1.1.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specifically the Product Life Cycle Accounting and Reporting Standard. Emissions are categorized into Scope 1 (direct emissions), Scope 2 (indirect emissions from purchased energy), and Scope 3 (all other indirect emissions across the value chain). The analysis also considers the recent 2026 updates to the GHG Protocol, including the Land Sector and Removals (LSR) Standard and the heightened requirements for Scope 3 completeness.</w:t>
      </w:r>
    </w:p>
    <w:bookmarkEnd w:id="22"/>
    <w:bookmarkStart w:id="23" w:name="functional-unit"/>
    <w:p>
      <w:pPr>
        <w:pStyle w:val="Heading2"/>
      </w:pPr>
      <w:r>
        <w:t xml:space="preserve">1.2. Functional Unit</w:t>
      </w:r>
    </w:p>
    <w:p>
      <w:pPr>
        <w:pStyle w:val="FirstParagraph"/>
      </w:pPr>
      <w:r>
        <w:t xml:space="preserve">The functional unit for this PCF analysis is defined as:</w:t>
      </w:r>
      <w:r>
        <w:t xml:space="preserve"> </w:t>
      </w:r>
      <w:r>
        <w:rPr>
          <w:bCs/>
          <w:b/>
        </w:rPr>
        <w:t xml:space="preserve">1.0 unit of omhrqjywlx</w:t>
      </w:r>
      <w:r>
        <w:t xml:space="preserve">.</w:t>
      </w:r>
    </w:p>
    <w:bookmarkEnd w:id="23"/>
    <w:bookmarkStart w:id="24" w:name="system-boundary"/>
    <w:p>
      <w:pPr>
        <w:pStyle w:val="Heading2"/>
      </w:pPr>
      <w:r>
        <w:t xml:space="preserve">1.3. System Boundary</w:t>
      </w:r>
    </w:p>
    <w:p>
      <w:pPr>
        <w:pStyle w:val="FirstParagraph"/>
      </w:pPr>
      <w:r>
        <w:t xml:space="preserve">The system boundary for this PCF analysis is defined as</w:t>
      </w:r>
      <w:r>
        <w:t xml:space="preserve"> </w:t>
      </w:r>
      <w:r>
        <w:rPr>
          <w:bCs/>
          <w:b/>
        </w:rPr>
        <w:t xml:space="preserve">factory_gate</w:t>
      </w:r>
      <w:r>
        <w:t xml:space="preserve">, encompassing all upstream activities from raw material acquisition to the point the finished product leaves the manufacturing facility. Additionally, the analysis extends to cover key downstream stages including transportation to the customer, the product\'s use phase, and its end-of-life treatment, to provide a comprehensive view of the product\'s total lifecycle impact.</w:t>
      </w:r>
    </w:p>
    <w:bookmarkEnd w:id="24"/>
    <w:bookmarkStart w:id="25" w:name="geographic-scope"/>
    <w:p>
      <w:pPr>
        <w:pStyle w:val="Heading2"/>
      </w:pPr>
      <w:r>
        <w:t xml:space="preserve">1.4. Geographic Scope</w:t>
      </w:r>
    </w:p>
    <w:p>
      <w:pPr>
        <w:pStyle w:val="FirstParagraph"/>
      </w:pPr>
      <w:r>
        <w:t xml:space="preserve">The Geographic Scope for final production is</w:t>
      </w:r>
      <w:r>
        <w:t xml:space="preserve"> </w:t>
      </w:r>
      <w:r>
        <w:rPr>
          <w:bCs/>
          <w:b/>
        </w:rPr>
        <w:t xml:space="preserve">China</w:t>
      </w:r>
      <w:r>
        <w:t xml:space="preserve">, with a</w:t>
      </w:r>
      <w:r>
        <w:t xml:space="preserve"> </w:t>
      </w:r>
      <w:r>
        <w:rPr>
          <w:bCs/>
          <w:b/>
        </w:rPr>
        <w:t xml:space="preserve">Europe Focused</w:t>
      </w:r>
      <w:r>
        <w:t xml:space="preserve"> </w:t>
      </w:r>
      <w:r>
        <w:t xml:space="preserve">supply chain for upstream activities. This implies considering regional specificities for energy mixes and transportation routes where applicable.</w:t>
      </w:r>
    </w:p>
    <w:bookmarkEnd w:id="25"/>
    <w:bookmarkStart w:id="26" w:name="allocation"/>
    <w:p>
      <w:pPr>
        <w:pStyle w:val="Heading2"/>
      </w:pPr>
      <w:r>
        <w:t xml:space="preserve">1.5. Allocation</w:t>
      </w:r>
    </w:p>
    <w:p>
      <w:pPr>
        <w:pStyle w:val="FirstParagraph"/>
      </w:pPr>
      <w:r>
        <w:t xml:space="preserve">Allocation of emissions for co-products or multi-functional processes is primarily based on mass allocation where appropriate and practical. For specific materials and processes, the inherent emission factors provided within the Bill of Materials (BOM) implicitly handle their respective allocations.</w:t>
      </w:r>
    </w:p>
    <w:bookmarkEnd w:id="26"/>
    <w:bookmarkStart w:id="27" w:name="X504f4a86e01fdcfa46a4589bb1b5e0cfaad8629"/>
    <w:p>
      <w:pPr>
        <w:pStyle w:val="Heading2"/>
      </w:pPr>
      <w:r>
        <w:t xml:space="preserve">1.6. 2026 Land Sector and Removals (LSR) Standard Update</w:t>
      </w:r>
    </w:p>
    <w:p>
      <w:pPr>
        <w:pStyle w:val="FirstParagraph"/>
      </w:pPr>
      <w:r>
        <w:t xml:space="preserve">The GHG Protocol\'s Land Sector and Removals (LSR) Standard, published on January 30, 2026, and effective January 1, 2027, provides requirements for accounting and reporting land emissions, CO2 removals, and other relevant metrics from anthropogenic activities in the land sector, as well as CO2 removal technologies. While the product</w:t>
      </w:r>
      <w:r>
        <w:t xml:space="preserve"> </w:t>
      </w:r>
      <w:r>
        <w:rPr>
          <w:bCs/>
          <w:b/>
        </w:rPr>
        <w:t xml:space="preserve">omhrqjywlx</w:t>
      </w:r>
      <w:r>
        <w:t xml:space="preserve"> </w:t>
      </w:r>
      <w:r>
        <w:t xml:space="preserve">itself does not have direct land-sector activities, its upstream supply chain for raw materials, particularly those derived from agriculture or requiring significant land use change, would fall under the purview of this standard. For this report, we acknowledge the LSR Standard and would incorporate specific land-use change emissions or removals data if available for relevant raw materials in the BOM. As the accompanying guidance is expected in Q2 2026, this report notes the intention to integrate such detailed accounting as data and methodologies mature.</w:t>
      </w:r>
    </w:p>
    <w:bookmarkEnd w:id="27"/>
    <w:bookmarkStart w:id="28" w:name="scope-3-compliance-2026-requirements"/>
    <w:p>
      <w:pPr>
        <w:pStyle w:val="Heading2"/>
      </w:pPr>
      <w:r>
        <w:t xml:space="preserve">1.7. Scope 3 Compliance (2026 Requirements)</w:t>
      </w:r>
    </w:p>
    <w:p>
      <w:pPr>
        <w:pStyle w:val="FirstParagraph"/>
      </w:pPr>
      <w:r>
        <w:t xml:space="preserve">As per the 2026 requirements, this analysis aims to ensure at least</w:t>
      </w:r>
      <w:r>
        <w:t xml:space="preserve"> </w:t>
      </w:r>
      <w:r>
        <w:rPr>
          <w:bCs/>
          <w:b/>
        </w:rPr>
        <w:t xml:space="preserve">95% coverage for Scope 3 reporting</w:t>
      </w:r>
      <w:r>
        <w:t xml:space="preserve">. This involves a diligent effort to identify and quantify all significant indirect emissions across the entire value chain, both upstream and downstream, minimizing exclusions to ensure a complete, consistent, and transparent inventory. Data limitations for certain categories are acknowledged, and proxy data or industry averages are used where primary data is unavailable, with clear disclosure of such assumptions.</w:t>
      </w:r>
    </w:p>
    <w:p>
      <w:r>
        <w:pict>
          <v:rect style="width:0;height:1.5pt" o:hralign="center" o:hrstd="t" o:hr="t"/>
        </w:pict>
      </w:r>
    </w:p>
    <w:bookmarkEnd w:id="28"/>
    <w:bookmarkEnd w:id="29"/>
    <w:bookmarkStart w:id="35" w:name="X07cf0ea829f60a4f8fa47c00f72a11793fbe483"/>
    <w:p>
      <w:pPr>
        <w:pStyle w:val="Heading1"/>
      </w:pPr>
      <w:r>
        <w:t xml:space="preserve">2. Lifecycle Mapping (LCI Inventory Stages) &amp; 3. Data Collection</w:t>
      </w:r>
    </w:p>
    <w:p>
      <w:pPr>
        <w:pStyle w:val="FirstParagraph"/>
      </w:pPr>
      <w:r>
        <w:t xml:space="preserve">The lifecycle of</w:t>
      </w:r>
      <w:r>
        <w:t xml:space="preserve"> </w:t>
      </w:r>
      <w:r>
        <w:rPr>
          <w:bCs/>
          <w:b/>
        </w:rPr>
        <w:t xml:space="preserve">omhrqjywlx</w:t>
      </w:r>
      <w:r>
        <w:t xml:space="preserve"> </w:t>
      </w:r>
      <w:r>
        <w:t xml:space="preserve">has been mapped into distinct stages for comprehensive data collection and emission calculation:</w:t>
      </w:r>
    </w:p>
    <w:p>
      <w:pPr>
        <w:numPr>
          <w:ilvl w:val="0"/>
          <w:numId w:val="1001"/>
        </w:numPr>
        <w:pStyle w:val="Compact"/>
      </w:pPr>
      <w:r>
        <w:rPr>
          <w:bCs/>
          <w:b/>
        </w:rPr>
        <w:t xml:space="preserve">Raw Material Acquisition &amp; Pre-processing (Upstream - Scope 3, Category 1):</w:t>
      </w:r>
      <w:r>
        <w:t xml:space="preserve"> </w:t>
      </w:r>
      <w:r>
        <w:t xml:space="preserve">This stage covers the extraction, processing, and manufacturing of all constituent materials specified in the Bill of Materials (BOM).</w:t>
      </w:r>
    </w:p>
    <w:p>
      <w:pPr>
        <w:numPr>
          <w:ilvl w:val="0"/>
          <w:numId w:val="1001"/>
        </w:numPr>
        <w:pStyle w:val="Compact"/>
      </w:pPr>
      <w:r>
        <w:rPr>
          <w:bCs/>
          <w:b/>
        </w:rPr>
        <w:t xml:space="preserve">Manufacturing (Core Production - Scope 1 &amp; 2):</w:t>
      </w:r>
      <w:r>
        <w:t xml:space="preserve"> </w:t>
      </w:r>
      <w:r>
        <w:t xml:space="preserve">Encompasses direct emissions from owned or controlled sources (Scope 1) and emissions from purchased electricity for the final assembly/production processes (Scope 2) in China.</w:t>
      </w:r>
    </w:p>
    <w:p>
      <w:pPr>
        <w:numPr>
          <w:ilvl w:val="0"/>
          <w:numId w:val="1001"/>
        </w:numPr>
        <w:pStyle w:val="Compact"/>
      </w:pPr>
      <w:r>
        <w:rPr>
          <w:bCs/>
          <w:b/>
        </w:rPr>
        <w:t xml:space="preserve">Transportation &amp; Distribution (Upstream &amp; Downstream - Scope 3, Categories 4 &amp; 9):</w:t>
      </w:r>
      <w:r>
        <w:t xml:space="preserve"> </w:t>
      </w:r>
      <w:r>
        <w:t xml:space="preserve">Includes the transport of raw materials to the manufacturing facility and the distribution of the finished product to the end-user.</w:t>
      </w:r>
    </w:p>
    <w:p>
      <w:pPr>
        <w:numPr>
          <w:ilvl w:val="0"/>
          <w:numId w:val="1001"/>
        </w:numPr>
        <w:pStyle w:val="Compact"/>
      </w:pPr>
      <w:r>
        <w:rPr>
          <w:bCs/>
          <w:b/>
        </w:rPr>
        <w:t xml:space="preserve">Use Phase (Downstream - Scope 3, Category 11):</w:t>
      </w:r>
      <w:r>
        <w:t xml:space="preserve"> </w:t>
      </w:r>
      <w:r>
        <w:t xml:space="preserve">Accounts for emissions resulting from the energy consumption during the product\'s active use over its lifespan.</w:t>
      </w:r>
    </w:p>
    <w:p>
      <w:pPr>
        <w:numPr>
          <w:ilvl w:val="0"/>
          <w:numId w:val="1001"/>
        </w:numPr>
        <w:pStyle w:val="Compact"/>
      </w:pPr>
      <w:r>
        <w:rPr>
          <w:bCs/>
          <w:b/>
        </w:rPr>
        <w:t xml:space="preserve">End-of-Life (Downstream - Scope 3, Category 12):</w:t>
      </w:r>
      <w:r>
        <w:t xml:space="preserve"> </w:t>
      </w:r>
      <w:r>
        <w:t xml:space="preserve">Covers emissions and potential avoided emissions (credits) associated with the disposal, recycling, or recovery of the product at the end of its useful life.</w:t>
      </w:r>
    </w:p>
    <w:bookmarkStart w:id="30" w:name="detailed-bill-of-materials-bom-analysis"/>
    <w:p>
      <w:pPr>
        <w:pStyle w:val="Heading2"/>
      </w:pPr>
      <w:r>
        <w:t xml:space="preserve">3.1. Detailed Bill of Materials (BOM) Analysis</w:t>
      </w:r>
    </w:p>
    <w:p>
      <w:pPr>
        <w:pStyle w:val="FirstParagraph"/>
      </w:pPr>
      <w:r>
        <w:t xml:space="preserve">The provided Detailed Bill of Materials (BOM)</w:t>
      </w:r>
      <w:r>
        <w:t xml:space="preserve"> </w:t>
      </w:r>
      <w:r>
        <w:rPr>
          <w:bCs/>
          <w:b/>
        </w:rPr>
        <w:t xml:space="preserve">hoyvkzzp</w:t>
      </w:r>
      <w:r>
        <w:t xml:space="preserve"> </w:t>
      </w:r>
      <w:r>
        <w:t xml:space="preserve">is crucial for a high-accuracy material impact calculation. The total carbon emissions for each material item have been directly incorporated as specified.</w:t>
      </w:r>
    </w:p>
    <w:p>
      <w:pPr>
        <w:pStyle w:val="BodyText"/>
      </w:pPr>
      <w:r>
        <w:rPr>
          <w:bCs/>
          <w:b/>
        </w:rPr>
        <w:t xml:space="preserve">BOM Data for omhrqjywlx: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Carbon Impact from BOM:</w:t>
      </w:r>
      <w:r>
        <w:t xml:space="preserve"> </w:t>
      </w:r>
      <w:r>
        <w:t xml:space="preserve">2.70 kg CO2e</w:t>
      </w:r>
    </w:p>
    <w:bookmarkEnd w:id="30"/>
    <w:bookmarkStart w:id="31" w:name="energy-and-operational-data"/>
    <w:p>
      <w:pPr>
        <w:pStyle w:val="Heading2"/>
      </w:pPr>
      <w:r>
        <w:t xml:space="preserve">3.2. Energy and Operational Data</w:t>
      </w:r>
    </w:p>
    <w:p>
      <w:pPr>
        <w:numPr>
          <w:ilvl w:val="0"/>
          <w:numId w:val="1002"/>
        </w:numPr>
        <w:pStyle w:val="Compact"/>
      </w:pPr>
      <w:r>
        <w:rPr>
          <w:bCs/>
          <w:b/>
        </w:rPr>
        <w:t xml:space="preserve">Renewable Energy Usage:</w:t>
      </w:r>
      <w:r>
        <w:t xml:space="preserve"> </w:t>
      </w:r>
      <w:r>
        <w:t xml:space="preserve">shwninkjyv (60%)</w:t>
      </w:r>
    </w:p>
    <w:p>
      <w:pPr>
        <w:numPr>
          <w:ilvl w:val="0"/>
          <w:numId w:val="1002"/>
        </w:numPr>
        <w:pStyle w:val="Compact"/>
      </w:pPr>
      <w:r>
        <w:rPr>
          <w:bCs/>
          <w:b/>
        </w:rPr>
        <w:t xml:space="preserve">Energy Intensity (production):</w:t>
      </w:r>
      <w:r>
        <w:t xml:space="preserve"> </w:t>
      </w:r>
      <w:r>
        <w:t xml:space="preserve">dtpuvvipvp (5 kWh/unit)</w:t>
      </w:r>
    </w:p>
    <w:p>
      <w:pPr>
        <w:numPr>
          <w:ilvl w:val="0"/>
          <w:numId w:val="1002"/>
        </w:numPr>
        <w:pStyle w:val="Compact"/>
      </w:pPr>
      <w:r>
        <w:rPr>
          <w:bCs/>
          <w:b/>
        </w:rPr>
        <w:t xml:space="preserve">Electricity Grid Emission Factor (China, Illustrative):</w:t>
      </w:r>
      <w:r>
        <w:t xml:space="preserve"> </w:t>
      </w:r>
      <w:r>
        <w:t xml:space="preserve">0.7 kg CO2e/kWh. This is an assumed average factor for electricity generation in China, considering the variability of provincial grid mixes.</w:t>
      </w:r>
    </w:p>
    <w:p>
      <w:pPr>
        <w:numPr>
          <w:ilvl w:val="0"/>
          <w:numId w:val="1002"/>
        </w:numPr>
        <w:pStyle w:val="Compact"/>
      </w:pPr>
      <w:r>
        <w:rPr>
          <w:bCs/>
          <w:b/>
        </w:rPr>
        <w:t xml:space="preserve">Direct Manufacturing Process Emissions (Illustrative Scope 1):</w:t>
      </w:r>
      <w:r>
        <w:t xml:space="preserve"> </w:t>
      </w:r>
      <w:r>
        <w:t xml:space="preserve">0.1 kg CO2e/unit (assumed for minor process emissions).</w:t>
      </w:r>
    </w:p>
    <w:bookmarkEnd w:id="31"/>
    <w:bookmarkStart w:id="32" w:name="logistics-data"/>
    <w:p>
      <w:pPr>
        <w:pStyle w:val="Heading2"/>
      </w:pPr>
      <w:r>
        <w:t xml:space="preserve">3.3. Logistics Data</w:t>
      </w:r>
    </w:p>
    <w:p>
      <w:pPr>
        <w:numPr>
          <w:ilvl w:val="0"/>
          <w:numId w:val="1003"/>
        </w:numPr>
        <w:pStyle w:val="Compact"/>
      </w:pPr>
      <w:r>
        <w:rPr>
          <w:bCs/>
          <w:b/>
        </w:rPr>
        <w:t xml:space="preserve">Transport Mode:</w:t>
      </w:r>
      <w:r>
        <w:t xml:space="preserve"> </w:t>
      </w:r>
      <w:r>
        <w:t xml:space="preserve">Select Mode (Road Freight (Heavy Goods Vehicle))</w:t>
      </w:r>
    </w:p>
    <w:p>
      <w:pPr>
        <w:numPr>
          <w:ilvl w:val="0"/>
          <w:numId w:val="1003"/>
        </w:numPr>
        <w:pStyle w:val="Compact"/>
      </w:pPr>
      <w:r>
        <w:rPr>
          <w:bCs/>
          <w:b/>
        </w:rPr>
        <w:t xml:space="preserve">Transport Distance:</w:t>
      </w:r>
      <w:r>
        <w:t xml:space="preserve"> </w:t>
      </w:r>
      <w:r>
        <w:t xml:space="preserve">kmmroldhqy (1500 km)</w:t>
      </w:r>
    </w:p>
    <w:p>
      <w:pPr>
        <w:numPr>
          <w:ilvl w:val="0"/>
          <w:numId w:val="1003"/>
        </w:numPr>
        <w:pStyle w:val="Compact"/>
      </w:pPr>
      <w:r>
        <w:rPr>
          <w:bCs/>
          <w:b/>
        </w:rPr>
        <w:t xml:space="preserve">Last-Mile Delivery Channel:</w:t>
      </w:r>
      <w:r>
        <w:t xml:space="preserve"> </w:t>
      </w:r>
      <w:r>
        <w:t xml:space="preserve">Delivery Type (Parcel Delivery Service)</w:t>
      </w:r>
    </w:p>
    <w:p>
      <w:pPr>
        <w:numPr>
          <w:ilvl w:val="0"/>
          <w:numId w:val="1003"/>
        </w:numPr>
        <w:pStyle w:val="Compact"/>
      </w:pPr>
      <w:r>
        <w:rPr>
          <w:bCs/>
          <w:b/>
        </w:rPr>
        <w:t xml:space="preserve">Illustrative Emission Factor for Road Freight:</w:t>
      </w:r>
      <w:r>
        <w:t xml:space="preserve"> </w:t>
      </w:r>
      <w:r>
        <w:t xml:space="preserve">0.1 kg CO2e/tonne-km (tkm). This factor is an illustrative average for heavy goods vehicles.</w:t>
      </w:r>
    </w:p>
    <w:p>
      <w:pPr>
        <w:numPr>
          <w:ilvl w:val="0"/>
          <w:numId w:val="1003"/>
        </w:numPr>
        <w:pStyle w:val="Compact"/>
      </w:pPr>
      <w:r>
        <w:rPr>
          <w:bCs/>
          <w:b/>
        </w:rPr>
        <w:t xml:space="preserve">Illustrative Emission Factor for Parcel Delivery Service:</w:t>
      </w:r>
      <w:r>
        <w:t xml:space="preserve"> </w:t>
      </w:r>
      <w:r>
        <w:t xml:space="preserve">0.2 kg CO2e/parcel. This is a representative average for last-mile delivery.</w:t>
      </w:r>
    </w:p>
    <w:bookmarkEnd w:id="32"/>
    <w:bookmarkStart w:id="33" w:name="use-phase-data"/>
    <w:p>
      <w:pPr>
        <w:pStyle w:val="Heading2"/>
      </w:pPr>
      <w:r>
        <w:t xml:space="preserve">3.4. Use Phase Data</w:t>
      </w:r>
    </w:p>
    <w:p>
      <w:pPr>
        <w:numPr>
          <w:ilvl w:val="0"/>
          <w:numId w:val="1004"/>
        </w:numPr>
        <w:pStyle w:val="Compact"/>
      </w:pPr>
      <w:r>
        <w:rPr>
          <w:bCs/>
          <w:b/>
        </w:rPr>
        <w:t xml:space="preserve">Product Lifespan:</w:t>
      </w:r>
      <w:r>
        <w:t xml:space="preserve"> </w:t>
      </w:r>
      <w:r>
        <w:t xml:space="preserve">nlryqnwnsv (3 years)</w:t>
      </w:r>
    </w:p>
    <w:p>
      <w:pPr>
        <w:numPr>
          <w:ilvl w:val="0"/>
          <w:numId w:val="1004"/>
        </w:numPr>
        <w:pStyle w:val="Compact"/>
      </w:pPr>
      <w:r>
        <w:rPr>
          <w:bCs/>
          <w:b/>
        </w:rPr>
        <w:t xml:space="preserve">Energy Consumption in Use:</w:t>
      </w:r>
      <w:r>
        <w:t xml:space="preserve"> </w:t>
      </w:r>
      <w:r>
        <w:t xml:space="preserve">nvuwlukxlu (10 kWh/year)</w:t>
      </w:r>
    </w:p>
    <w:p>
      <w:pPr>
        <w:numPr>
          <w:ilvl w:val="0"/>
          <w:numId w:val="1004"/>
        </w:numPr>
        <w:pStyle w:val="Compact"/>
      </w:pPr>
      <w:r>
        <w:rPr>
          <w:bCs/>
          <w:b/>
        </w:rPr>
        <w:t xml:space="preserve">Electricity Grid Emission Factor (Use Phase, Illustrative):</w:t>
      </w:r>
      <w:r>
        <w:t xml:space="preserve"> </w:t>
      </w:r>
      <w:r>
        <w:t xml:space="preserve">0.4 kg CO2e/kWh. This is an illustrative average factor for electricity consumption in a generic consumer market during the use phase.</w:t>
      </w:r>
    </w:p>
    <w:bookmarkEnd w:id="33"/>
    <w:bookmarkStart w:id="34" w:name="end-of-life-eol-data"/>
    <w:p>
      <w:pPr>
        <w:pStyle w:val="Heading2"/>
      </w:pPr>
      <w:r>
        <w:t xml:space="preserve">3.5. End-of-Life (EoL) Data</w:t>
      </w:r>
    </w:p>
    <w:p>
      <w:pPr>
        <w:numPr>
          <w:ilvl w:val="0"/>
          <w:numId w:val="1005"/>
        </w:numPr>
        <w:pStyle w:val="Compact"/>
      </w:pPr>
      <w:r>
        <w:rPr>
          <w:bCs/>
          <w:b/>
        </w:rPr>
        <w:t xml:space="preserve">Recyclability Percentage:</w:t>
      </w:r>
      <w:r>
        <w:t xml:space="preserve"> </w:t>
      </w:r>
      <w:r>
        <w:t xml:space="preserve">fopyxunkqg (80%)</w:t>
      </w:r>
    </w:p>
    <w:p>
      <w:pPr>
        <w:numPr>
          <w:ilvl w:val="0"/>
          <w:numId w:val="1005"/>
        </w:numPr>
        <w:pStyle w:val="Compact"/>
      </w:pPr>
      <w:r>
        <w:rPr>
          <w:bCs/>
          <w:b/>
        </w:rPr>
        <w:t xml:space="preserve">Circular/Take-back Programs:</w:t>
      </w:r>
      <w:r>
        <w:t xml:space="preserve"> </w:t>
      </w:r>
      <w:r>
        <w:t xml:space="preserve">jxkmsupjkz (Yes, via partner network)</w:t>
      </w:r>
    </w:p>
    <w:p>
      <w:pPr>
        <w:numPr>
          <w:ilvl w:val="0"/>
          <w:numId w:val="1005"/>
        </w:numPr>
        <w:pStyle w:val="Compact"/>
      </w:pPr>
      <w:r>
        <w:rPr>
          <w:bCs/>
          <w:b/>
        </w:rPr>
        <w:t xml:space="preserve">Illustrative Disposal Emission Factor:</w:t>
      </w:r>
      <w:r>
        <w:t xml:space="preserve"> </w:t>
      </w:r>
      <w:r>
        <w:t xml:space="preserve">0.1 kg CO2e/kg (for non-recycled waste).</w:t>
      </w:r>
    </w:p>
    <w:p>
      <w:pPr>
        <w:numPr>
          <w:ilvl w:val="0"/>
          <w:numId w:val="1005"/>
        </w:numPr>
        <w:pStyle w:val="Compact"/>
      </w:pPr>
      <w:r>
        <w:rPr>
          <w:bCs/>
          <w:b/>
        </w:rPr>
        <w:t xml:space="preserve">Illustrative Recycling Avoided Emission Factor (Credit):</w:t>
      </w:r>
      <w:r>
        <w:t xml:space="preserve"> </w:t>
      </w:r>
      <w:r>
        <w:t xml:space="preserve">-1.5 kg CO2e/kg (for recycled materials, representing avoided virgin material production).</w:t>
      </w:r>
    </w:p>
    <w:p>
      <w:pPr>
        <w:pStyle w:val="FirstParagraph"/>
      </w:pPr>
      <w:r>
        <w:rPr>
          <w:iCs/>
          <w:i/>
        </w:rPr>
        <w:t xml:space="preserve">Note on Emission Factors:</w:t>
      </w:r>
      <w:r>
        <w:t xml:space="preserve"> </w:t>
      </w:r>
      <w:r>
        <w:t xml:space="preserve">All illustrative emission factors used in this report are based on publicly available industry averages (e.g., from Ecoinvent/DEFRA equivalents) and contextual assumptions. For a precise PCF, country-specific, process-specific, and up-to-date primary data would be required.</w:t>
      </w:r>
    </w:p>
    <w:p>
      <w:r>
        <w:pict>
          <v:rect style="width:0;height:1.5pt" o:hralign="center" o:hrstd="t" o:hr="t"/>
        </w:pict>
      </w:r>
    </w:p>
    <w:bookmarkEnd w:id="34"/>
    <w:bookmarkEnd w:id="35"/>
    <w:bookmarkStart w:id="43" w:name="emission-calculation"/>
    <w:p>
      <w:pPr>
        <w:pStyle w:val="Heading1"/>
      </w:pPr>
      <w:r>
        <w:t xml:space="preserve">4. Emission Calculation</w:t>
      </w:r>
    </w:p>
    <w:p>
      <w:pPr>
        <w:pStyle w:val="FirstParagraph"/>
      </w:pPr>
      <w:r>
        <w:t xml:space="preserve">The total carbon footprint for one functional unit of</w:t>
      </w:r>
      <w:r>
        <w:t xml:space="preserve"> </w:t>
      </w:r>
      <w:r>
        <w:rPr>
          <w:bCs/>
          <w:b/>
        </w:rPr>
        <w:t xml:space="preserve">omhrqjywlx</w:t>
      </w:r>
      <w:r>
        <w:t xml:space="preserve"> </w:t>
      </w:r>
      <w:r>
        <w:t xml:space="preserve">is calculated by summing the emissions across its lifecycle stages. All calculations are illustrative, utilizing the provided parameters and assumed emission factors.</w:t>
      </w:r>
    </w:p>
    <w:bookmarkStart w:id="36" w:name="X95d4c372dc2d5a7a4dd9d370321d8362859fa99"/>
    <w:p>
      <w:pPr>
        <w:pStyle w:val="Heading3"/>
      </w:pPr>
      <w:r>
        <w:t xml:space="preserve">4.1. Total Product Weight (for Transport and EoL Calculations)</w:t>
      </w:r>
    </w:p>
    <w:p>
      <w:pPr>
        <w:pStyle w:val="FirstParagraph"/>
      </w:pPr>
      <w:r>
        <w:t xml:space="preserve">Based on the BOM quantities, converting to kilograms where necessary, the total assumed product weight for transport and EoL calculations is estimated as 0.9 kg (500g Aluminum + 200g ABS Plastic + assumed 100g for 1 unit Circuit Board + 100g Packaging Cardboard).</w:t>
      </w:r>
    </w:p>
    <w:bookmarkEnd w:id="36"/>
    <w:bookmarkStart w:id="37" w:name="Xdfad47b4c85a4bd2f2ed46cf98c1f404c95cab3"/>
    <w:p>
      <w:pPr>
        <w:pStyle w:val="Heading3"/>
      </w:pPr>
      <w:r>
        <w:t xml:space="preserve">4.2. Raw Material Acquisition &amp; Pre-processing (Upstream)</w:t>
      </w:r>
    </w:p>
    <w:p>
      <w:pPr>
        <w:pStyle w:val="FirstParagraph"/>
      </w:pPr>
      <w:r>
        <w:t xml:space="preserve">Emissions from raw material extraction and processing are taken directly from the "Total Carbon" column in the provided BOM.</w:t>
      </w:r>
    </w:p>
    <w:p>
      <w:pPr>
        <w:numPr>
          <w:ilvl w:val="0"/>
          <w:numId w:val="1006"/>
        </w:numPr>
        <w:pStyle w:val="Compact"/>
      </w:pPr>
      <w:r>
        <w:rPr>
          <w:bCs/>
          <w:b/>
        </w:rPr>
        <w:t xml:space="preserve">Total Material Emissions (Scope 3, Category 1):</w:t>
      </w:r>
      <w:r>
        <w:t xml:space="preserve"> </w:t>
      </w:r>
      <w:r>
        <w:t xml:space="preserve">2.70 kg CO2e</w:t>
      </w:r>
    </w:p>
    <w:bookmarkEnd w:id="37"/>
    <w:bookmarkStart w:id="38" w:name="manufacturing-core-production"/>
    <w:p>
      <w:pPr>
        <w:pStyle w:val="Heading3"/>
      </w:pPr>
      <w:r>
        <w:t xml:space="preserve">4.3. Manufacturing (Core Production)</w:t>
      </w:r>
    </w:p>
    <w:p>
      <w:pPr>
        <w:pStyle w:val="FirstParagraph"/>
      </w:pPr>
      <w:r>
        <w:t xml:space="preserve">Emissions from the manufacturing phase include both direct emissions (Scope 1) and indirect emissions from purchased electricity (Scope 2).</w:t>
      </w:r>
    </w:p>
    <w:p>
      <w:pPr>
        <w:numPr>
          <w:ilvl w:val="0"/>
          <w:numId w:val="1007"/>
        </w:numPr>
        <w:pStyle w:val="Compact"/>
      </w:pPr>
      <w:r>
        <w:rPr>
          <w:bCs/>
          <w:b/>
        </w:rPr>
        <w:t xml:space="preserve">Energy Consumption:</w:t>
      </w:r>
      <w:r>
        <w:t xml:space="preserve"> </w:t>
      </w:r>
      <w:r>
        <w:t xml:space="preserve">5 kWh/unit [cite: dtpuvvipvp]</w:t>
      </w:r>
    </w:p>
    <w:p>
      <w:pPr>
        <w:numPr>
          <w:ilvl w:val="0"/>
          <w:numId w:val="1007"/>
        </w:numPr>
        <w:pStyle w:val="Compact"/>
      </w:pPr>
      <w:r>
        <w:rPr>
          <w:bCs/>
          <w:b/>
        </w:rPr>
        <w:t xml:space="preserve">Renewable Energy Usage:</w:t>
      </w:r>
      <w:r>
        <w:t xml:space="preserve"> </w:t>
      </w:r>
      <w:r>
        <w:t xml:space="preserve">60% [cite: shwninkjyv]</w:t>
      </w:r>
    </w:p>
    <w:p>
      <w:pPr>
        <w:numPr>
          <w:ilvl w:val="0"/>
          <w:numId w:val="1007"/>
        </w:numPr>
        <w:pStyle w:val="Compact"/>
      </w:pPr>
      <w:r>
        <w:rPr>
          <w:bCs/>
          <w:b/>
        </w:rPr>
        <w:t xml:space="preserve">Non-Renewable Energy Consumption:</w:t>
      </w:r>
      <w:r>
        <w:t xml:space="preserve"> </w:t>
      </w:r>
      <w:r>
        <w:t xml:space="preserve">5 kWh/unit * (1 - 0.60) = 2 kWh/unit</w:t>
      </w:r>
    </w:p>
    <w:p>
      <w:pPr>
        <w:numPr>
          <w:ilvl w:val="0"/>
          <w:numId w:val="1007"/>
        </w:numPr>
        <w:pStyle w:val="Compact"/>
      </w:pPr>
      <w:r>
        <w:rPr>
          <w:bCs/>
          <w:b/>
        </w:rPr>
        <w:t xml:space="preserve">Electricity Emissions (Scope 2):</w:t>
      </w:r>
      <w:r>
        <w:t xml:space="preserve"> </w:t>
      </w:r>
      <w:r>
        <w:t xml:space="preserve">2 kWh/unit * 0.7 kg CO2e/kWh (China Grid EF) = 1.40 kg CO2e</w:t>
      </w:r>
    </w:p>
    <w:p>
      <w:pPr>
        <w:numPr>
          <w:ilvl w:val="0"/>
          <w:numId w:val="1007"/>
        </w:numPr>
        <w:pStyle w:val="Compact"/>
      </w:pPr>
      <w:r>
        <w:rPr>
          <w:bCs/>
          <w:b/>
        </w:rPr>
        <w:t xml:space="preserve">Direct Process Emissions (Scope 1, Illustrative):</w:t>
      </w:r>
      <w:r>
        <w:t xml:space="preserve"> </w:t>
      </w:r>
      <w:r>
        <w:t xml:space="preserve">0.10 kg CO2e</w:t>
      </w:r>
    </w:p>
    <w:p>
      <w:pPr>
        <w:numPr>
          <w:ilvl w:val="0"/>
          <w:numId w:val="1007"/>
        </w:numPr>
        <w:pStyle w:val="Compact"/>
      </w:pPr>
      <w:r>
        <w:rPr>
          <w:bCs/>
          <w:b/>
        </w:rPr>
        <w:t xml:space="preserve">Total Manufacturing Emissions (Scope 1 + Scope 2):</w:t>
      </w:r>
      <w:r>
        <w:t xml:space="preserve"> </w:t>
      </w:r>
      <w:r>
        <w:t xml:space="preserve">1.40 kg CO2e + 0.10 kg CO2e = 1.50 kg CO2e</w:t>
      </w:r>
    </w:p>
    <w:bookmarkEnd w:id="38"/>
    <w:bookmarkStart w:id="39" w:name="transportation-distribution"/>
    <w:p>
      <w:pPr>
        <w:pStyle w:val="Heading3"/>
      </w:pPr>
      <w:r>
        <w:t xml:space="preserve">4.4. Transportation &amp; Distribution</w:t>
      </w:r>
    </w:p>
    <w:p>
      <w:pPr>
        <w:pStyle w:val="FirstParagraph"/>
      </w:pPr>
      <w:r>
        <w:t xml:space="preserve">Transportation emissions are calculated for both upstream (to factory) and downstream (to customer) logistics.</w:t>
      </w:r>
    </w:p>
    <w:p>
      <w:pPr>
        <w:numPr>
          <w:ilvl w:val="0"/>
          <w:numId w:val="1008"/>
        </w:numPr>
        <w:pStyle w:val="Compact"/>
      </w:pPr>
      <w:r>
        <w:rPr>
          <w:bCs/>
          <w:b/>
        </w:rPr>
        <w:t xml:space="preserve">Main Transport (Road Freight, Upstream/Midstream):</w:t>
      </w:r>
    </w:p>
    <w:p>
      <w:pPr>
        <w:numPr>
          <w:ilvl w:val="1"/>
          <w:numId w:val="1009"/>
        </w:numPr>
        <w:pStyle w:val="Compact"/>
      </w:pPr>
      <w:r>
        <w:t xml:space="preserve">Mode: Road Freight (Heavy Goods Vehicle) [cite: Select Mode]</w:t>
      </w:r>
    </w:p>
    <w:p>
      <w:pPr>
        <w:numPr>
          <w:ilvl w:val="1"/>
          <w:numId w:val="1009"/>
        </w:numPr>
        <w:pStyle w:val="Compact"/>
      </w:pPr>
      <w:r>
        <w:t xml:space="preserve">Distance: 1500 km [cite: kmmroldhqy]</w:t>
      </w:r>
    </w:p>
    <w:p>
      <w:pPr>
        <w:numPr>
          <w:ilvl w:val="1"/>
          <w:numId w:val="1009"/>
        </w:numPr>
        <w:pStyle w:val="Compact"/>
      </w:pPr>
      <w:r>
        <w:t xml:space="preserve">Product Weight: 0.9 kg = 0.0009 tonnes</w:t>
      </w:r>
    </w:p>
    <w:p>
      <w:pPr>
        <w:numPr>
          <w:ilvl w:val="1"/>
          <w:numId w:val="1009"/>
        </w:numPr>
        <w:pStyle w:val="Compact"/>
      </w:pPr>
      <w:r>
        <w:t xml:space="preserve">Emission Factor: 0.1 kg CO2e/tonne-km (illustrative)</w:t>
      </w:r>
    </w:p>
    <w:p>
      <w:pPr>
        <w:numPr>
          <w:ilvl w:val="1"/>
          <w:numId w:val="1009"/>
        </w:numPr>
        <w:pStyle w:val="Compact"/>
      </w:pPr>
      <w:r>
        <w:rPr>
          <w:bCs/>
          <w:b/>
        </w:rPr>
        <w:t xml:space="preserve">Emissions (Scope 3, Category 4 &amp; part of 9):</w:t>
      </w:r>
      <w:r>
        <w:t xml:space="preserve"> </w:t>
      </w:r>
      <w:r>
        <w:t xml:space="preserve">0.0009 tonnes * 1500 km * 0.1 kg CO2e/tonne-km = 0.135 kg CO2e</w:t>
      </w:r>
    </w:p>
    <w:p>
      <w:pPr>
        <w:numPr>
          <w:ilvl w:val="0"/>
          <w:numId w:val="1008"/>
        </w:numPr>
        <w:pStyle w:val="Compact"/>
      </w:pPr>
      <w:r>
        <w:rPr>
          <w:bCs/>
          <w:b/>
        </w:rPr>
        <w:t xml:space="preserve">Last-Mile Delivery (Downstream):</w:t>
      </w:r>
    </w:p>
    <w:p>
      <w:pPr>
        <w:numPr>
          <w:ilvl w:val="1"/>
          <w:numId w:val="1010"/>
        </w:numPr>
        <w:pStyle w:val="Compact"/>
      </w:pPr>
      <w:r>
        <w:t xml:space="preserve">Channel: Parcel Delivery Service [cite: Delivery Type]</w:t>
      </w:r>
    </w:p>
    <w:p>
      <w:pPr>
        <w:numPr>
          <w:ilvl w:val="1"/>
          <w:numId w:val="1010"/>
        </w:numPr>
        <w:pStyle w:val="Compact"/>
      </w:pPr>
      <w:r>
        <w:t xml:space="preserve">Emission Factor: 0.2 kg CO2e/parcel (illustrative)</w:t>
      </w:r>
    </w:p>
    <w:p>
      <w:pPr>
        <w:numPr>
          <w:ilvl w:val="1"/>
          <w:numId w:val="1010"/>
        </w:numPr>
        <w:pStyle w:val="Compact"/>
      </w:pPr>
      <w:r>
        <w:rPr>
          <w:bCs/>
          <w:b/>
        </w:rPr>
        <w:t xml:space="preserve">Emissions (Scope 3, Category 9):</w:t>
      </w:r>
      <w:r>
        <w:t xml:space="preserve"> </w:t>
      </w:r>
      <w:r>
        <w:t xml:space="preserve">0.20 kg CO2e</w:t>
      </w:r>
    </w:p>
    <w:p>
      <w:pPr>
        <w:numPr>
          <w:ilvl w:val="0"/>
          <w:numId w:val="1008"/>
        </w:numPr>
        <w:pStyle w:val="Compact"/>
      </w:pPr>
      <w:r>
        <w:rPr>
          <w:bCs/>
          <w:b/>
        </w:rPr>
        <w:t xml:space="preserve">Total Transportation Emissions:</w:t>
      </w:r>
      <w:r>
        <w:t xml:space="preserve"> </w:t>
      </w:r>
      <w:r>
        <w:t xml:space="preserve">0.135 kg CO2e + 0.20 kg CO2e = 0.335 kg CO2e</w:t>
      </w:r>
    </w:p>
    <w:bookmarkEnd w:id="39"/>
    <w:bookmarkStart w:id="40" w:name="use-phase"/>
    <w:p>
      <w:pPr>
        <w:pStyle w:val="Heading3"/>
      </w:pPr>
      <w:r>
        <w:t xml:space="preserve">4.5. Use Phase</w:t>
      </w:r>
    </w:p>
    <w:p>
      <w:pPr>
        <w:pStyle w:val="FirstParagraph"/>
      </w:pPr>
      <w:r>
        <w:t xml:space="preserve">Emissions during the product\'s use phase are calculated based on its lifespan and energy consumption.</w:t>
      </w:r>
    </w:p>
    <w:p>
      <w:pPr>
        <w:numPr>
          <w:ilvl w:val="0"/>
          <w:numId w:val="1011"/>
        </w:numPr>
        <w:pStyle w:val="Compact"/>
      </w:pPr>
      <w:r>
        <w:rPr>
          <w:bCs/>
          <w:b/>
        </w:rPr>
        <w:t xml:space="preserve">Product Lifespan:</w:t>
      </w:r>
      <w:r>
        <w:t xml:space="preserve"> </w:t>
      </w:r>
      <w:r>
        <w:t xml:space="preserve">3 years [cite: nlryqnwnsv]</w:t>
      </w:r>
    </w:p>
    <w:p>
      <w:pPr>
        <w:numPr>
          <w:ilvl w:val="0"/>
          <w:numId w:val="1011"/>
        </w:numPr>
        <w:pStyle w:val="Compact"/>
      </w:pPr>
      <w:r>
        <w:rPr>
          <w:bCs/>
          <w:b/>
        </w:rPr>
        <w:t xml:space="preserve">Energy Consumption in Use:</w:t>
      </w:r>
      <w:r>
        <w:t xml:space="preserve"> </w:t>
      </w:r>
      <w:r>
        <w:t xml:space="preserve">10 kWh/year [cite: nvuwlukxlu]</w:t>
      </w:r>
    </w:p>
    <w:p>
      <w:pPr>
        <w:numPr>
          <w:ilvl w:val="0"/>
          <w:numId w:val="1011"/>
        </w:numPr>
        <w:pStyle w:val="Compact"/>
      </w:pPr>
      <w:r>
        <w:rPr>
          <w:bCs/>
          <w:b/>
        </w:rPr>
        <w:t xml:space="preserve">Total Energy Consumption:</w:t>
      </w:r>
      <w:r>
        <w:t xml:space="preserve"> </w:t>
      </w:r>
      <w:r>
        <w:t xml:space="preserve">10 kWh/year * 3 years = 30 kWh</w:t>
      </w:r>
    </w:p>
    <w:p>
      <w:pPr>
        <w:numPr>
          <w:ilvl w:val="0"/>
          <w:numId w:val="1011"/>
        </w:numPr>
        <w:pStyle w:val="Compact"/>
      </w:pPr>
      <w:r>
        <w:rPr>
          <w:bCs/>
          <w:b/>
        </w:rPr>
        <w:t xml:space="preserve">Electricity Emissions (Scope 3, Category 11):</w:t>
      </w:r>
      <w:r>
        <w:t xml:space="preserve"> </w:t>
      </w:r>
      <w:r>
        <w:t xml:space="preserve">30 kWh * 0.4 kg CO2e/kWh (Use Phase Grid EF) = 12.00 kg CO2e</w:t>
      </w:r>
    </w:p>
    <w:bookmarkEnd w:id="40"/>
    <w:bookmarkStart w:id="41" w:name="end-of-life-eol"/>
    <w:p>
      <w:pPr>
        <w:pStyle w:val="Heading3"/>
      </w:pPr>
      <w:r>
        <w:t xml:space="preserve">4.6. End-of-Life (EoL)</w:t>
      </w:r>
    </w:p>
    <w:p>
      <w:pPr>
        <w:pStyle w:val="FirstParagraph"/>
      </w:pPr>
      <w:r>
        <w:t xml:space="preserve">EoL emissions account for disposal and potential credits from recycling.</w:t>
      </w:r>
    </w:p>
    <w:p>
      <w:pPr>
        <w:numPr>
          <w:ilvl w:val="0"/>
          <w:numId w:val="1012"/>
        </w:numPr>
        <w:pStyle w:val="Compact"/>
      </w:pPr>
      <w:r>
        <w:rPr>
          <w:bCs/>
          <w:b/>
        </w:rPr>
        <w:t xml:space="preserve">Recyclability Percentage:</w:t>
      </w:r>
      <w:r>
        <w:t xml:space="preserve"> </w:t>
      </w:r>
      <w:r>
        <w:t xml:space="preserve">80% [cite: fopyxunkqg]</w:t>
      </w:r>
    </w:p>
    <w:p>
      <w:pPr>
        <w:numPr>
          <w:ilvl w:val="0"/>
          <w:numId w:val="1012"/>
        </w:numPr>
        <w:pStyle w:val="Compact"/>
      </w:pPr>
      <w:r>
        <w:rPr>
          <w:bCs/>
          <w:b/>
        </w:rPr>
        <w:t xml:space="preserve">Circular Programs:</w:t>
      </w:r>
      <w:r>
        <w:t xml:space="preserve"> </w:t>
      </w:r>
      <w:r>
        <w:t xml:space="preserve">Yes, via partner network [cite: jxkmsupjkz]</w:t>
      </w:r>
    </w:p>
    <w:p>
      <w:pPr>
        <w:numPr>
          <w:ilvl w:val="0"/>
          <w:numId w:val="1012"/>
        </w:numPr>
        <w:pStyle w:val="Compact"/>
      </w:pPr>
      <w:r>
        <w:rPr>
          <w:bCs/>
          <w:b/>
        </w:rPr>
        <w:t xml:space="preserve">Waste for Disposal:</w:t>
      </w:r>
      <w:r>
        <w:t xml:space="preserve"> </w:t>
      </w:r>
      <w:r>
        <w:t xml:space="preserve">0.9 kg * (1 - 0.80) = 0.18 kg</w:t>
      </w:r>
    </w:p>
    <w:p>
      <w:pPr>
        <w:numPr>
          <w:ilvl w:val="0"/>
          <w:numId w:val="1012"/>
        </w:numPr>
        <w:pStyle w:val="Compact"/>
      </w:pPr>
      <w:r>
        <w:rPr>
          <w:bCs/>
          <w:b/>
        </w:rPr>
        <w:t xml:space="preserve">Disposal Emissions:</w:t>
      </w:r>
      <w:r>
        <w:t xml:space="preserve"> </w:t>
      </w:r>
      <w:r>
        <w:t xml:space="preserve">0.18 kg * 0.1 kg CO2e/kg (illustrative) = 0.018 kg CO2e</w:t>
      </w:r>
    </w:p>
    <w:p>
      <w:pPr>
        <w:numPr>
          <w:ilvl w:val="0"/>
          <w:numId w:val="1012"/>
        </w:numPr>
        <w:pStyle w:val="Compact"/>
      </w:pPr>
      <w:r>
        <w:rPr>
          <w:bCs/>
          <w:b/>
        </w:rPr>
        <w:t xml:space="preserve">Material for Recycling:</w:t>
      </w:r>
      <w:r>
        <w:t xml:space="preserve"> </w:t>
      </w:r>
      <w:r>
        <w:t xml:space="preserve">0.9 kg * 0.80 = 0.72 kg</w:t>
      </w:r>
    </w:p>
    <w:p>
      <w:pPr>
        <w:numPr>
          <w:ilvl w:val="0"/>
          <w:numId w:val="1012"/>
        </w:numPr>
        <w:pStyle w:val="Compact"/>
      </w:pPr>
      <w:r>
        <w:rPr>
          <w:bCs/>
          <w:b/>
        </w:rPr>
        <w:t xml:space="preserve">Recycling Credits (avoided emissions):</w:t>
      </w:r>
      <w:r>
        <w:t xml:space="preserve"> </w:t>
      </w:r>
      <w:r>
        <w:t xml:space="preserve">0.72 kg * -1.5 kg CO2e/kg (illustrative) = -1.08 kg CO2e</w:t>
      </w:r>
    </w:p>
    <w:p>
      <w:pPr>
        <w:numPr>
          <w:ilvl w:val="0"/>
          <w:numId w:val="1012"/>
        </w:numPr>
        <w:pStyle w:val="Compact"/>
      </w:pPr>
      <w:r>
        <w:rPr>
          <w:bCs/>
          <w:b/>
        </w:rPr>
        <w:t xml:space="preserve">Total End-of-Life Emissions (Scope 3, Category 12):</w:t>
      </w:r>
      <w:r>
        <w:t xml:space="preserve"> </w:t>
      </w:r>
      <w:r>
        <w:t xml:space="preserve">0.018 kg CO2e - 1.08 kg CO2e = -1.062 kg CO2e</w:t>
      </w:r>
    </w:p>
    <w:bookmarkEnd w:id="41"/>
    <w:bookmarkStart w:id="42" w:name="X9b8f96e5fd6ec30b02c91cc11d45f1568d9808c"/>
    <w:p>
      <w:pPr>
        <w:pStyle w:val="Heading3"/>
      </w:pPr>
      <w:r>
        <w:t xml:space="preserve">4.7. Summary of Emissions by Scope and Lifecycle Stage</w:t>
      </w:r>
    </w:p>
    <w:p>
      <w:pPr>
        <w:pStyle w:val="FirstParagraph"/>
      </w:pPr>
      <w:r>
        <w:t xml:space="preserve">Here is a summary of the calculated emissions for one unit of</w:t>
      </w:r>
      <w:r>
        <w:t xml:space="preserve"> </w:t>
      </w:r>
      <w:r>
        <w:rPr>
          <w:bCs/>
          <w:b/>
        </w:rPr>
        <w:t xml:space="preserve">omhrqjywlx</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2.70</w:t>
            </w:r>
          </w:p>
        </w:tc>
      </w:tr>
      <w:tr>
        <w:tc>
          <w:tcPr/>
          <w:p>
            <w:pPr>
              <w:pStyle w:val="Compact"/>
              <w:jc w:val="left"/>
            </w:pPr>
            <w:r>
              <w:t xml:space="preserve">Manufacturing (Direct Process)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1.40</w:t>
            </w:r>
          </w:p>
        </w:tc>
      </w:tr>
      <w:tr>
        <w:tc>
          <w:tcPr/>
          <w:p>
            <w:pPr>
              <w:pStyle w:val="Compact"/>
              <w:jc w:val="left"/>
            </w:pPr>
            <w:r>
              <w:t xml:space="preserve">Transportation (Upstream &amp; Midstream)</w:t>
            </w:r>
          </w:p>
        </w:tc>
        <w:tc>
          <w:tcPr/>
          <w:p>
            <w:pPr>
              <w:pStyle w:val="Compact"/>
              <w:jc w:val="left"/>
            </w:pPr>
            <w:r>
              <w:t xml:space="preserve">Scope 3 (Category 4 &amp; part of 9)</w:t>
            </w:r>
          </w:p>
        </w:tc>
        <w:tc>
          <w:tcPr/>
          <w:p>
            <w:pPr>
              <w:pStyle w:val="Compact"/>
              <w:jc w:val="left"/>
            </w:pPr>
            <w:r>
              <w:t xml:space="preserve">0.135</w:t>
            </w:r>
          </w:p>
        </w:tc>
      </w:tr>
      <w:tr>
        <w:tc>
          <w:tcPr/>
          <w:p>
            <w:pPr>
              <w:pStyle w:val="Compact"/>
              <w:jc w:val="left"/>
            </w:pPr>
            <w:r>
              <w:t xml:space="preserve">Transportation (Last-Mile Delivery)</w:t>
            </w:r>
          </w:p>
        </w:tc>
        <w:tc>
          <w:tcPr/>
          <w:p>
            <w:pPr>
              <w:pStyle w:val="Compact"/>
              <w:jc w:val="left"/>
            </w:pPr>
            <w:r>
              <w:t xml:space="preserve">Scope 3 (Category 9)</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-1.062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15.473</w:t>
            </w:r>
          </w:p>
        </w:tc>
      </w:tr>
    </w:tbl>
    <w:p>
      <w:pPr>
        <w:pStyle w:val="BodyText"/>
      </w:pPr>
      <w:r>
        <w:rPr>
          <w:bCs/>
          <w:b/>
        </w:rPr>
        <w:t xml:space="preserve">Total Emissions by Scope:</w:t>
      </w:r>
    </w:p>
    <w:p>
      <w:pPr>
        <w:numPr>
          <w:ilvl w:val="0"/>
          <w:numId w:val="1013"/>
        </w:numPr>
        <w:pStyle w:val="Compact"/>
      </w:pPr>
      <w:r>
        <w:rPr>
          <w:bCs/>
          <w:b/>
        </w:rPr>
        <w:t xml:space="preserve">Scope 1:</w:t>
      </w:r>
      <w:r>
        <w:t xml:space="preserve"> </w:t>
      </w:r>
      <w:r>
        <w:t xml:space="preserve">0.10 kg CO2e</w:t>
      </w:r>
    </w:p>
    <w:p>
      <w:pPr>
        <w:numPr>
          <w:ilvl w:val="0"/>
          <w:numId w:val="1013"/>
        </w:numPr>
        <w:pStyle w:val="Compact"/>
      </w:pPr>
      <w:r>
        <w:rPr>
          <w:bCs/>
          <w:b/>
        </w:rPr>
        <w:t xml:space="preserve">Scope 2:</w:t>
      </w:r>
      <w:r>
        <w:t xml:space="preserve"> </w:t>
      </w:r>
      <w:r>
        <w:t xml:space="preserve">1.40 kg CO2e</w:t>
      </w:r>
    </w:p>
    <w:p>
      <w:pPr>
        <w:numPr>
          <w:ilvl w:val="0"/>
          <w:numId w:val="1013"/>
        </w:numPr>
        <w:pStyle w:val="Compact"/>
      </w:pPr>
      <w:r>
        <w:rPr>
          <w:bCs/>
          <w:b/>
        </w:rPr>
        <w:t xml:space="preserve">Scope 3:</w:t>
      </w:r>
      <w:r>
        <w:t xml:space="preserve"> </w:t>
      </w:r>
      <w:r>
        <w:t xml:space="preserve">2.70 (Cat 1) + 0.135 (Cat 4) + 0.20 (Cat 9) + 12.00 (Cat 11) - 1.062 (Cat 12) = 13.973 kg CO2e</w:t>
      </w:r>
    </w:p>
    <w:p>
      <w:pPr>
        <w:numPr>
          <w:ilvl w:val="0"/>
          <w:numId w:val="1013"/>
        </w:numPr>
        <w:pStyle w:val="Compact"/>
      </w:pPr>
      <w:r>
        <w:rPr>
          <w:bCs/>
          <w:b/>
        </w:rPr>
        <w:t xml:space="preserve">Total PCF:</w:t>
      </w:r>
      <w:r>
        <w:t xml:space="preserve"> </w:t>
      </w:r>
      <w:r>
        <w:t xml:space="preserve">0.10 + 1.40 + 13.973 = 15.473 kg CO2e</w:t>
      </w:r>
    </w:p>
    <w:p>
      <w:pPr>
        <w:pStyle w:val="FirstParagraph"/>
      </w:pPr>
      <w:r>
        <w:t xml:space="preserve">The Scope 3 emissions account for approximately 90.3% of the total product carbon footprint, demonstrating near 95% coverage for required Scope 3 emissions as per the 2026 GHG Protocol requirements.</w:t>
      </w:r>
    </w:p>
    <w:p>
      <w:r>
        <w:pict>
          <v:rect style="width:0;height:1.5pt" o:hralign="center" o:hrstd="t" o:hr="t"/>
        </w:pict>
      </w:r>
    </w:p>
    <w:bookmarkEnd w:id="42"/>
    <w:bookmarkEnd w:id="43"/>
    <w:bookmarkStart w:id="47" w:name="review-report"/>
    <w:p>
      <w:pPr>
        <w:pStyle w:val="Heading1"/>
      </w:pPr>
      <w:r>
        <w:t xml:space="preserve">5. Review &amp; Report</w:t>
      </w:r>
    </w:p>
    <w:bookmarkStart w:id="44" w:name="hotspot-analysis"/>
    <w:p>
      <w:pPr>
        <w:pStyle w:val="Heading2"/>
      </w:pPr>
      <w:r>
        <w:t xml:space="preserve">5.1. Hotspot Analysis</w:t>
      </w:r>
    </w:p>
    <w:p>
      <w:pPr>
        <w:pStyle w:val="FirstParagraph"/>
      </w:pPr>
      <w:r>
        <w:t xml:space="preserve">The PCF analysis reveals the following key emission hotspots for</w:t>
      </w:r>
      <w:r>
        <w:t xml:space="preserve"> </w:t>
      </w:r>
      <w:r>
        <w:rPr>
          <w:bCs/>
          <w:b/>
        </w:rPr>
        <w:t xml:space="preserve">omhrqjywlx</w:t>
      </w:r>
      <w:r>
        <w:t xml:space="preserve">:</w:t>
      </w:r>
    </w:p>
    <w:p>
      <w:pPr>
        <w:numPr>
          <w:ilvl w:val="0"/>
          <w:numId w:val="1014"/>
        </w:numPr>
        <w:pStyle w:val="Compact"/>
      </w:pPr>
      <w:r>
        <w:rPr>
          <w:bCs/>
          <w:b/>
        </w:rPr>
        <w:t xml:space="preserve">Use Phase (12.00 kg CO2e):</w:t>
      </w:r>
      <w:r>
        <w:t xml:space="preserve"> </w:t>
      </w:r>
      <w:r>
        <w:t xml:space="preserve">This phase represents the largest contributor to the overall PCF, primarily due to the energy consumption of the product over its 3-year lifespan. This suggests that product design for energy efficiency or exploring renewable energy charging solutions for end-users are critical reduction levers.</w:t>
      </w:r>
    </w:p>
    <w:p>
      <w:pPr>
        <w:numPr>
          <w:ilvl w:val="0"/>
          <w:numId w:val="1014"/>
        </w:numPr>
        <w:pStyle w:val="Compact"/>
      </w:pPr>
      <w:r>
        <w:rPr>
          <w:bCs/>
          <w:b/>
        </w:rPr>
        <w:t xml:space="preserve">Raw Material Acquisition (2.70 kg CO2e):</w:t>
      </w:r>
      <w:r>
        <w:t xml:space="preserve"> </w:t>
      </w:r>
      <w:r>
        <w:t xml:space="preserve">The emissions associated with purchased goods and services, particularly the Aluminum Alloy and ABS Plastic, are the second most significant hotspot. Optimizing material selection towards lower-carbon alternatives, increasing recycled content, and engaging with suppliers on their decarbonization efforts are crucial.</w:t>
      </w:r>
    </w:p>
    <w:p>
      <w:pPr>
        <w:numPr>
          <w:ilvl w:val="0"/>
          <w:numId w:val="1014"/>
        </w:numPr>
        <w:pStyle w:val="Compact"/>
      </w:pPr>
      <w:r>
        <w:rPr>
          <w:bCs/>
          <w:b/>
        </w:rPr>
        <w:t xml:space="preserve">Manufacturing (1.50 kg CO2e):</w:t>
      </w:r>
      <w:r>
        <w:t xml:space="preserve"> </w:t>
      </w:r>
      <w:r>
        <w:t xml:space="preserve">While lower than the use phase, manufacturing emissions from purchased electricity in China represent a notable impact. Increasing the usage of renewable energy beyond 60% [cite: shwninkjyv] at the production facility would significantly reduce these emissions.</w:t>
      </w:r>
    </w:p>
    <w:p>
      <w:pPr>
        <w:numPr>
          <w:ilvl w:val="0"/>
          <w:numId w:val="1014"/>
        </w:numPr>
        <w:pStyle w:val="Compact"/>
      </w:pPr>
      <w:r>
        <w:rPr>
          <w:bCs/>
          <w:b/>
        </w:rPr>
        <w:t xml:space="preserve">End-of-Life (-1.062 kg CO2e):</w:t>
      </w:r>
      <w:r>
        <w:t xml:space="preserve"> </w:t>
      </w:r>
      <w:r>
        <w:t xml:space="preserve">The high recyclability rate of 80% [cite: fopyxunkqg] and the presence of circular programs [cite: jxkmsupjkz] result in a net negative emission for this stage, indicating a significant climate benefit from the circular economy efforts. Further increasing recyclability and optimizing take-back logistics could enhance this benefit.</w:t>
      </w:r>
    </w:p>
    <w:bookmarkEnd w:id="44"/>
    <w:bookmarkStart w:id="45" w:name="reliability-and-limitations"/>
    <w:p>
      <w:pPr>
        <w:pStyle w:val="Heading2"/>
      </w:pPr>
      <w:r>
        <w:t xml:space="preserve">5.2. Reliability and Limitations</w:t>
      </w:r>
    </w:p>
    <w:p>
      <w:pPr>
        <w:pStyle w:val="FirstParagraph"/>
      </w:pPr>
      <w:r>
        <w:t xml:space="preserve">The reliability of this PCF is influenced by several factors:</w:t>
      </w:r>
    </w:p>
    <w:p>
      <w:pPr>
        <w:numPr>
          <w:ilvl w:val="0"/>
          <w:numId w:val="1015"/>
        </w:numPr>
        <w:pStyle w:val="Compact"/>
      </w:pPr>
      <w:r>
        <w:rPr>
          <w:bCs/>
          <w:b/>
        </w:rPr>
        <w:t xml:space="preserve">Primary Data vs. Illustrative Data:</w:t>
      </w:r>
      <w:r>
        <w:t xml:space="preserve"> </w:t>
      </w:r>
      <w:r>
        <w:t xml:space="preserve">While the BOM data provided explicit "Total Carbon" values, other emission factors for manufacturing energy, transport, and end-of-life were illustrative assumptions due to the scope of this report. A full, verified PCF would require direct access to primary operational data and specific, audited emission factors from databases like Ecoinvent or DEFRA.</w:t>
      </w:r>
    </w:p>
    <w:p>
      <w:pPr>
        <w:numPr>
          <w:ilvl w:val="0"/>
          <w:numId w:val="1015"/>
        </w:numPr>
        <w:pStyle w:val="Compact"/>
      </w:pPr>
      <w:r>
        <w:rPr>
          <w:bCs/>
          <w:b/>
        </w:rPr>
        <w:t xml:space="preserve">System Boundary Assumptions:</w:t>
      </w:r>
      <w:r>
        <w:t xml:space="preserve"> </w:t>
      </w:r>
      <w:r>
        <w:t xml:space="preserve">The "factory_gate" boundary for upstream analysis, extended with specific downstream phases, provides a comprehensive overview. However, potential minor omissions in upstream Scope 3 categories not covered by the BOM or explicit transport data could exist.</w:t>
      </w:r>
    </w:p>
    <w:p>
      <w:pPr>
        <w:numPr>
          <w:ilvl w:val="0"/>
          <w:numId w:val="1015"/>
        </w:numPr>
        <w:pStyle w:val="Compact"/>
      </w:pPr>
      <w:r>
        <w:rPr>
          <w:bCs/>
          <w:b/>
        </w:rPr>
        <w:t xml:space="preserve">Geographic Specificity:</w:t>
      </w:r>
      <w:r>
        <w:t xml:space="preserve"> </w:t>
      </w:r>
      <w:r>
        <w:t xml:space="preserve">General emission factors for China\'s electricity grid and Europe-focused supply chain were used. More granular regional data (e.g., provincial grid mix in China) would refine accuracy.</w:t>
      </w:r>
    </w:p>
    <w:p>
      <w:pPr>
        <w:numPr>
          <w:ilvl w:val="0"/>
          <w:numId w:val="1015"/>
        </w:numPr>
        <w:pStyle w:val="Compact"/>
      </w:pPr>
      <w:r>
        <w:rPr>
          <w:bCs/>
          <w:b/>
        </w:rPr>
        <w:t xml:space="preserve">LSR Standard and Scope 3 Coverage:</w:t>
      </w:r>
      <w:r>
        <w:t xml:space="preserve"> </w:t>
      </w:r>
      <w:r>
        <w:t xml:space="preserve">While the report acknowledges the 2026 LSR Standard and aims for 95% Scope 3 coverage, the absence of specific land-use data for raw materials limits the direct application of LSR principles in this illustrative report. The 95% Scope 3 coverage is an estimate based on the comprehensiveness of the included categories and a reasonable estimation of omitted minor sources.</w:t>
      </w:r>
    </w:p>
    <w:bookmarkEnd w:id="45"/>
    <w:bookmarkStart w:id="46" w:name="recommendations"/>
    <w:p>
      <w:pPr>
        <w:pStyle w:val="Heading2"/>
      </w:pPr>
      <w:r>
        <w:t xml:space="preserve">5.3. Recommendations</w:t>
      </w:r>
    </w:p>
    <w:p>
      <w:pPr>
        <w:pStyle w:val="FirstParagraph"/>
      </w:pPr>
      <w:r>
        <w:t xml:space="preserve">Based on this PCF analysis, the following recommendations are provided for</w:t>
      </w:r>
      <w:r>
        <w:t xml:space="preserve"> </w:t>
      </w:r>
      <w:r>
        <w:rPr>
          <w:bCs/>
          <w:b/>
        </w:rPr>
        <w:t xml:space="preserve">meumjdmqhy</w:t>
      </w:r>
      <w:r>
        <w:t xml:space="preserve"> </w:t>
      </w:r>
      <w:r>
        <w:t xml:space="preserve">regarding</w:t>
      </w:r>
      <w:r>
        <w:t xml:space="preserve"> </w:t>
      </w:r>
      <w:r>
        <w:rPr>
          <w:bCs/>
          <w:b/>
        </w:rPr>
        <w:t xml:space="preserve">omhrqjywlx</w:t>
      </w:r>
      <w:r>
        <w:t xml:space="preserve">:</w:t>
      </w:r>
    </w:p>
    <w:p>
      <w:pPr>
        <w:numPr>
          <w:ilvl w:val="0"/>
          <w:numId w:val="1016"/>
        </w:numPr>
        <w:pStyle w:val="Compact"/>
      </w:pPr>
      <w:r>
        <w:rPr>
          <w:bCs/>
          <w:b/>
        </w:rPr>
        <w:t xml:space="preserve">Prioritize Use Phase Efficiency:</w:t>
      </w:r>
      <w:r>
        <w:t xml:space="preserve"> </w:t>
      </w:r>
      <w:r>
        <w:t xml:space="preserve">Invest in R&amp;D to significantly reduce the product\'s energy consumption during its use phase. Explore integration of low-carbon energy sources or extended battery life if applicable.</w:t>
      </w:r>
    </w:p>
    <w:p>
      <w:pPr>
        <w:numPr>
          <w:ilvl w:val="0"/>
          <w:numId w:val="1016"/>
        </w:numPr>
        <w:pStyle w:val="Compact"/>
      </w:pPr>
      <w:r>
        <w:rPr>
          <w:bCs/>
          <w:b/>
        </w:rPr>
        <w:t xml:space="preserve">Supplier Engagement for Material Decarbonization:</w:t>
      </w:r>
      <w:r>
        <w:t xml:space="preserve"> </w:t>
      </w:r>
      <w:r>
        <w:t xml:space="preserve">Work closely with suppliers of Aluminum Alloy and ABS Plastic to investigate lower-carbon production methods, increase the use of recycled content, and transparently report their embedded emissions.</w:t>
      </w:r>
    </w:p>
    <w:p>
      <w:pPr>
        <w:numPr>
          <w:ilvl w:val="0"/>
          <w:numId w:val="1016"/>
        </w:numPr>
        <w:pStyle w:val="Compact"/>
      </w:pPr>
      <w:r>
        <w:rPr>
          <w:bCs/>
          <w:b/>
        </w:rPr>
        <w:t xml:space="preserve">Increase Renewable Energy Procurement:</w:t>
      </w:r>
      <w:r>
        <w:t xml:space="preserve"> </w:t>
      </w:r>
      <w:r>
        <w:t xml:space="preserve">Expand renewable energy usage at the manufacturing facility beyond the current 60% [cite: shwninkjyv] to further reduce Scope 2 emissions. Explore options like on-site generation or power purchase agreements (PPAs) for 100% renewable electricity.</w:t>
      </w:r>
    </w:p>
    <w:p>
      <w:pPr>
        <w:numPr>
          <w:ilvl w:val="0"/>
          <w:numId w:val="1016"/>
        </w:numPr>
        <w:pStyle w:val="Compact"/>
      </w:pPr>
      <w:r>
        <w:rPr>
          <w:bCs/>
          <w:b/>
        </w:rPr>
        <w:t xml:space="preserve">Optimize Logistics:</w:t>
      </w:r>
      <w:r>
        <w:t xml:space="preserve"> </w:t>
      </w:r>
      <w:r>
        <w:t xml:space="preserve">Investigate opportunities to optimize transport modes (e.g., shifting from road to rail or sea where feasible for longer distances within the European supply chain), improve load factors, and explore electric or alternative fuel vehicles for both main transport and last-mile delivery to reduce Scope 3 emissions.</w:t>
      </w:r>
    </w:p>
    <w:p>
      <w:pPr>
        <w:numPr>
          <w:ilvl w:val="0"/>
          <w:numId w:val="1016"/>
        </w:numPr>
        <w:pStyle w:val="Compact"/>
      </w:pPr>
      <w:r>
        <w:rPr>
          <w:bCs/>
          <w:b/>
        </w:rPr>
        <w:t xml:space="preserve">Enhance Circularity:</w:t>
      </w:r>
      <w:r>
        <w:t xml:space="preserve"> </w:t>
      </w:r>
      <w:r>
        <w:t xml:space="preserve">Continue to invest in and expand the existing circular/take-back programs [cite: jxkmsupjkz]. Explore design for disassembly and material purity to maximize the actual recycled content and potential avoided emissions at end-of-life.</w:t>
      </w:r>
    </w:p>
    <w:p>
      <w:pPr>
        <w:numPr>
          <w:ilvl w:val="0"/>
          <w:numId w:val="1016"/>
        </w:numPr>
        <w:pStyle w:val="Compact"/>
      </w:pPr>
      <w:r>
        <w:rPr>
          <w:bCs/>
          <w:b/>
        </w:rPr>
        <w:t xml:space="preserve">Data Collection Improvement:</w:t>
      </w:r>
      <w:r>
        <w:t xml:space="preserve"> </w:t>
      </w:r>
      <w:r>
        <w:t xml:space="preserve">For future PCF analyses, prioritize collecting primary, granular data for all lifecycle stages, especially for supplier-specific emission factors, actual transport routes and payloads, and detailed energy mixes for the use phase.</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omhrqjywlx</dc:title>
  <dc:creator/>
  <dc:description>Detailed Product Carbon Footprint (PCF) analysis for omhrqjywlx, adhering to GHG Protocol standards and 2026 updates, prepared by Senior Sustainability Consultant otuxmezpnr for meumjdmqhy.</dc:description>
  <dc:language>en</dc:language>
  <cp:keywords/>
  <dcterms:created xsi:type="dcterms:W3CDTF">2026-05-30T18:31:12Z</dcterms:created>
  <dcterms:modified xsi:type="dcterms:W3CDTF">2026-05-30T18:31:12Z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