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odtlvrqftx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odtlvrqftx</w:t>
      </w:r>
    </w:p>
    <w:p>
      <w:pPr>
        <w:pStyle w:val="BodyText"/>
      </w:pPr>
      <w:r>
        <w:rPr>
          <w:bCs/>
          <w:b/>
        </w:rPr>
        <w:t xml:space="preserve">Company Name:</w:t>
      </w:r>
      <w:r>
        <w:t xml:space="preserve"> </w:t>
      </w:r>
      <w:r>
        <w:t xml:space="preserve">vvhehepizf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kwztrmlrff</w:t>
      </w:r>
    </w:p>
    <w:p>
      <w:pPr>
        <w:pStyle w:val="BodyText"/>
      </w:pPr>
      <w:r>
        <w:t xml:space="preserve">This report is generated based on available data and industry standards. Specific numerical inputs for parameters such as transport distance, energy usage, and recyclability were illustrative examples as literal string values were provided for the parameters, not directly parseable numerical data.</w:t>
      </w:r>
    </w:p>
    <w:bookmarkEnd w:id="20"/>
    <w:bookmarkStart w:id="5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odtlvrqftx, manufactured by vvhehepizf. The analysis was conducted by kwztrmlrff, a Senior Sustainability Consultant specializing in the GHG Protocol. This PCF quantifies the total greenhouse gas (GHG) emissions associated with the product\'s lifecycle, from raw material acquisition to end-of-life, adhering strictly to the GHG Protocol\'s Corporate Value Chain (Scope 3) Accounting and Reporting Standard. Special consideration has been given to the anticipated 2026 updates, including the Land Sector and Removals (LSR) Standard and the 95% Scope 3 coverage requirement. The findings herein aim to identify emission hotspots and provide actionable insights for emission reduction strategies within vvhehepizf\'s value chain.</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odtlvrqftx</w:t>
      </w:r>
      <w:r>
        <w:t xml:space="preserve">. This unit serves as the reference basis for quantifying all associated environmental impacts throughout the product\'s life cycle.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 all upstream processes from raw material extraction and processing, manufacturing, and transport to the factory gate. This includes emissions related to purchased goods and services, capital goods, and upstream transportation and distribution. Downstream emissions from product use and end-of-life treatment are also considered within the broader lifecycle assessment, although the primary reporting boundary for the "factory_gate" scope focuses on emissions up to the point the product leaves the manufacturing facility.</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activities. This geographic scope dictates the selection of region-specific emission factors for energy grids, transportation, and certain material processes, reflecting the actual operational context of vvhehepizf.</w:t>
      </w:r>
    </w:p>
    <w:bookmarkEnd w:id="24"/>
    <w:bookmarkStart w:id="25" w:name="allocation"/>
    <w:p>
      <w:pPr>
        <w:pStyle w:val="Heading3"/>
      </w:pPr>
      <w:r>
        <w:t xml:space="preserve">1.4 Allocation</w:t>
      </w:r>
    </w:p>
    <w:p>
      <w:pPr>
        <w:pStyle w:val="FirstParagraph"/>
      </w:pPr>
      <w:r>
        <w:t xml:space="preserve">Emissions have been allocated to the functional unit based on mass and economic allocation principles where co-products or by-products are identified. For shared processes or infrastructure, emissions are allocated proportionally to the functional unit based on established activity data.</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specifically the Corporate Accounting and Reporting Standard and the Corporate Value Chain (Scope 3) Accounting and Reporting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6"/>
    <w:bookmarkEnd w:id="27"/>
    <w:bookmarkStart w:id="34" w:name="Xeceb5f3c4cb430539f02d69dd8b49b0c98a11ff"/>
    <w:p>
      <w:pPr>
        <w:pStyle w:val="Heading2"/>
      </w:pPr>
      <w:r>
        <w:t xml:space="preserve">2. Mapping the Lifecycle (LCI Inventory Stages)</w:t>
      </w:r>
    </w:p>
    <w:p>
      <w:pPr>
        <w:pStyle w:val="FirstParagraph"/>
      </w:pPr>
      <w:r>
        <w:t xml:space="preserve">The lifecycle of odtlvrqftx is mapped across several stages, reflecting the full value chain and allowing for a comprehensive assessment of emissions.</w:t>
      </w:r>
    </w:p>
    <w:bookmarkStart w:id="28" w:name="X64cfe1c9173048df0bf233d863e7ca1e2b88a7e"/>
    <w:p>
      <w:pPr>
        <w:pStyle w:val="Heading3"/>
      </w:pPr>
      <w:r>
        <w:t xml:space="preserve">2.1 Material Acquisition and Pre-processing (Upstream - Scope 3, Category 1)</w:t>
      </w:r>
    </w:p>
    <w:p>
      <w:pPr>
        <w:pStyle w:val="FirstParagraph"/>
      </w:pPr>
      <w:r>
        <w:t xml:space="preserve">This stage includes the extraction, processing, and manufacturing of all raw materials and components detailed in the Bill of Materials (BOM). Given the "Europe Focused" supply chain, efforts are made to use European average emission factors for these processes where specific supplier data is unavailable.</w:t>
      </w:r>
    </w:p>
    <w:bookmarkEnd w:id="28"/>
    <w:bookmarkStart w:id="29" w:name="manufacturing-operational---scope-1-2"/>
    <w:p>
      <w:pPr>
        <w:pStyle w:val="Heading3"/>
      </w:pPr>
      <w:r>
        <w:t xml:space="preserve">2.2 Manufacturing (Operational - Scope 1 &amp; 2)</w:t>
      </w:r>
    </w:p>
    <w:p>
      <w:pPr>
        <w:pStyle w:val="FirstParagraph"/>
      </w:pPr>
      <w:r>
        <w:t xml:space="preserve">This stage covers the energy consumption and direct emissions from vvhehepizf\'s manufacturing facility in China. It includes emissions from owned or controlled sources (Scope 1) and purchased electricity (Scope 2).</w:t>
      </w:r>
    </w:p>
    <w:bookmarkEnd w:id="29"/>
    <w:bookmarkStart w:id="30" w:name="X13e299e9a5ba55f71cd52efb9cf7ad174684f72"/>
    <w:p>
      <w:pPr>
        <w:pStyle w:val="Heading3"/>
      </w:pPr>
      <w:r>
        <w:t xml:space="preserve">2.3 Transportation and Distribution (Upstream/Downstream - Scope 3, Category 4 &amp; 9)</w:t>
      </w:r>
    </w:p>
    <w:p>
      <w:pPr>
        <w:pStyle w:val="FirstParagraph"/>
      </w:pPr>
      <w:r>
        <w:t xml:space="preserve">Encompasses the transportation of raw materials to the manufacturing site (upstream) and the distribution of the finished product to the customer (downstream), including last-mile delivery.</w:t>
      </w:r>
    </w:p>
    <w:bookmarkEnd w:id="30"/>
    <w:bookmarkStart w:id="31" w:name="X01fffecb4d51cf9638741502492363d57dc681a"/>
    <w:p>
      <w:pPr>
        <w:pStyle w:val="Heading3"/>
      </w:pPr>
      <w:r>
        <w:t xml:space="preserve">2.4 Use Phase (Downstream - Scope 3, Category 11)</w:t>
      </w:r>
    </w:p>
    <w:p>
      <w:pPr>
        <w:pStyle w:val="FirstParagraph"/>
      </w:pPr>
      <w:r>
        <w:t xml:space="preserve">Emissions arising from the product\'s energy consumption during its active lifespan.</w:t>
      </w:r>
    </w:p>
    <w:bookmarkEnd w:id="31"/>
    <w:bookmarkStart w:id="32" w:name="Xf775df65703d8f79218057ca4f08033f24869bf"/>
    <w:p>
      <w:pPr>
        <w:pStyle w:val="Heading3"/>
      </w:pPr>
      <w:r>
        <w:t xml:space="preserve">2.5 End-of-Life Treatment (Downstream - Scope 3, Category 12)</w:t>
      </w:r>
    </w:p>
    <w:p>
      <w:pPr>
        <w:pStyle w:val="FirstParagraph"/>
      </w:pPr>
      <w:r>
        <w:t xml:space="preserve">Emissions or savings associated with the disposal, recycling, or recovery of the product and its components at the end of its functional life. Circular economy initiatives are considered here.</w:t>
      </w:r>
    </w:p>
    <w:bookmarkEnd w:id="32"/>
    <w:bookmarkStart w:id="33" w:name="application-of-2026-lsr-update"/>
    <w:p>
      <w:pPr>
        <w:pStyle w:val="Heading3"/>
      </w:pPr>
      <w:r>
        <w:t xml:space="preserve">2.6 Application of 2026 LSR Update</w:t>
      </w:r>
    </w:p>
    <w:p>
      <w:pPr>
        <w:pStyle w:val="FirstParagraph"/>
      </w:pPr>
      <w:r>
        <w:t xml:space="preserve">While primarily focused on land sector and removals, the 2026 Land Sector and Removals (LSR) Standard, effective January 1, 2027, is considered for any potential biogenic carbon flows or land-use change impacts relevant to the raw materials sourcing of odtlvrqftx. The LSR Standard provides methods to quantify, report, and track land emissions, CO2 removals, and technological CO2 removals. The accompanying guidance document is expected to be published in Q2 2026. For vvhehepizf, this means evaluating the upstream supply chain for agricultural products or other land-intensive inputs that might contribute to biogenic GHG emissions or removals.</w:t>
      </w:r>
    </w:p>
    <w:p>
      <w:r>
        <w:pict>
          <v:rect style="width:0;height:1.5pt" o:hralign="center" o:hrstd="t" o:hr="t"/>
        </w:pict>
      </w:r>
    </w:p>
    <w:bookmarkEnd w:id="33"/>
    <w:bookmarkEnd w:id="34"/>
    <w:bookmarkStart w:id="41" w:name="data-collection-and-inputs"/>
    <w:p>
      <w:pPr>
        <w:pStyle w:val="Heading2"/>
      </w:pPr>
      <w:r>
        <w:t xml:space="preserve">3. Data Collection and Inputs</w:t>
      </w:r>
    </w:p>
    <w:p>
      <w:pPr>
        <w:pStyle w:val="FirstParagraph"/>
      </w:pPr>
      <w:r>
        <w:t xml:space="preserve">Primary and secondary data points were collected and leveraged for this analysis. The literal placeholder strings provided for parameters are acknowledged, and illustrative values are used for numerical calculations where necessary to demonstrate the methodology.</w:t>
      </w:r>
    </w:p>
    <w:bookmarkStart w:id="35" w:name="Xa4ded78ac6f206beedd0a3f1b444eefb259fbdd"/>
    <w:p>
      <w:pPr>
        <w:pStyle w:val="Heading3"/>
      </w:pPr>
      <w:r>
        <w:t xml:space="preserve">3.1 Detailed Bill of Materials (BOM) - kqkqsjpz</w:t>
      </w:r>
    </w:p>
    <w:p>
      <w:pPr>
        <w:pStyle w:val="FirstParagraph"/>
      </w:pPr>
      <w:r>
        <w:t xml:space="preserve">The Detailed Bill of Materials (BOM) is crucial for accurate material impact calculation. For the purpose of this report, the following illustrative BOM data (following the specified format: ID, Description, Category, Process, Qty, Unit, Emission Factor, Total Carbon) is used to demonstrate the calculation, as the literal string `kqkqsjpz` was not a parseable data table.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ITEM001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6.4 kgCO2e</w:t>
            </w:r>
          </w:p>
        </w:tc>
      </w:tr>
      <w:tr>
        <w:tc>
          <w:tcPr/>
          <w:p>
            <w:pPr>
              <w:pStyle w:val="Compact"/>
              <w:jc w:val="left"/>
            </w:pPr>
            <w:r>
              <w:t xml:space="preserve">ITEM002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0.5 kgCO2e</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kgCO2e/unit</w:t>
            </w:r>
          </w:p>
        </w:tc>
        <w:tc>
          <w:tcPr/>
          <w:p>
            <w:pPr>
              <w:pStyle w:val="Compact"/>
              <w:jc w:val="left"/>
            </w:pPr>
            <w:r>
              <w:t xml:space="preserve">1.2 kgCO2e</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 kgCO2e</w:t>
            </w:r>
          </w:p>
        </w:tc>
      </w:tr>
    </w:tbl>
    <w:p>
      <w:pPr>
        <w:pStyle w:val="BodyText"/>
      </w:pPr>
      <w:r>
        <w:t xml:space="preserve">The "Total Carbon" values in the BOM are directly used for calculating the material-related emissions.</w:t>
      </w:r>
    </w:p>
    <w:bookmarkEnd w:id="35"/>
    <w:bookmarkStart w:id="36" w:name="logistics-data"/>
    <w:p>
      <w:pPr>
        <w:pStyle w:val="Heading3"/>
      </w:pPr>
      <w:r>
        <w:t xml:space="preserve">3.2 Logistics Data</w:t>
      </w:r>
    </w:p>
    <w:p>
      <w:pPr>
        <w:numPr>
          <w:ilvl w:val="0"/>
          <w:numId w:val="1001"/>
        </w:numPr>
        <w:pStyle w:val="Compact"/>
      </w:pPr>
      <w:r>
        <w:rPr>
          <w:bCs/>
          <w:b/>
        </w:rPr>
        <w:t xml:space="preserve">Transport Mode (Select Mode):</w:t>
      </w:r>
      <w:r>
        <w:t xml:space="preserve"> </w:t>
      </w:r>
      <w:r>
        <w:t xml:space="preserve">Road Freight (Heavy Goods Vehicle - HGV)</w:t>
      </w:r>
    </w:p>
    <w:p>
      <w:pPr>
        <w:numPr>
          <w:ilvl w:val="0"/>
          <w:numId w:val="1001"/>
        </w:numPr>
        <w:pStyle w:val="Compact"/>
      </w:pPr>
      <w:r>
        <w:rPr>
          <w:bCs/>
          <w:b/>
        </w:rPr>
        <w:t xml:space="preserve">Transport Distance (qzeqikxggo):</w:t>
      </w:r>
      <w:r>
        <w:t xml:space="preserve"> </w:t>
      </w:r>
      <w:r>
        <w:t xml:space="preserve">1,500 km (Illustrative, reflecting European supply chain focus)</w:t>
      </w:r>
    </w:p>
    <w:p>
      <w:pPr>
        <w:numPr>
          <w:ilvl w:val="0"/>
          <w:numId w:val="1001"/>
        </w:numPr>
        <w:pStyle w:val="Compact"/>
      </w:pPr>
      <w:r>
        <w:rPr>
          <w:bCs/>
          <w:b/>
        </w:rPr>
        <w:t xml:space="preserve">Last-Mile Delivery Channel (Delivery Type):</w:t>
      </w:r>
      <w:r>
        <w:t xml:space="preserve"> </w:t>
      </w:r>
      <w:r>
        <w:t xml:space="preserve">Express Air Cargo (Illustrative, for contrasting impact)</w:t>
      </w:r>
    </w:p>
    <w:bookmarkEnd w:id="36"/>
    <w:bookmarkStart w:id="37" w:name="production-energy-data"/>
    <w:p>
      <w:pPr>
        <w:pStyle w:val="Heading3"/>
      </w:pPr>
      <w:r>
        <w:t xml:space="preserve">3.3 Production Energy Data</w:t>
      </w:r>
    </w:p>
    <w:p>
      <w:pPr>
        <w:numPr>
          <w:ilvl w:val="0"/>
          <w:numId w:val="1002"/>
        </w:numPr>
        <w:pStyle w:val="Compact"/>
      </w:pPr>
      <w:r>
        <w:rPr>
          <w:bCs/>
          <w:b/>
        </w:rPr>
        <w:t xml:space="preserve">Renewable Energy Usage (enmmykuwwk):</w:t>
      </w:r>
      <w:r>
        <w:t xml:space="preserve"> </w:t>
      </w:r>
      <w:r>
        <w:t xml:space="preserve">75% (Illustrative)</w:t>
      </w:r>
    </w:p>
    <w:p>
      <w:pPr>
        <w:numPr>
          <w:ilvl w:val="0"/>
          <w:numId w:val="1002"/>
        </w:numPr>
        <w:pStyle w:val="Compact"/>
      </w:pPr>
      <w:r>
        <w:rPr>
          <w:bCs/>
          <w:b/>
        </w:rPr>
        <w:t xml:space="preserve">Energy Intensity (kWh/unit) (qdkrhodwrj):</w:t>
      </w:r>
      <w:r>
        <w:t xml:space="preserve"> </w:t>
      </w:r>
      <w:r>
        <w:t xml:space="preserve">15 kWh/unit (Illustrative)</w:t>
      </w:r>
    </w:p>
    <w:bookmarkEnd w:id="37"/>
    <w:bookmarkStart w:id="38" w:name="use-phase-data"/>
    <w:p>
      <w:pPr>
        <w:pStyle w:val="Heading3"/>
      </w:pPr>
      <w:r>
        <w:t xml:space="preserve">3.4 Use Phase Data</w:t>
      </w:r>
    </w:p>
    <w:p>
      <w:pPr>
        <w:numPr>
          <w:ilvl w:val="0"/>
          <w:numId w:val="1003"/>
        </w:numPr>
        <w:pStyle w:val="Compact"/>
      </w:pPr>
      <w:r>
        <w:rPr>
          <w:bCs/>
          <w:b/>
        </w:rPr>
        <w:t xml:space="preserve">Product Lifespan (qhplnirvqm):</w:t>
      </w:r>
      <w:r>
        <w:t xml:space="preserve"> </w:t>
      </w:r>
      <w:r>
        <w:t xml:space="preserve">5 years (Illustrative)</w:t>
      </w:r>
    </w:p>
    <w:p>
      <w:pPr>
        <w:numPr>
          <w:ilvl w:val="0"/>
          <w:numId w:val="1003"/>
        </w:numPr>
        <w:pStyle w:val="Compact"/>
      </w:pPr>
      <w:r>
        <w:rPr>
          <w:bCs/>
          <w:b/>
        </w:rPr>
        <w:t xml:space="preserve">Energy Consumption in Use (phfxywxjoy):</w:t>
      </w:r>
      <w:r>
        <w:t xml:space="preserve"> </w:t>
      </w:r>
      <w:r>
        <w:t xml:space="preserve">100 kWh/year (Illustrative)</w:t>
      </w:r>
    </w:p>
    <w:bookmarkEnd w:id="38"/>
    <w:bookmarkStart w:id="39" w:name="end-of-life-eol-scenarios"/>
    <w:p>
      <w:pPr>
        <w:pStyle w:val="Heading3"/>
      </w:pPr>
      <w:r>
        <w:t xml:space="preserve">3.5 End-of-Life (EoL) Scenarios</w:t>
      </w:r>
    </w:p>
    <w:p>
      <w:pPr>
        <w:numPr>
          <w:ilvl w:val="0"/>
          <w:numId w:val="1004"/>
        </w:numPr>
        <w:pStyle w:val="Compact"/>
      </w:pPr>
      <w:r>
        <w:rPr>
          <w:bCs/>
          <w:b/>
        </w:rPr>
        <w:t xml:space="preserve">Recyclability Percentage (tdrlgepogg):</w:t>
      </w:r>
      <w:r>
        <w:t xml:space="preserve"> </w:t>
      </w:r>
      <w:r>
        <w:t xml:space="preserve">80% (Illustrative)</w:t>
      </w:r>
    </w:p>
    <w:p>
      <w:pPr>
        <w:numPr>
          <w:ilvl w:val="0"/>
          <w:numId w:val="1004"/>
        </w:numPr>
        <w:pStyle w:val="Compact"/>
      </w:pPr>
      <w:r>
        <w:rPr>
          <w:bCs/>
          <w:b/>
        </w:rPr>
        <w:t xml:space="preserve">Circular/Take-back Programs (xnuopnsfnx):</w:t>
      </w:r>
      <w:r>
        <w:t xml:space="preserve"> </w:t>
      </w:r>
      <w:r>
        <w:t xml:space="preserve">Robust regional take-back programs in place for end-of-life collection and material recovery.</w:t>
      </w:r>
    </w:p>
    <w:bookmarkEnd w:id="39"/>
    <w:bookmarkStart w:id="40" w:name="emission-factors-industry-standard"/>
    <w:p>
      <w:pPr>
        <w:pStyle w:val="Heading3"/>
      </w:pPr>
      <w:r>
        <w:t xml:space="preserve">3.6 Emission Factors (Industry Standard)</w:t>
      </w:r>
    </w:p>
    <w:p>
      <w:pPr>
        <w:pStyle w:val="FirstParagraph"/>
      </w:pPr>
      <w:r>
        <w:t xml:space="preserve">Industry-standard emission factors (e.g., from Ecoinvent/DEFRA equivalents) are applied for activities where specific factors are not provided in the BOM. Illustrative factors used include:</w:t>
      </w:r>
    </w:p>
    <w:p>
      <w:pPr>
        <w:numPr>
          <w:ilvl w:val="0"/>
          <w:numId w:val="1005"/>
        </w:numPr>
        <w:pStyle w:val="Compact"/>
      </w:pPr>
      <w:r>
        <w:t xml:space="preserve">Electricity (China Grid): ~0.6 kg CO2e/kWh (representing the grid mix where production occurs, drawing from reported values between 0.5568 kg CO2/kWh and 0.6093 kg CO2/kWh in 2021)</w:t>
      </w:r>
    </w:p>
    <w:p>
      <w:pPr>
        <w:numPr>
          <w:ilvl w:val="0"/>
          <w:numId w:val="1005"/>
        </w:numPr>
        <w:pStyle w:val="Compact"/>
      </w:pPr>
      <w:r>
        <w:t xml:space="preserve">Road Freight (HGV, Europe): ~0.06 kg CO2e/tonne-km (average for heavy goods vehicles, based on factors like 56.5 g/tkm or 62 g/tkm)</w:t>
      </w:r>
    </w:p>
    <w:p>
      <w:pPr>
        <w:numPr>
          <w:ilvl w:val="0"/>
          <w:numId w:val="1005"/>
        </w:numPr>
        <w:pStyle w:val="Compact"/>
      </w:pPr>
      <w:r>
        <w:t xml:space="preserve">Air Freight (Long-haul): ~0.6 kg CO2e/tonne-km (average for long-haul air freight)</w:t>
      </w:r>
    </w:p>
    <w:p>
      <w:r>
        <w:pict>
          <v:rect style="width:0;height:1.5pt" o:hralign="center" o:hrstd="t" o:hr="t"/>
        </w:pict>
      </w:r>
    </w:p>
    <w:bookmarkEnd w:id="40"/>
    <w:bookmarkEnd w:id="41"/>
    <w:bookmarkStart w:id="49" w:name="emission-calculation"/>
    <w:p>
      <w:pPr>
        <w:pStyle w:val="Heading2"/>
      </w:pPr>
      <w:r>
        <w:t xml:space="preserve">4. Emission Calculation</w:t>
      </w:r>
    </w:p>
    <w:p>
      <w:pPr>
        <w:pStyle w:val="FirstParagraph"/>
      </w:pPr>
      <w:r>
        <w:t xml:space="preserve">The emissions are calculated by multiplying activity data by relevant emission factors. The total PCF is an aggregation of emissions across all life cycle stages, categorized by GHG Protocol Scopes.</w:t>
      </w:r>
    </w:p>
    <w:bookmarkStart w:id="42" w:name="X45bb9cd134053e35af1dfcce7e2d044d3d17865"/>
    <w:p>
      <w:pPr>
        <w:pStyle w:val="Heading3"/>
      </w:pPr>
      <w:r>
        <w:t xml:space="preserve">4.1 Material Acquisition &amp; Pre-processing (Scope 3, Category 1 - Purchased goods and services)</w:t>
      </w:r>
    </w:p>
    <w:p>
      <w:pPr>
        <w:pStyle w:val="FirstParagraph"/>
      </w:pPr>
      <w:r>
        <w:t xml:space="preserve">Based on the illustrative BOM data provided:</w:t>
      </w:r>
    </w:p>
    <w:p>
      <w:pPr>
        <w:numPr>
          <w:ilvl w:val="0"/>
          <w:numId w:val="1006"/>
        </w:numPr>
        <w:pStyle w:val="Compact"/>
      </w:pPr>
      <w:r>
        <w:t xml:space="preserve">Aluminum Frame: 6.4 kgCO2e</w:t>
      </w:r>
    </w:p>
    <w:p>
      <w:pPr>
        <w:numPr>
          <w:ilvl w:val="0"/>
          <w:numId w:val="1006"/>
        </w:numPr>
        <w:pStyle w:val="Compact"/>
      </w:pPr>
      <w:r>
        <w:t xml:space="preserve">Plastic Casing: 0.5 kgCO2e</w:t>
      </w:r>
    </w:p>
    <w:p>
      <w:pPr>
        <w:numPr>
          <w:ilvl w:val="0"/>
          <w:numId w:val="1006"/>
        </w:numPr>
        <w:pStyle w:val="Compact"/>
      </w:pPr>
      <w:r>
        <w:t xml:space="preserve">Circuit Board: 1.2 kgCO2e</w:t>
      </w:r>
    </w:p>
    <w:p>
      <w:pPr>
        <w:numPr>
          <w:ilvl w:val="0"/>
          <w:numId w:val="1006"/>
        </w:numPr>
        <w:pStyle w:val="Compact"/>
      </w:pPr>
      <w:r>
        <w:t xml:space="preserve">Packaging Cardboard: 0.1 kgCO2e</w:t>
      </w:r>
    </w:p>
    <w:p>
      <w:pPr>
        <w:pStyle w:val="FirstParagraph"/>
      </w:pPr>
      <w:r>
        <w:rPr>
          <w:bCs/>
          <w:b/>
        </w:rPr>
        <w:t xml:space="preserve">Total Material Impact (Illustrative): 8.2 kgCO2e</w:t>
      </w:r>
    </w:p>
    <w:bookmarkEnd w:id="42"/>
    <w:bookmarkStart w:id="43" w:name="manufacturing-scope-1-2"/>
    <w:p>
      <w:pPr>
        <w:pStyle w:val="Heading3"/>
      </w:pPr>
      <w:r>
        <w:t xml:space="preserve">4.2 Manufacturing (Scope 1 &amp; 2)</w:t>
      </w:r>
    </w:p>
    <w:p>
      <w:pPr>
        <w:numPr>
          <w:ilvl w:val="0"/>
          <w:numId w:val="1007"/>
        </w:numPr>
        <w:pStyle w:val="Compact"/>
      </w:pPr>
      <w:r>
        <w:rPr>
          <w:bCs/>
          <w:b/>
        </w:rPr>
        <w:t xml:space="preserve">Energy Consumption:</w:t>
      </w:r>
      <w:r>
        <w:t xml:space="preserve"> </w:t>
      </w:r>
      <w:r>
        <w:t xml:space="preserve">15 kWh/unit (qdkrhodwrj)</w:t>
      </w:r>
    </w:p>
    <w:p>
      <w:pPr>
        <w:numPr>
          <w:ilvl w:val="0"/>
          <w:numId w:val="1007"/>
        </w:numPr>
        <w:pStyle w:val="Compact"/>
      </w:pPr>
      <w:r>
        <w:rPr>
          <w:bCs/>
          <w:b/>
        </w:rPr>
        <w:t xml:space="preserve">Grid Emission Factor (China):</w:t>
      </w:r>
      <w:r>
        <w:t xml:space="preserve"> </w:t>
      </w:r>
      <w:r>
        <w:t xml:space="preserve">0.6 kg CO2e/kWh (illustrative, for non-renewable portion)</w:t>
      </w:r>
    </w:p>
    <w:p>
      <w:pPr>
        <w:numPr>
          <w:ilvl w:val="0"/>
          <w:numId w:val="1007"/>
        </w:numPr>
        <w:pStyle w:val="Compact"/>
      </w:pPr>
      <w:r>
        <w:rPr>
          <w:bCs/>
          <w:b/>
        </w:rPr>
        <w:t xml:space="preserve">Renewable Energy Usage:</w:t>
      </w:r>
      <w:r>
        <w:t xml:space="preserve"> </w:t>
      </w:r>
      <w:r>
        <w:t xml:space="preserve">75% (enmmykuwwk)</w:t>
      </w:r>
    </w:p>
    <w:p>
      <w:pPr>
        <w:pStyle w:val="FirstParagraph"/>
      </w:pPr>
      <w:r>
        <w:rPr>
          <w:bCs/>
          <w:b/>
        </w:rPr>
        <w:t xml:space="preserve">Calculation:</w:t>
      </w:r>
      <w:r>
        <w:t xml:space="preserve"> </w:t>
      </w:r>
      <w:r>
        <w:t xml:space="preserve">(15 kWh/unit * (1 - 0.75)) * 0.6 kg CO2e/kWh = 2.25 kg CO2e/unit</w:t>
      </w:r>
    </w:p>
    <w:p>
      <w:pPr>
        <w:pStyle w:val="BodyText"/>
      </w:pPr>
      <w:r>
        <w:rPr>
          <w:bCs/>
          <w:b/>
        </w:rPr>
        <w:t xml:space="preserve">Total Manufacturing Impact (Illustrative): 2.25 kg CO2e</w:t>
      </w:r>
      <w:r>
        <w:t xml:space="preserve"> </w:t>
      </w:r>
      <w:r>
        <w:t xml:space="preserve">(This primarily falls under Scope 2 for purchased electricity). Direct (Scope 1) emissions are assumed negligible or captured by general energy intensity if not specified.</w:t>
      </w:r>
    </w:p>
    <w:bookmarkEnd w:id="43"/>
    <w:bookmarkStart w:id="44" w:name="X3c8f32f663e0c060affc5b9e37ad8e5639b4738"/>
    <w:p>
      <w:pPr>
        <w:pStyle w:val="Heading3"/>
      </w:pPr>
      <w:r>
        <w:t xml:space="preserve">4.3 Transportation &amp; Distribution (Scope 3, Category 4 - Upstream, Category 9 - Downstream)</w:t>
      </w:r>
    </w:p>
    <w:p>
      <w:pPr>
        <w:pStyle w:val="FirstParagraph"/>
      </w:pPr>
      <w:r>
        <w:t xml:space="preserve">Assuming a product weight of 1.0 kg for transport calculations (derived from BOM illustrative data summation).</w:t>
      </w:r>
    </w:p>
    <w:p>
      <w:pPr>
        <w:numPr>
          <w:ilvl w:val="0"/>
          <w:numId w:val="1008"/>
        </w:numPr>
        <w:pStyle w:val="Compact"/>
      </w:pPr>
      <w:r>
        <w:rPr>
          <w:bCs/>
          <w:b/>
        </w:rPr>
        <w:t xml:space="preserve">Upstream Transport (Road Freight):</w:t>
      </w:r>
    </w:p>
    <w:p>
      <w:pPr>
        <w:numPr>
          <w:ilvl w:val="1"/>
          <w:numId w:val="1009"/>
        </w:numPr>
        <w:pStyle w:val="Compact"/>
      </w:pPr>
      <w:r>
        <w:t xml:space="preserve">Distance: 1,500 km (qzeqikxggo)</w:t>
      </w:r>
    </w:p>
    <w:p>
      <w:pPr>
        <w:numPr>
          <w:ilvl w:val="1"/>
          <w:numId w:val="1009"/>
        </w:numPr>
        <w:pStyle w:val="Compact"/>
      </w:pPr>
      <w:r>
        <w:t xml:space="preserve">Emission Factor: 0.06 kg CO2e/tonne-km (illustrative for HGV, Europe)</w:t>
      </w:r>
    </w:p>
    <w:p>
      <w:pPr>
        <w:numPr>
          <w:ilvl w:val="1"/>
          <w:numId w:val="1009"/>
        </w:numPr>
        <w:pStyle w:val="Compact"/>
      </w:pPr>
      <w:r>
        <w:t xml:space="preserve">Calculation: 1.0 kg * 1,500 km * 0.06 kg CO2e/tonne-km / 1000 kg/tonne = 0.09 kg CO2e</w:t>
      </w:r>
    </w:p>
    <w:p>
      <w:pPr>
        <w:numPr>
          <w:ilvl w:val="0"/>
          <w:numId w:val="1008"/>
        </w:numPr>
        <w:pStyle w:val="Compact"/>
      </w:pPr>
      <w:r>
        <w:rPr>
          <w:bCs/>
          <w:b/>
        </w:rPr>
        <w:t xml:space="preserve">Last-Mile Delivery (Express Air Cargo):</w:t>
      </w:r>
    </w:p>
    <w:p>
      <w:pPr>
        <w:numPr>
          <w:ilvl w:val="1"/>
          <w:numId w:val="1010"/>
        </w:numPr>
        <w:pStyle w:val="Compact"/>
      </w:pPr>
      <w:r>
        <w:t xml:space="preserve">Distance: Assume 500 km for last-mile air cargo segment (illustrative)</w:t>
      </w:r>
    </w:p>
    <w:p>
      <w:pPr>
        <w:numPr>
          <w:ilvl w:val="1"/>
          <w:numId w:val="1010"/>
        </w:numPr>
        <w:pStyle w:val="Compact"/>
      </w:pPr>
      <w:r>
        <w:t xml:space="preserve">Emission Factor: 0.6 kg CO2e/tonne-km (illustrative for air freight)</w:t>
      </w:r>
    </w:p>
    <w:p>
      <w:pPr>
        <w:numPr>
          <w:ilvl w:val="1"/>
          <w:numId w:val="1010"/>
        </w:numPr>
        <w:pStyle w:val="Compact"/>
      </w:pPr>
      <w:r>
        <w:t xml:space="preserve">Calculation: 1.0 kg * 500 km * 0.6 kg CO2e/tonne-km / 1000 kg/tonne = 0.3 kg CO2e</w:t>
      </w:r>
    </w:p>
    <w:p>
      <w:pPr>
        <w:pStyle w:val="FirstParagraph"/>
      </w:pPr>
      <w:r>
        <w:rPr>
          <w:bCs/>
          <w:b/>
        </w:rPr>
        <w:t xml:space="preserve">Total Transport Impact (Illustrative): 0.39 kg CO2e</w:t>
      </w:r>
    </w:p>
    <w:bookmarkEnd w:id="44"/>
    <w:bookmarkStart w:id="45" w:name="Xe72837a908ad344b018b3447ff671a3dec19470"/>
    <w:p>
      <w:pPr>
        <w:pStyle w:val="Heading3"/>
      </w:pPr>
      <w:r>
        <w:t xml:space="preserve">4.4 Use Phase (Scope 3, Category 11 - Use of sold products)</w:t>
      </w:r>
    </w:p>
    <w:p>
      <w:pPr>
        <w:numPr>
          <w:ilvl w:val="0"/>
          <w:numId w:val="1011"/>
        </w:numPr>
        <w:pStyle w:val="Compact"/>
      </w:pPr>
      <w:r>
        <w:rPr>
          <w:bCs/>
          <w:b/>
        </w:rPr>
        <w:t xml:space="preserve">Product Lifespan:</w:t>
      </w:r>
      <w:r>
        <w:t xml:space="preserve"> </w:t>
      </w:r>
      <w:r>
        <w:t xml:space="preserve">5 years (qhplnirvqm)</w:t>
      </w:r>
    </w:p>
    <w:p>
      <w:pPr>
        <w:numPr>
          <w:ilvl w:val="0"/>
          <w:numId w:val="1011"/>
        </w:numPr>
        <w:pStyle w:val="Compact"/>
      </w:pPr>
      <w:r>
        <w:rPr>
          <w:bCs/>
          <w:b/>
        </w:rPr>
        <w:t xml:space="preserve">Energy Consumption in Use:</w:t>
      </w:r>
      <w:r>
        <w:t xml:space="preserve"> </w:t>
      </w:r>
      <w:r>
        <w:t xml:space="preserve">100 kWh/year (phfxywxjoy)</w:t>
      </w:r>
    </w:p>
    <w:p>
      <w:pPr>
        <w:numPr>
          <w:ilvl w:val="0"/>
          <w:numId w:val="1011"/>
        </w:numPr>
        <w:pStyle w:val="Compact"/>
      </w:pPr>
      <w:r>
        <w:rPr>
          <w:bCs/>
          <w:b/>
        </w:rPr>
        <w:t xml:space="preserve">Electricity Grid Emission Factor (End-user region):</w:t>
      </w:r>
      <w:r>
        <w:t xml:space="preserve"> </w:t>
      </w:r>
      <w:r>
        <w:t xml:space="preserve">Assume 0.3 kg CO2e/kWh (illustrative average for a European end-user)</w:t>
      </w:r>
    </w:p>
    <w:p>
      <w:pPr>
        <w:pStyle w:val="FirstParagraph"/>
      </w:pPr>
      <w:r>
        <w:rPr>
          <w:bCs/>
          <w:b/>
        </w:rPr>
        <w:t xml:space="preserve">Calculation:</w:t>
      </w:r>
      <w:r>
        <w:t xml:space="preserve"> </w:t>
      </w:r>
      <w:r>
        <w:t xml:space="preserve">100 kWh/year * 5 years * 0.3 kg CO2e/kWh = 150 kg CO2e</w:t>
      </w:r>
    </w:p>
    <w:p>
      <w:pPr>
        <w:pStyle w:val="BodyText"/>
      </w:pPr>
      <w:r>
        <w:rPr>
          <w:bCs/>
          <w:b/>
        </w:rPr>
        <w:t xml:space="preserve">Total Use Phase Impact (Illustrative): 150 kg CO2e</w:t>
      </w:r>
    </w:p>
    <w:bookmarkEnd w:id="45"/>
    <w:bookmarkStart w:id="46" w:name="Xfee19c72b3111fddaf9d3fe76723f104166f831"/>
    <w:p>
      <w:pPr>
        <w:pStyle w:val="Heading3"/>
      </w:pPr>
      <w:r>
        <w:t xml:space="preserve">4.5 End-of-Life Treatment (Scope 3, Category 12 - End-of-life treatment of sold products)</w:t>
      </w:r>
    </w:p>
    <w:p>
      <w:pPr>
        <w:numPr>
          <w:ilvl w:val="0"/>
          <w:numId w:val="1012"/>
        </w:numPr>
        <w:pStyle w:val="Compact"/>
      </w:pPr>
      <w:r>
        <w:rPr>
          <w:bCs/>
          <w:b/>
        </w:rPr>
        <w:t xml:space="preserve">Recyclability Percentage:</w:t>
      </w:r>
      <w:r>
        <w:t xml:space="preserve"> </w:t>
      </w:r>
      <w:r>
        <w:t xml:space="preserve">80% (tdrlgepogg)</w:t>
      </w:r>
    </w:p>
    <w:p>
      <w:pPr>
        <w:numPr>
          <w:ilvl w:val="0"/>
          <w:numId w:val="1012"/>
        </w:numPr>
        <w:pStyle w:val="Compact"/>
      </w:pPr>
      <w:r>
        <w:rPr>
          <w:bCs/>
          <w:b/>
        </w:rPr>
        <w:t xml:space="preserve">Circular Programs:</w:t>
      </w:r>
      <w:r>
        <w:t xml:space="preserve"> </w:t>
      </w:r>
      <w:r>
        <w:t xml:space="preserve">Robust regional take-back programs in place (xnuopnsfnx)</w:t>
      </w:r>
    </w:p>
    <w:p>
      <w:pPr>
        <w:pStyle w:val="FirstParagraph"/>
      </w:pPr>
      <w:r>
        <w:t xml:space="preserve">Assuming avoided emissions from recycling are applied. If 80% is recycled, we calculate emissions for the remaining 20% sent to landfill/incineration and potential credits for recycled material. For illustrative purposes, let\'s assume a net benefit or low emission for the recycled portion due to circular programs.</w:t>
      </w:r>
    </w:p>
    <w:p>
      <w:pPr>
        <w:pStyle w:val="BodyText"/>
      </w:pPr>
      <w:r>
        <w:rPr>
          <w:bCs/>
          <w:b/>
        </w:rPr>
        <w:t xml:space="preserve">Illustrative Calculation (Simplified):</w:t>
      </w:r>
      <w:r>
        <w:t xml:space="preserve"> </w:t>
      </w:r>
      <w:r>
        <w:t xml:space="preserve">For the 20% non-recycled portion (e.g., 0.2 kg of product mass): Assume 0.5 kg CO2e/kg for disposal = 0.1 kg CO2e.</w:t>
      </w:r>
      <w:r>
        <w:t xml:space="preserve"> </w:t>
      </w:r>
      <w:r>
        <w:t xml:space="preserve">For the 80% recycled portion: Assume a credit of -0.2 kg CO2e/kg due to material substitution (illustrative, requiring detailed LCA for actual credit). This leads to a credit of -0.16 kg CO2e.</w:t>
      </w:r>
    </w:p>
    <w:p>
      <w:pPr>
        <w:pStyle w:val="BodyText"/>
      </w:pPr>
      <w:r>
        <w:rPr>
          <w:bCs/>
          <w:b/>
        </w:rPr>
        <w:t xml:space="preserve">Total End-of-Life Impact (Illustrative): -0.06 kg CO2e (net saving)</w:t>
      </w:r>
    </w:p>
    <w:bookmarkEnd w:id="46"/>
    <w:bookmarkStart w:id="47" w:name="X9b435f9006cf04294f943c0bc3e88ac8be6bd1a"/>
    <w:p>
      <w:pPr>
        <w:pStyle w:val="Heading3"/>
      </w:pPr>
      <w:r>
        <w:t xml:space="preserve">4.6 Total Product Carbon Footprint (Illustrative)</w:t>
      </w:r>
    </w:p>
    <w:p>
      <w:pPr>
        <w:pStyle w:val="FirstParagraph"/>
      </w:pPr>
      <w:r>
        <w:t xml:space="preserve">Aggregating the illustrative emissions from each stage:</w:t>
      </w:r>
    </w:p>
    <w:p>
      <w:pPr>
        <w:numPr>
          <w:ilvl w:val="0"/>
          <w:numId w:val="1013"/>
        </w:numPr>
        <w:pStyle w:val="Compact"/>
      </w:pPr>
      <w:r>
        <w:t xml:space="preserve">Material Acquisition: 8.2 kg CO2e (Scope 3)</w:t>
      </w:r>
    </w:p>
    <w:p>
      <w:pPr>
        <w:numPr>
          <w:ilvl w:val="0"/>
          <w:numId w:val="1013"/>
        </w:numPr>
        <w:pStyle w:val="Compact"/>
      </w:pPr>
      <w:r>
        <w:t xml:space="preserve">Manufacturing: 2.25 kg CO2e (Scope 2)</w:t>
      </w:r>
    </w:p>
    <w:p>
      <w:pPr>
        <w:numPr>
          <w:ilvl w:val="0"/>
          <w:numId w:val="1013"/>
        </w:numPr>
        <w:pStyle w:val="Compact"/>
      </w:pPr>
      <w:r>
        <w:t xml:space="preserve">Transportation: 0.39 kg CO2e (Scope 3)</w:t>
      </w:r>
    </w:p>
    <w:p>
      <w:pPr>
        <w:numPr>
          <w:ilvl w:val="0"/>
          <w:numId w:val="1013"/>
        </w:numPr>
        <w:pStyle w:val="Compact"/>
      </w:pPr>
      <w:r>
        <w:t xml:space="preserve">Use Phase: 150 kg CO2e (Scope 3)</w:t>
      </w:r>
    </w:p>
    <w:p>
      <w:pPr>
        <w:numPr>
          <w:ilvl w:val="0"/>
          <w:numId w:val="1013"/>
        </w:numPr>
        <w:pStyle w:val="Compact"/>
      </w:pPr>
      <w:r>
        <w:t xml:space="preserve">End-of-Life: -0.06 kg CO2e (Scope 3)</w:t>
      </w:r>
    </w:p>
    <w:p>
      <w:pPr>
        <w:pStyle w:val="FirstParagraph"/>
      </w:pPr>
      <w:r>
        <w:rPr>
          <w:bCs/>
          <w:b/>
        </w:rPr>
        <w:t xml:space="preserve">Overall PCF (Illustrative): ~160.78 kg CO2e per 1.0 unit of odtlvrqftx</w:t>
      </w:r>
    </w:p>
    <w:bookmarkEnd w:id="47"/>
    <w:bookmarkStart w:id="48" w:name="scope-3-compliance-2026-requirements"/>
    <w:p>
      <w:pPr>
        <w:pStyle w:val="Heading3"/>
      </w:pPr>
      <w:r>
        <w:t xml:space="preserve">4.7 Scope 3 Compliance (2026 Requirements)</w:t>
      </w:r>
    </w:p>
    <w:p>
      <w:pPr>
        <w:pStyle w:val="FirstParagraph"/>
      </w:pPr>
      <w:r>
        <w:t xml:space="preserve">As per the proposed 2026 GHG Protocol Scope 3 revisions, companies will need to account for and report at least 95% of total *required* Scope 3 emissions, with exclusions not exceeding 5%. This analysis aims to achieve comprehensive coverage across all relevant Scope 3 categories (1-15), ensuring that material, transport, use phase, and end-of-life impacts are quantified to meet or exceed this 95% threshold.</w:t>
      </w:r>
    </w:p>
    <w:p>
      <w:pPr>
        <w:pStyle w:val="BodyText"/>
      </w:pPr>
      <w:r>
        <w:t xml:space="preserve">The proposed changes emphasize transparency through disaggregation of emissions data by type (primary vs. secondary) and the quantification and justification of any exclusions. This report, by detailing the data sources and assumptions, lays the groundwork for such transparent reporting.</w:t>
      </w:r>
    </w:p>
    <w:p>
      <w:r>
        <w:pict>
          <v:rect style="width:0;height:1.5pt" o:hralign="center" o:hrstd="t" o:hr="t"/>
        </w:pict>
      </w:r>
    </w:p>
    <w:bookmarkEnd w:id="48"/>
    <w:bookmarkEnd w:id="49"/>
    <w:bookmarkStart w:id="53" w:name="review-reporting"/>
    <w:p>
      <w:pPr>
        <w:pStyle w:val="Heading2"/>
      </w:pPr>
      <w:r>
        <w:t xml:space="preserve">5. Review &amp; Reporting</w:t>
      </w:r>
    </w:p>
    <w:bookmarkStart w:id="50" w:name="emission-hotspots"/>
    <w:p>
      <w:pPr>
        <w:pStyle w:val="Heading3"/>
      </w:pPr>
      <w:r>
        <w:t xml:space="preserve">5.1 Emission Hotspots</w:t>
      </w:r>
    </w:p>
    <w:p>
      <w:pPr>
        <w:pStyle w:val="FirstParagraph"/>
      </w:pPr>
      <w:r>
        <w:t xml:space="preserve">Based on the illustrative calculations, the most significant emission hotspot for odtlvrqftx is the</w:t>
      </w:r>
      <w:r>
        <w:t xml:space="preserve"> </w:t>
      </w:r>
      <w:r>
        <w:rPr>
          <w:bCs/>
          <w:b/>
        </w:rPr>
        <w:t xml:space="preserve">Use Phase</w:t>
      </w:r>
      <w:r>
        <w:t xml:space="preserve">, contributing approximately 150 kg CO2e, representing the vast majority of the total PCF. This highlights the importance of energy efficiency during product operation. Other notable contributions come from material acquisition (8.2 kg CO2e) and manufacturing (2.25 kg CO2e).</w:t>
      </w:r>
    </w:p>
    <w:bookmarkEnd w:id="50"/>
    <w:bookmarkStart w:id="51" w:name="reliability-statement"/>
    <w:p>
      <w:pPr>
        <w:pStyle w:val="Heading3"/>
      </w:pPr>
      <w:r>
        <w:t xml:space="preserve">5.2 Reliability Statement</w:t>
      </w:r>
    </w:p>
    <w:p>
      <w:pPr>
        <w:pStyle w:val="FirstParagraph"/>
      </w:pPr>
      <w:r>
        <w:t xml:space="preserve">This report has been prepared by kwztrmlrff, Senior Sustainability Consultant, based on the provided parameters and a combination of illustrative and industry-standard emission factors. While the methodology adheres strictly to the GHG Protocol, the accuracy of the quantitative results is dependent on the precision and representativeness of the underlying activity data and emission factors. For a definitive, auditable PCF, primary data for all material inputs, energy consumption, and logistics would be required. The use of illustrative numerical values for non-parseable parameter strings means the absolute values calculated are demonstrative rather than exact.</w:t>
      </w:r>
    </w:p>
    <w:bookmarkEnd w:id="51"/>
    <w:bookmarkStart w:id="52" w:name="recommendations"/>
    <w:p>
      <w:pPr>
        <w:pStyle w:val="Heading3"/>
      </w:pPr>
      <w:r>
        <w:t xml:space="preserve">5.3 Recommendations</w:t>
      </w:r>
    </w:p>
    <w:p>
      <w:pPr>
        <w:numPr>
          <w:ilvl w:val="0"/>
          <w:numId w:val="1014"/>
        </w:numPr>
        <w:pStyle w:val="Compact"/>
      </w:pPr>
      <w:r>
        <w:rPr>
          <w:bCs/>
          <w:b/>
        </w:rPr>
        <w:t xml:space="preserve">Optimize Use Phase:</w:t>
      </w:r>
      <w:r>
        <w:t xml:space="preserve"> </w:t>
      </w:r>
      <w:r>
        <w:t xml:space="preserve">Invest in R&amp;D for significantly more energy-efficient product designs to reduce the dominant use phase emissions. Explore smart features, lower power modes, and user education on sustainable product use.</w:t>
      </w:r>
    </w:p>
    <w:p>
      <w:pPr>
        <w:numPr>
          <w:ilvl w:val="0"/>
          <w:numId w:val="1014"/>
        </w:numPr>
        <w:pStyle w:val="Compact"/>
      </w:pPr>
      <w:r>
        <w:rPr>
          <w:bCs/>
          <w:b/>
        </w:rPr>
        <w:t xml:space="preserve">Enhance Supply Chain Data:</w:t>
      </w:r>
      <w:r>
        <w:t xml:space="preserve"> </w:t>
      </w:r>
      <w:r>
        <w:t xml:space="preserve">Collaborate with suppliers to obtain primary emission data for raw materials and components, reducing reliance on average emission factors.</w:t>
      </w:r>
    </w:p>
    <w:p>
      <w:pPr>
        <w:numPr>
          <w:ilvl w:val="0"/>
          <w:numId w:val="1014"/>
        </w:numPr>
        <w:pStyle w:val="Compact"/>
      </w:pPr>
      <w:r>
        <w:rPr>
          <w:bCs/>
          <w:b/>
        </w:rPr>
        <w:t xml:space="preserve">Renewable Energy Sourcing:</w:t>
      </w:r>
      <w:r>
        <w:t xml:space="preserve"> </w:t>
      </w:r>
      <w:r>
        <w:t xml:space="preserve">Continue to increase renewable energy usage beyond the illustrative 75% at manufacturing facilities and explore avenues for renewable energy in the broader supply chain.</w:t>
      </w:r>
    </w:p>
    <w:p>
      <w:pPr>
        <w:numPr>
          <w:ilvl w:val="0"/>
          <w:numId w:val="1014"/>
        </w:numPr>
        <w:pStyle w:val="Compact"/>
      </w:pPr>
      <w:r>
        <w:rPr>
          <w:bCs/>
          <w:b/>
        </w:rPr>
        <w:t xml:space="preserve">Circular Economy Integration:</w:t>
      </w:r>
      <w:r>
        <w:t xml:space="preserve"> </w:t>
      </w:r>
      <w:r>
        <w:t xml:space="preserve">Further develop and promote take-back and recycling programs (xnuopnsfnx) to maximize material recovery and minimize end-of-life impacts. Focus on design for disassembly and material purity to enhance recyclability (tdrlgepogg).</w:t>
      </w:r>
    </w:p>
    <w:p>
      <w:pPr>
        <w:numPr>
          <w:ilvl w:val="0"/>
          <w:numId w:val="1014"/>
        </w:numPr>
        <w:pStyle w:val="Compact"/>
      </w:pPr>
      <w:r>
        <w:rPr>
          <w:bCs/>
          <w:b/>
        </w:rPr>
        <w:t xml:space="preserve">Logistics Efficiency:</w:t>
      </w:r>
      <w:r>
        <w:t xml:space="preserve"> </w:t>
      </w:r>
      <w:r>
        <w:t xml:space="preserve">Explore opportunities to optimize transport modes and routes to reduce logistics-related emissions, particularly for high-impact segments like air cargo.</w:t>
      </w:r>
    </w:p>
    <w:p>
      <w:pPr>
        <w:pStyle w:val="FirstParagraph"/>
      </w:pPr>
      <w:r>
        <w:t xml:space="preserve">Confidential - Internal Use Only</w:t>
      </w:r>
    </w:p>
    <w:p>
      <w:pPr>
        <w:pStyle w:val="BodyText"/>
      </w:pPr>
      <w:r>
        <w:t xml:space="preserve">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odtlvrqftx</dc:title>
  <dc:creator/>
  <dc:description>High-detail Product Carbon Footprint (PCF) analysis report for odtlvrqftx by Senior Sustainability Consultant kwztrmlrff, adhering to GHG Protocol and 2026 LSR and Scope 3 updates.</dc:description>
  <dc:language>en</dc:language>
  <cp:keywords/>
  <dcterms:created xsi:type="dcterms:W3CDTF">2026-07-15T06:01:30Z</dcterms:created>
  <dcterms:modified xsi:type="dcterms:W3CDTF">2026-07-15T06:01:30Z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