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nyfxyzzdzu</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w:t>
      </w:r>
      <w:r>
        <w:t xml:space="preserve"> </w:t>
      </w:r>
      <w:r>
        <w:t xml:space="preserve">nyfxyzzdzu</w:t>
      </w:r>
    </w:p>
    <w:p>
      <w:pPr>
        <w:pStyle w:val="BodyText"/>
      </w:pPr>
      <w:r>
        <w:rPr>
          <w:bCs/>
          <w:b/>
        </w:rPr>
        <w:t xml:space="preserve">Company Name:</w:t>
      </w:r>
      <w:r>
        <w:t xml:space="preserve"> </w:t>
      </w:r>
      <w:r>
        <w:t xml:space="preserve">zrzxemnede</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rzdqfxinqn</w:t>
      </w:r>
    </w:p>
    <w:p>
      <w:pPr>
        <w:pStyle w:val="BodyText"/>
      </w:pPr>
      <w:r>
        <w:t xml:space="preserve">This report is generated based on available data and industry standards. Assumptions for placeholder values have been made to demonstrate the analytical methodology.</w:t>
      </w:r>
    </w:p>
    <w:bookmarkEnd w:id="20"/>
    <w:bookmarkStart w:id="21" w:name="Xbc21d59e35e7322140d9b8a95ccf40c583ce840"/>
    <w:p>
      <w:pPr>
        <w:pStyle w:val="Heading1"/>
      </w:pPr>
      <w:r>
        <w:t xml:space="preserve">Product Carbon Footprint Analysis for nyfxyzzdzu</w:t>
      </w:r>
    </w:p>
    <w:p>
      <w:pPr>
        <w:pStyle w:val="FirstParagraph"/>
      </w:pPr>
      <w:r>
        <w:t xml:space="preserve">Generated Date: May 26,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nyfxyzzdzu, manufactured by zrzxemnede. As Senior Sustainability Consultant rzdqfxinqn, this analysis adheres strictly to the GHG Protocol standards, including preliminary considerations for the 2026 Land Sector and Removals (LSR) Standard and the enhanced Scope 3 reporting requirements. The objective is to quantify the greenhouse gas (GHG) emissions across the product\'s lifecycle, identify emission hotspots, and provide a robust basis for future decarbonization strategies. This assessment covers material acquisition, manufacturing, transportation, use, and end-of-life phases, offering a comprehensive view of nyfxyzzdzu\'s environmental impact.</w:t>
      </w:r>
    </w:p>
    <w:p>
      <w:r>
        <w:pict>
          <v:rect style="width:0;height:1.5pt" o:hralign="center" o:hrstd="t" o:hr="t"/>
        </w:pict>
      </w:r>
    </w:p>
    <w:bookmarkEnd w:id="22"/>
    <w:bookmarkStart w:id="24" w:name="methodology"/>
    <w:p>
      <w:pPr>
        <w:pStyle w:val="Heading2"/>
      </w:pPr>
      <w:r>
        <w:t xml:space="preserve">1. Methodology</w:t>
      </w:r>
    </w:p>
    <w:p>
      <w:pPr>
        <w:pStyle w:val="FirstParagraph"/>
      </w:pPr>
      <w:r>
        <w:t xml:space="preserve">The Product Carbon Footprint (PCF) analysis was conducted following the five-step methodology recommended by the GHG Protocol, ensuring a consistent and transparent approach:</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Identify all relevant lifecycle stages and associated processes (Life Cycle Inventory - LCI).</w:t>
      </w:r>
    </w:p>
    <w:p>
      <w:pPr>
        <w:numPr>
          <w:ilvl w:val="0"/>
          <w:numId w:val="1001"/>
        </w:numPr>
        <w:pStyle w:val="Compact"/>
      </w:pPr>
      <w:r>
        <w:rPr>
          <w:bCs/>
          <w:b/>
        </w:rPr>
        <w:t xml:space="preserve">Collect Data:</w:t>
      </w:r>
      <w:r>
        <w:t xml:space="preserve"> </w:t>
      </w:r>
      <w:r>
        <w:t xml:space="preserve">Gather primary and secondary data points for all identified processes and material/energy inputs.</w:t>
      </w:r>
    </w:p>
    <w:p>
      <w:pPr>
        <w:numPr>
          <w:ilvl w:val="0"/>
          <w:numId w:val="1001"/>
        </w:numPr>
        <w:pStyle w:val="Compact"/>
      </w:pPr>
      <w:r>
        <w:rPr>
          <w:bCs/>
          <w:b/>
        </w:rPr>
        <w:t xml:space="preserve">Calculate Emissions:</w:t>
      </w:r>
      <w:r>
        <w:t xml:space="preserve"> </w:t>
      </w:r>
      <w:r>
        <w:t xml:space="preserve">Quantify GHG emissions by multiplying activity data by appropriate emission factors, categorized by GHG Protocol Scopes.</w:t>
      </w:r>
    </w:p>
    <w:p>
      <w:pPr>
        <w:numPr>
          <w:ilvl w:val="0"/>
          <w:numId w:val="1001"/>
        </w:numPr>
        <w:pStyle w:val="Compact"/>
      </w:pPr>
      <w:r>
        <w:rPr>
          <w:bCs/>
          <w:b/>
        </w:rPr>
        <w:t xml:space="preserve">Review &amp; Report:</w:t>
      </w:r>
      <w:r>
        <w:t xml:space="preserve"> </w:t>
      </w:r>
      <w:r>
        <w:t xml:space="preserve">Analyze results, identify hotspots, assess data reliability, and compile a comprehensive report.</w:t>
      </w:r>
    </w:p>
    <w:bookmarkStart w:id="23" w:name="ghg-protocol-adherence-and-2026-updates"/>
    <w:p>
      <w:pPr>
        <w:pStyle w:val="Heading3"/>
      </w:pPr>
      <w:r>
        <w:t xml:space="preserve">GHG Protocol Adherence and 2026 Updates</w:t>
      </w:r>
    </w:p>
    <w:p>
      <w:pPr>
        <w:pStyle w:val="FirstParagraph"/>
      </w:pPr>
      <w:r>
        <w:t xml:space="preserve">This analysis categorizes emissions into Scope 1 (direct emissions from owned or controlled sources), Scope 2 (indirect emissions from the generation of purchased energy), and Scope 3 (all other indirect emissions that occur in the value chain). Special attention has been given to the anticipated 2026 updates:</w:t>
      </w:r>
    </w:p>
    <w:p>
      <w:pPr>
        <w:numPr>
          <w:ilvl w:val="0"/>
          <w:numId w:val="1002"/>
        </w:numPr>
        <w:pStyle w:val="Compact"/>
      </w:pPr>
      <w:r>
        <w:rPr>
          <w:bCs/>
          <w:b/>
        </w:rPr>
        <w:t xml:space="preserve">2026 LSR Update:</w:t>
      </w:r>
      <w:r>
        <w:t xml:space="preserve"> </w:t>
      </w:r>
      <w:r>
        <w:t xml:space="preserve">The GHG Protocol Land Sector and Removals (LSR) Standard, effective January 1, 2027, provides accounting requirements for land-related emissions and removals, including technological CO2 removals. This analysis acknowledges the LSR Standard, noting that forest carbon accounting is not covered in the current version. For nyfxyzzdzu, without specific land-intensive components, its primary impact is indirectly assessed through general land-use changes embedded in upstream material production.</w:t>
      </w:r>
    </w:p>
    <w:p>
      <w:pPr>
        <w:numPr>
          <w:ilvl w:val="0"/>
          <w:numId w:val="1002"/>
        </w:numPr>
        <w:pStyle w:val="Compact"/>
      </w:pPr>
      <w:r>
        <w:rPr>
          <w:bCs/>
          <w:b/>
        </w:rPr>
        <w:t xml:space="preserve">Scope 3 Compliance:</w:t>
      </w:r>
      <w:r>
        <w:t xml:space="preserve"> </w:t>
      </w:r>
      <w:r>
        <w:t xml:space="preserve">The draft 2026 GHG Protocol Scope 3 Standard proposes a mandatory 95% coverage for all required Scope 3 emissions to claim conformance, with exclusions not exceeding 5%. This report strives for comprehensive Scope 3 coverage, detailing upstream and downstream activities to align with this stringent requirement.</w:t>
      </w:r>
    </w:p>
    <w:p>
      <w:r>
        <w:pict>
          <v:rect style="width:0;height:1.5pt" o:hralign="center" o:hrstd="t" o:hr="t"/>
        </w:pict>
      </w:r>
    </w:p>
    <w:bookmarkEnd w:id="23"/>
    <w:bookmarkEnd w:id="24"/>
    <w:bookmarkStart w:id="25" w:name="define-scope"/>
    <w:p>
      <w:pPr>
        <w:pStyle w:val="Heading2"/>
      </w:pPr>
      <w:r>
        <w:t xml:space="preserve">2. Define Scope</w:t>
      </w:r>
    </w:p>
    <w:p>
      <w:pPr>
        <w:numPr>
          <w:ilvl w:val="0"/>
          <w:numId w:val="1003"/>
        </w:numPr>
        <w:pStyle w:val="Compact"/>
      </w:pPr>
      <w:r>
        <w:rPr>
          <w:bCs/>
          <w:b/>
        </w:rPr>
        <w:t xml:space="preserve">Functional Unit:</w:t>
      </w:r>
      <w:r>
        <w:t xml:space="preserve"> </w:t>
      </w:r>
      <w:r>
        <w:t xml:space="preserve">1.0 unit of nyfxyzzdzu. This is the reference unit to which all inputs and outputs are related.</w:t>
      </w:r>
    </w:p>
    <w:p>
      <w:pPr>
        <w:numPr>
          <w:ilvl w:val="0"/>
          <w:numId w:val="1003"/>
        </w:numPr>
        <w:pStyle w:val="Compact"/>
      </w:pPr>
      <w:r>
        <w:rPr>
          <w:bCs/>
          <w:b/>
        </w:rPr>
        <w:t xml:space="preserve">System Boundary:</w:t>
      </w:r>
      <w:r>
        <w:t xml:space="preserve"> </w:t>
      </w:r>
      <w:r>
        <w:t xml:space="preserve">factory_gate. This boundary encompasses all processes from raw material acquisition and pre-processing up to the point the finished product leaves the manufacturing facility in China. Emissions beyond this point (e.g., distribution of finished product, use phase, end-of-life) are reported as Scope 3 downstream emissions to provide a complete lifecycle perspective for PCF, although they fall outside the immediate operational control implied by a strict "factory_gate" for the reporting company\'s direct inventory.</w:t>
      </w:r>
    </w:p>
    <w:p>
      <w:pPr>
        <w:numPr>
          <w:ilvl w:val="0"/>
          <w:numId w:val="1003"/>
        </w:numPr>
        <w:pStyle w:val="Compact"/>
      </w:pPr>
      <w:r>
        <w:rPr>
          <w:bCs/>
          <w:b/>
        </w:rPr>
        <w:t xml:space="preserve">Geographic Scope:</w:t>
      </w:r>
      <w:r>
        <w:t xml:space="preserve"> </w:t>
      </w:r>
      <w:r>
        <w:t xml:space="preserve">Final Production Country: China, Supply Chain Focus: Europe Focused. This implies that raw materials or components may originate from Europe, transported to China for manufacturing, and the product is primarily used and disposed of in Europe.</w:t>
      </w:r>
    </w:p>
    <w:p>
      <w:pPr>
        <w:numPr>
          <w:ilvl w:val="0"/>
          <w:numId w:val="1003"/>
        </w:numPr>
        <w:pStyle w:val="Compact"/>
      </w:pPr>
      <w:r>
        <w:rPr>
          <w:bCs/>
          <w:b/>
        </w:rPr>
        <w:t xml:space="preserve">Accounting Standard:</w:t>
      </w:r>
      <w:r>
        <w:t xml:space="preserve"> </w:t>
      </w:r>
      <w:r>
        <w:t xml:space="preserve">GHG Protocol.</w:t>
      </w:r>
    </w:p>
    <w:p>
      <w:pPr>
        <w:numPr>
          <w:ilvl w:val="0"/>
          <w:numId w:val="1003"/>
        </w:numPr>
        <w:pStyle w:val="Compact"/>
      </w:pPr>
      <w:r>
        <w:rPr>
          <w:bCs/>
          <w:b/>
        </w:rPr>
        <w:t xml:space="preserve">Allocation:</w:t>
      </w:r>
      <w:r>
        <w:t xml:space="preserve"> </w:t>
      </w:r>
      <w:r>
        <w:t xml:space="preserve">Where co-products or by-products occur, allocation of environmental burdens is performed based on physical relationships (e.g., mass) or economic value, as appropriate. For this analysis, simplified allocation based on direct attribution is applied.</w:t>
      </w:r>
    </w:p>
    <w:p>
      <w:r>
        <w:pict>
          <v:rect style="width:0;height:1.5pt" o:hralign="center" o:hrstd="t" o:hr="t"/>
        </w:pict>
      </w:r>
    </w:p>
    <w:bookmarkEnd w:id="25"/>
    <w:bookmarkStart w:id="31" w:name="map-lifecycle-collect-data"/>
    <w:p>
      <w:pPr>
        <w:pStyle w:val="Heading2"/>
      </w:pPr>
      <w:r>
        <w:t xml:space="preserve">3. Map Lifecycle &amp; Collect Data</w:t>
      </w:r>
    </w:p>
    <w:p>
      <w:pPr>
        <w:pStyle w:val="FirstParagraph"/>
      </w:pPr>
      <w:r>
        <w:t xml:space="preserve">The lifecycle of nyfxyzzdzu is mapped across five key stages: Material Acquisition &amp; Pre-processing, Manufacturing, Transportation, Use Phase, and End-of-Life.</w:t>
      </w:r>
    </w:p>
    <w:bookmarkStart w:id="26" w:name="Xf9dd75f1ec27ffa7c50d91ad2231d2cb81f6f8a"/>
    <w:p>
      <w:pPr>
        <w:pStyle w:val="Heading3"/>
      </w:pPr>
      <w:r>
        <w:t xml:space="preserve">3.1. Detailed Bill of Materials (BOM) for nyfxyzzdzu</w:t>
      </w:r>
    </w:p>
    <w:p>
      <w:pPr>
        <w:pStyle w:val="FirstParagraph"/>
      </w:pPr>
      <w:r>
        <w:t xml:space="preserve">The provided BOM data, identified as `nlxtisgh`, was expected to follow a specific format (ID, Description, Category, Process, Qty, Unit, Emission Factor, Total Carbon). As `nlxtisgh` was a placeholder string, for the purpose of this detailed analysis, illustrative example BOM data adhering to the specified format has been utilized to demonstrate the calculation methodology and material impact. The \'Total Carbon\' values provided in the example BOM are directly used for material acquisition emissions.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Metal Components</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5.00</w:t>
            </w:r>
          </w:p>
        </w:tc>
        <w:tc>
          <w:tcPr/>
          <w:p>
            <w:pPr>
              <w:pStyle w:val="Compact"/>
              <w:jc w:val="left"/>
            </w:pPr>
            <w:r>
              <w:t xml:space="preserve">1.00</w:t>
            </w:r>
          </w:p>
        </w:tc>
      </w:tr>
      <w:tr>
        <w:tc>
          <w:tcPr/>
          <w:p>
            <w:pPr>
              <w:pStyle w:val="Compact"/>
              <w:jc w:val="left"/>
            </w:pPr>
            <w:r>
              <w:t xml:space="preserve">M003</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PCB 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10.00</w:t>
            </w:r>
          </w:p>
        </w:tc>
        <w:tc>
          <w:tcPr/>
          <w:p>
            <w:pPr>
              <w:pStyle w:val="Compact"/>
              <w:jc w:val="left"/>
            </w:pPr>
            <w:r>
              <w:t xml:space="preserve">1.00</w:t>
            </w:r>
          </w:p>
        </w:tc>
      </w:tr>
    </w:tbl>
    <w:p>
      <w:pPr>
        <w:pStyle w:val="BodyText"/>
      </w:pPr>
      <w:r>
        <w:rPr>
          <w:bCs/>
          <w:b/>
        </w:rPr>
        <w:t xml:space="preserve">Total Material Acquisition Emissions (example): 3.25 kg CO2e</w:t>
      </w:r>
    </w:p>
    <w:bookmarkEnd w:id="26"/>
    <w:bookmarkStart w:id="27" w:name="energy-inputs-manufacturing"/>
    <w:p>
      <w:pPr>
        <w:pStyle w:val="Heading3"/>
      </w:pPr>
      <w:r>
        <w:t xml:space="preserve">3.2. Energy Inputs (Manufacturing)</w:t>
      </w:r>
    </w:p>
    <w:p>
      <w:pPr>
        <w:numPr>
          <w:ilvl w:val="0"/>
          <w:numId w:val="1004"/>
        </w:numPr>
        <w:pStyle w:val="Compact"/>
      </w:pPr>
      <w:r>
        <w:rPr>
          <w:bCs/>
          <w:b/>
        </w:rPr>
        <w:t xml:space="preserve">Renewable Energy Usage:</w:t>
      </w:r>
      <w:r>
        <w:t xml:space="preserve"> </w:t>
      </w:r>
      <w:r>
        <w:t xml:space="preserve">dxvijynwtn (assumed 40%)</w:t>
      </w:r>
    </w:p>
    <w:p>
      <w:pPr>
        <w:numPr>
          <w:ilvl w:val="0"/>
          <w:numId w:val="1004"/>
        </w:numPr>
        <w:pStyle w:val="Compact"/>
      </w:pPr>
      <w:r>
        <w:rPr>
          <w:bCs/>
          <w:b/>
        </w:rPr>
        <w:t xml:space="preserve">Energy Intensity (kWh/unit):</w:t>
      </w:r>
      <w:r>
        <w:t xml:space="preserve"> </w:t>
      </w:r>
      <w:r>
        <w:t xml:space="preserve">ekvuvniteq (assumed 2.0 kWh/unit)</w:t>
      </w:r>
    </w:p>
    <w:p>
      <w:pPr>
        <w:pStyle w:val="FirstParagraph"/>
      </w:pPr>
      <w:r>
        <w:t xml:space="preserve">The manufacturing process in China consumes electricity. Given 40% renewable energy usage, 60% of electricity is sourced from the conventional grid.</w:t>
      </w:r>
    </w:p>
    <w:p>
      <w:pPr>
        <w:pStyle w:val="BodyText"/>
      </w:pPr>
      <w:r>
        <w:rPr>
          <w:bCs/>
          <w:b/>
        </w:rPr>
        <w:t xml:space="preserve">Assumed China Grid Emission Factor:</w:t>
      </w:r>
      <w:r>
        <w:t xml:space="preserve"> </w:t>
      </w:r>
      <w:r>
        <w:t xml:space="preserve">0.75 kg CO2e/kWh (based on recent data reflecting a high reliance on coal).</w:t>
      </w:r>
    </w:p>
    <w:bookmarkEnd w:id="27"/>
    <w:bookmarkStart w:id="28" w:name="logistics-data-transportation"/>
    <w:p>
      <w:pPr>
        <w:pStyle w:val="Heading3"/>
      </w:pPr>
      <w:r>
        <w:t xml:space="preserve">3.3. Logistics Data (Transportation)</w:t>
      </w:r>
    </w:p>
    <w:p>
      <w:pPr>
        <w:numPr>
          <w:ilvl w:val="0"/>
          <w:numId w:val="1005"/>
        </w:numPr>
        <w:pStyle w:val="Compact"/>
      </w:pPr>
      <w:r>
        <w:rPr>
          <w:bCs/>
          <w:b/>
        </w:rPr>
        <w:t xml:space="preserve">Upstream Transport Mode:</w:t>
      </w:r>
      <w:r>
        <w:t xml:space="preserve"> </w:t>
      </w:r>
      <w:r>
        <w:t xml:space="preserve">Select Mode (assumed Road Freight - Truck)</w:t>
      </w:r>
    </w:p>
    <w:p>
      <w:pPr>
        <w:numPr>
          <w:ilvl w:val="0"/>
          <w:numId w:val="1005"/>
        </w:numPr>
        <w:pStyle w:val="Compact"/>
      </w:pPr>
      <w:r>
        <w:rPr>
          <w:bCs/>
          <w:b/>
        </w:rPr>
        <w:t xml:space="preserve">Upstream Transport Distance:</w:t>
      </w:r>
      <w:r>
        <w:t xml:space="preserve"> </w:t>
      </w:r>
      <w:r>
        <w:t xml:space="preserve">fripdusyoh (assumed 1500 km, e.g., from European suppliers to China factory)</w:t>
      </w:r>
    </w:p>
    <w:p>
      <w:pPr>
        <w:numPr>
          <w:ilvl w:val="0"/>
          <w:numId w:val="1005"/>
        </w:numPr>
        <w:pStyle w:val="Compact"/>
      </w:pPr>
      <w:r>
        <w:rPr>
          <w:bCs/>
          <w:b/>
        </w:rPr>
        <w:t xml:space="preserve">Downstream Last-Mile Delivery Channel:</w:t>
      </w:r>
      <w:r>
        <w:t xml:space="preserve"> </w:t>
      </w:r>
      <w:r>
        <w:t xml:space="preserve">Delivery Type (assumed Local Courier Van)</w:t>
      </w:r>
    </w:p>
    <w:p>
      <w:pPr>
        <w:numPr>
          <w:ilvl w:val="0"/>
          <w:numId w:val="1005"/>
        </w:numPr>
        <w:pStyle w:val="Compact"/>
      </w:pPr>
      <w:r>
        <w:rPr>
          <w:bCs/>
          <w:b/>
        </w:rPr>
        <w:t xml:space="preserve">Assumed Product Weight:</w:t>
      </w:r>
      <w:r>
        <w:t xml:space="preserve"> </w:t>
      </w:r>
      <w:r>
        <w:t xml:space="preserve">1.0 kg (for downstream transport)</w:t>
      </w:r>
    </w:p>
    <w:p>
      <w:pPr>
        <w:pStyle w:val="FirstParagraph"/>
      </w:pPr>
      <w:r>
        <w:rPr>
          <w:bCs/>
          <w:b/>
        </w:rPr>
        <w:t xml:space="preserve">Assumed Transport Emission Factors:</w:t>
      </w:r>
    </w:p>
    <w:p>
      <w:pPr>
        <w:numPr>
          <w:ilvl w:val="0"/>
          <w:numId w:val="1006"/>
        </w:numPr>
        <w:pStyle w:val="Compact"/>
      </w:pPr>
      <w:r>
        <w:t xml:space="preserve">Road Freight (Truck): 0.1 kg CO2e/tonne-km (tkm)</w:t>
      </w:r>
    </w:p>
    <w:p>
      <w:pPr>
        <w:numPr>
          <w:ilvl w:val="0"/>
          <w:numId w:val="1006"/>
        </w:numPr>
        <w:pStyle w:val="Compact"/>
      </w:pPr>
      <w:r>
        <w:t xml:space="preserve">Sea Freight (Container Ship): 0.01 kg CO2e/tkm (placeholder for long-haul)</w:t>
      </w:r>
    </w:p>
    <w:p>
      <w:pPr>
        <w:numPr>
          <w:ilvl w:val="0"/>
          <w:numId w:val="1006"/>
        </w:numPr>
        <w:pStyle w:val="Compact"/>
      </w:pPr>
      <w:r>
        <w:t xml:space="preserve">Local Courier Van: 0.15 kg CO2e/tkm (slightly higher for smaller, less efficient last-mile delivery, placeholder)</w:t>
      </w:r>
    </w:p>
    <w:bookmarkEnd w:id="28"/>
    <w:bookmarkStart w:id="29" w:name="use-phase-data"/>
    <w:p>
      <w:pPr>
        <w:pStyle w:val="Heading3"/>
      </w:pPr>
      <w:r>
        <w:t xml:space="preserve">3.4. Use Phase Data</w:t>
      </w:r>
    </w:p>
    <w:p>
      <w:pPr>
        <w:numPr>
          <w:ilvl w:val="0"/>
          <w:numId w:val="1007"/>
        </w:numPr>
        <w:pStyle w:val="Compact"/>
      </w:pPr>
      <w:r>
        <w:rPr>
          <w:bCs/>
          <w:b/>
        </w:rPr>
        <w:t xml:space="preserve">Product Lifespan:</w:t>
      </w:r>
      <w:r>
        <w:t xml:space="preserve"> </w:t>
      </w:r>
      <w:r>
        <w:t xml:space="preserve">vhkefwmknz (assumed 3 years)</w:t>
      </w:r>
    </w:p>
    <w:p>
      <w:pPr>
        <w:numPr>
          <w:ilvl w:val="0"/>
          <w:numId w:val="1007"/>
        </w:numPr>
        <w:pStyle w:val="Compact"/>
      </w:pPr>
      <w:r>
        <w:rPr>
          <w:bCs/>
          <w:b/>
        </w:rPr>
        <w:t xml:space="preserve">Energy Consumption in Use:</w:t>
      </w:r>
      <w:r>
        <w:t xml:space="preserve"> </w:t>
      </w:r>
      <w:r>
        <w:t xml:space="preserve">rtosdeuvpi (assumed 5 kWh/year)</w:t>
      </w:r>
    </w:p>
    <w:p>
      <w:pPr>
        <w:pStyle w:val="FirstParagraph"/>
      </w:pPr>
      <w:r>
        <w:rPr>
          <w:bCs/>
          <w:b/>
        </w:rPr>
        <w:t xml:space="preserve">Assumed Europe Average Grid Emission Factor (for Use Phase):</w:t>
      </w:r>
      <w:r>
        <w:t xml:space="preserve"> </w:t>
      </w:r>
      <w:r>
        <w:t xml:space="preserve">0.20 kg CO2e/kWh (reflecting lower carbon intensity in Europe compared to China).</w:t>
      </w:r>
    </w:p>
    <w:bookmarkEnd w:id="29"/>
    <w:bookmarkStart w:id="30" w:name="end-of-life-eol-scenarios"/>
    <w:p>
      <w:pPr>
        <w:pStyle w:val="Heading3"/>
      </w:pPr>
      <w:r>
        <w:t xml:space="preserve">3.5. End-of-Life (EoL) Scenarios</w:t>
      </w:r>
    </w:p>
    <w:p>
      <w:pPr>
        <w:numPr>
          <w:ilvl w:val="0"/>
          <w:numId w:val="1008"/>
        </w:numPr>
        <w:pStyle w:val="Compact"/>
      </w:pPr>
      <w:r>
        <w:rPr>
          <w:bCs/>
          <w:b/>
        </w:rPr>
        <w:t xml:space="preserve">Recyclability Percentage:</w:t>
      </w:r>
      <w:r>
        <w:t xml:space="preserve"> </w:t>
      </w:r>
      <w:r>
        <w:t xml:space="preserve">krriyyzvwf (assumed 60%)</w:t>
      </w:r>
    </w:p>
    <w:p>
      <w:pPr>
        <w:numPr>
          <w:ilvl w:val="0"/>
          <w:numId w:val="1008"/>
        </w:numPr>
        <w:pStyle w:val="Compact"/>
      </w:pPr>
      <w:r>
        <w:rPr>
          <w:bCs/>
          <w:b/>
        </w:rPr>
        <w:t xml:space="preserve">Circular/Take-back Programs:</w:t>
      </w:r>
      <w:r>
        <w:t xml:space="preserve"> </w:t>
      </w:r>
      <w:r>
        <w:t xml:space="preserve">qlptqdekkr (assumed "Company offers a certified product refurbishment and recycling program.")</w:t>
      </w:r>
    </w:p>
    <w:p>
      <w:pPr>
        <w:pStyle w:val="FirstParagraph"/>
      </w:pPr>
      <w:r>
        <w:rPr>
          <w:bCs/>
          <w:b/>
        </w:rPr>
        <w:t xml:space="preserve">Assumed Waste Disposal Emission Factors:</w:t>
      </w:r>
    </w:p>
    <w:p>
      <w:pPr>
        <w:numPr>
          <w:ilvl w:val="0"/>
          <w:numId w:val="1009"/>
        </w:numPr>
        <w:pStyle w:val="Compact"/>
      </w:pPr>
      <w:r>
        <w:t xml:space="preserve">Landfill (Mixed Waste): 0.05 kg CO2e/kg (considering fugitive methane, without specific LFG recovery details)</w:t>
      </w:r>
    </w:p>
    <w:p>
      <w:pPr>
        <w:numPr>
          <w:ilvl w:val="0"/>
          <w:numId w:val="1009"/>
        </w:numPr>
        <w:pStyle w:val="Compact"/>
      </w:pPr>
      <w:r>
        <w:t xml:space="preserve">Incineration (Mixed Waste): 0.10 kg CO2e/kg (assuming energy recovery, which can offset emissions)</w:t>
      </w:r>
    </w:p>
    <w:p>
      <w:r>
        <w:pict>
          <v:rect style="width:0;height:1.5pt" o:hralign="center" o:hrstd="t" o:hr="t"/>
        </w:pict>
      </w:r>
    </w:p>
    <w:bookmarkEnd w:id="30"/>
    <w:bookmarkEnd w:id="31"/>
    <w:bookmarkStart w:id="40" w:name="calculate-emissions"/>
    <w:p>
      <w:pPr>
        <w:pStyle w:val="Heading2"/>
      </w:pPr>
      <w:r>
        <w:t xml:space="preserve">4. Calculate Emissions</w:t>
      </w:r>
    </w:p>
    <w:p>
      <w:pPr>
        <w:pStyle w:val="FirstParagraph"/>
      </w:pPr>
      <w:r>
        <w:t xml:space="preserve">Emissions are calculated for each lifecycle stage, categorized according to the GHG Protocol Scopes. Unless otherwise specified, emissions are in kg CO2e per functional unit (1.0 unit of nyfxyzzdzu).</w:t>
      </w:r>
    </w:p>
    <w:bookmarkStart w:id="32" w:name="X5fba48d7b85b1fc1d0080a72f3bcf6c0594fa3b"/>
    <w:p>
      <w:pPr>
        <w:pStyle w:val="Heading3"/>
      </w:pPr>
      <w:r>
        <w:t xml:space="preserve">4.1. Material Acquisition &amp; Pre-processing (Scope 3, Category 1: Purchased Goods and Services)</w:t>
      </w:r>
    </w:p>
    <w:p>
      <w:pPr>
        <w:pStyle w:val="FirstParagraph"/>
      </w:pPr>
      <w:r>
        <w:t xml:space="preserve">Based on the example BOM:</w:t>
      </w:r>
    </w:p>
    <w:p>
      <w:pPr>
        <w:numPr>
          <w:ilvl w:val="0"/>
          <w:numId w:val="1010"/>
        </w:numPr>
        <w:pStyle w:val="Compact"/>
      </w:pPr>
      <w:r>
        <w:t xml:space="preserve">Plastic Casing: 1.25 kg CO2e</w:t>
      </w:r>
    </w:p>
    <w:p>
      <w:pPr>
        <w:numPr>
          <w:ilvl w:val="0"/>
          <w:numId w:val="1010"/>
        </w:numPr>
        <w:pStyle w:val="Compact"/>
      </w:pPr>
      <w:r>
        <w:t xml:space="preserve">Metal Components: 1.00 kg CO2e</w:t>
      </w:r>
    </w:p>
    <w:p>
      <w:pPr>
        <w:numPr>
          <w:ilvl w:val="0"/>
          <w:numId w:val="1010"/>
        </w:numPr>
        <w:pStyle w:val="Compact"/>
      </w:pPr>
      <w:r>
        <w:t xml:space="preserve">Electronic Board: 1.00 kg CO2e</w:t>
      </w:r>
    </w:p>
    <w:p>
      <w:pPr>
        <w:pStyle w:val="FirstParagraph"/>
      </w:pPr>
      <w:r>
        <w:rPr>
          <w:bCs/>
          <w:b/>
        </w:rPr>
        <w:t xml:space="preserve">Total Material Acquisition Emissions: 3.25 kg CO2e</w:t>
      </w:r>
    </w:p>
    <w:bookmarkEnd w:id="32"/>
    <w:bookmarkStart w:id="33" w:name="manufacturing-production-phase---china"/>
    <w:p>
      <w:pPr>
        <w:pStyle w:val="Heading3"/>
      </w:pPr>
      <w:r>
        <w:t xml:space="preserve">4.2. Manufacturing (Production Phase - China)</w:t>
      </w:r>
    </w:p>
    <w:p>
      <w:pPr>
        <w:pStyle w:val="FirstParagraph"/>
      </w:pPr>
      <w:r>
        <w:t xml:space="preserve">This phase primarily accounts for electricity consumption at the manufacturing facility.</w:t>
      </w:r>
    </w:p>
    <w:p>
      <w:pPr>
        <w:numPr>
          <w:ilvl w:val="0"/>
          <w:numId w:val="1011"/>
        </w:numPr>
        <w:pStyle w:val="Compact"/>
      </w:pPr>
      <w:r>
        <w:t xml:space="preserve">Energy Intensity: 2.0 kWh/unit</w:t>
      </w:r>
    </w:p>
    <w:p>
      <w:pPr>
        <w:numPr>
          <w:ilvl w:val="0"/>
          <w:numId w:val="1011"/>
        </w:numPr>
        <w:pStyle w:val="Compact"/>
      </w:pPr>
      <w:r>
        <w:t xml:space="preserve">Renewable Energy Usage: 40%</w:t>
      </w:r>
    </w:p>
    <w:p>
      <w:pPr>
        <w:numPr>
          <w:ilvl w:val="0"/>
          <w:numId w:val="1011"/>
        </w:numPr>
        <w:pStyle w:val="Compact"/>
      </w:pPr>
      <w:r>
        <w:t xml:space="preserve">Non-renewable Energy: 2.0 kWh * (1 - 0.40) = 1.2 kWh/unit</w:t>
      </w:r>
    </w:p>
    <w:p>
      <w:pPr>
        <w:numPr>
          <w:ilvl w:val="0"/>
          <w:numId w:val="1011"/>
        </w:numPr>
        <w:pStyle w:val="Compact"/>
      </w:pPr>
      <w:r>
        <w:t xml:space="preserve">China Grid Emission Factor: 0.75 kg CO2e/kWh</w:t>
      </w:r>
    </w:p>
    <w:p>
      <w:pPr>
        <w:pStyle w:val="FirstParagraph"/>
      </w:pPr>
      <w:r>
        <w:rPr>
          <w:bCs/>
          <w:b/>
        </w:rPr>
        <w:t xml:space="preserve">Manufacturing Electricity Emissions (Scope 2 if purchased by zrzxemnede, otherwise Scope 3, Category 1 if contract manufacturing):</w:t>
      </w:r>
      <w:r>
        <w:br/>
      </w:r>
      <w:r>
        <w:t xml:space="preserve">1.2 kWh/unit * 0.75 kg CO2e/kWh = 0.90 kg CO2e</w:t>
      </w:r>
    </w:p>
    <w:bookmarkEnd w:id="33"/>
    <w:bookmarkStart w:id="36" w:name="transportation"/>
    <w:p>
      <w:pPr>
        <w:pStyle w:val="Heading3"/>
      </w:pPr>
      <w:r>
        <w:t xml:space="preserve">4.3. Transportation</w:t>
      </w:r>
    </w:p>
    <w:bookmarkStart w:id="34" w:name="X692a62282c02d531f8aac4484bce618d834c3be"/>
    <w:p>
      <w:pPr>
        <w:pStyle w:val="Heading4"/>
      </w:pPr>
      <w:r>
        <w:t xml:space="preserve">4.3.1. Upstream Transportation (Scope 3, Category 4: Upstream Transportation and Distribution)</w:t>
      </w:r>
    </w:p>
    <w:p>
      <w:pPr>
        <w:pStyle w:val="FirstParagraph"/>
      </w:pPr>
      <w:r>
        <w:t xml:space="preserve">Transport of raw materials from Europe to the China factory.</w:t>
      </w:r>
    </w:p>
    <w:p>
      <w:pPr>
        <w:numPr>
          <w:ilvl w:val="0"/>
          <w:numId w:val="1012"/>
        </w:numPr>
        <w:pStyle w:val="Compact"/>
      </w:pPr>
      <w:r>
        <w:t xml:space="preserve">Total mass of BOM items: 0.8 kg</w:t>
      </w:r>
    </w:p>
    <w:p>
      <w:pPr>
        <w:numPr>
          <w:ilvl w:val="0"/>
          <w:numId w:val="1012"/>
        </w:numPr>
        <w:pStyle w:val="Compact"/>
      </w:pPr>
      <w:r>
        <w:t xml:space="preserve">Transport Distance: 1500 km (fripdusyoh)</w:t>
      </w:r>
    </w:p>
    <w:p>
      <w:pPr>
        <w:numPr>
          <w:ilvl w:val="0"/>
          <w:numId w:val="1012"/>
        </w:numPr>
        <w:pStyle w:val="Compact"/>
      </w:pPr>
      <w:r>
        <w:t xml:space="preserve">Transport Mode: Road Freight (Truck - Select Mode)</w:t>
      </w:r>
    </w:p>
    <w:p>
      <w:pPr>
        <w:numPr>
          <w:ilvl w:val="0"/>
          <w:numId w:val="1012"/>
        </w:numPr>
        <w:pStyle w:val="Compact"/>
      </w:pPr>
      <w:r>
        <w:t xml:space="preserve">Emission Factor (Truck): 0.1 kg CO2e/tkm</w:t>
      </w:r>
    </w:p>
    <w:p>
      <w:pPr>
        <w:pStyle w:val="FirstParagraph"/>
      </w:pPr>
      <w:r>
        <w:rPr>
          <w:bCs/>
          <w:b/>
        </w:rPr>
        <w:t xml:space="preserve">Upstream Transport Emissions:</w:t>
      </w:r>
      <w:r>
        <w:br/>
      </w:r>
      <w:r>
        <w:t xml:space="preserve">(0.8 kg / 1000 kg/tonne) * 1500 km * 0.1 kg CO2e/tkm = 0.12 kg CO2e</w:t>
      </w:r>
    </w:p>
    <w:bookmarkEnd w:id="34"/>
    <w:bookmarkStart w:id="35" w:name="X6335354fcf3d9633bd12fe8976bc3918c11e9ea"/>
    <w:p>
      <w:pPr>
        <w:pStyle w:val="Heading4"/>
      </w:pPr>
      <w:r>
        <w:t xml:space="preserve">4.3.2. Downstream Transportation (Scope 3, Category 9: Downstream Transportation and Distribution)</w:t>
      </w:r>
    </w:p>
    <w:p>
      <w:pPr>
        <w:pStyle w:val="FirstParagraph"/>
      </w:pPr>
      <w:r>
        <w:t xml:space="preserve">Transport of the finished product from the China factory gate to the end-user in Europe.</w:t>
      </w:r>
    </w:p>
    <w:p>
      <w:pPr>
        <w:numPr>
          <w:ilvl w:val="0"/>
          <w:numId w:val="1013"/>
        </w:numPr>
        <w:pStyle w:val="Compact"/>
      </w:pPr>
      <w:r>
        <w:t xml:space="preserve">Product Weight: 1.0 kg</w:t>
      </w:r>
    </w:p>
    <w:p>
      <w:pPr>
        <w:numPr>
          <w:ilvl w:val="0"/>
          <w:numId w:val="1013"/>
        </w:numPr>
        <w:pStyle w:val="Compact"/>
      </w:pPr>
      <w:r>
        <w:t xml:space="preserve">Long-haul (China to EU hub): Assumed 8,000 km by Sea Freight (placeholder)</w:t>
      </w:r>
    </w:p>
    <w:p>
      <w:pPr>
        <w:numPr>
          <w:ilvl w:val="0"/>
          <w:numId w:val="1013"/>
        </w:numPr>
        <w:pStyle w:val="Compact"/>
      </w:pPr>
      <w:r>
        <w:t xml:space="preserve">Regional Distribution (EU hub to local center): Assumed 500 km by Truck (placeholder)</w:t>
      </w:r>
    </w:p>
    <w:p>
      <w:pPr>
        <w:numPr>
          <w:ilvl w:val="0"/>
          <w:numId w:val="1013"/>
        </w:numPr>
        <w:pStyle w:val="Compact"/>
      </w:pPr>
      <w:r>
        <w:t xml:space="preserve">Last-Mile Delivery: Assumed 50 km by Local Courier Van (Delivery Type)</w:t>
      </w:r>
    </w:p>
    <w:p>
      <w:pPr>
        <w:pStyle w:val="FirstParagraph"/>
      </w:pPr>
      <w:r>
        <w:rPr>
          <w:bCs/>
          <w:b/>
        </w:rPr>
        <w:t xml:space="preserve">Downstream Transport Emissions:</w:t>
      </w:r>
    </w:p>
    <w:p>
      <w:pPr>
        <w:numPr>
          <w:ilvl w:val="0"/>
          <w:numId w:val="1014"/>
        </w:numPr>
        <w:pStyle w:val="Compact"/>
      </w:pPr>
      <w:r>
        <w:t xml:space="preserve">Sea Freight: (1.0 kg / 1000) * 8000 km * 0.01 kg CO2e/tkm = 0.08 kg CO2e</w:t>
      </w:r>
    </w:p>
    <w:p>
      <w:pPr>
        <w:numPr>
          <w:ilvl w:val="0"/>
          <w:numId w:val="1014"/>
        </w:numPr>
        <w:pStyle w:val="Compact"/>
      </w:pPr>
      <w:r>
        <w:t xml:space="preserve">Regional Truck: (1.0 kg / 1000) * 500 km * 0.1 kg CO2e/tkm = 0.05 kg CO2e</w:t>
      </w:r>
    </w:p>
    <w:p>
      <w:pPr>
        <w:numPr>
          <w:ilvl w:val="0"/>
          <w:numId w:val="1014"/>
        </w:numPr>
        <w:pStyle w:val="Compact"/>
      </w:pPr>
      <w:r>
        <w:t xml:space="preserve">Local Courier Van: (1.0 kg / 1000) * 50 km * 0.15 kg CO2e/tkm = 0.0075 kg CO2e</w:t>
      </w:r>
    </w:p>
    <w:p>
      <w:pPr>
        <w:pStyle w:val="FirstParagraph"/>
      </w:pPr>
      <w:r>
        <w:rPr>
          <w:bCs/>
          <w:b/>
        </w:rPr>
        <w:t xml:space="preserve">Total Downstream Transport Emissions: 0.08 + 0.05 + 0.0075 = 0.1375 kg CO2e</w:t>
      </w:r>
    </w:p>
    <w:bookmarkEnd w:id="35"/>
    <w:bookmarkEnd w:id="36"/>
    <w:bookmarkStart w:id="37" w:name="Xc8d47610e025d3b1fe367d676386ecee874efa3"/>
    <w:p>
      <w:pPr>
        <w:pStyle w:val="Heading3"/>
      </w:pPr>
      <w:r>
        <w:t xml:space="preserve">4.4. Use Phase (Scope 3, Category 11: Use of Sold Products)</w:t>
      </w:r>
    </w:p>
    <w:p>
      <w:pPr>
        <w:pStyle w:val="FirstParagraph"/>
      </w:pPr>
      <w:r>
        <w:t xml:space="preserve">Emissions from energy consumption during the product\'s lifespan.</w:t>
      </w:r>
    </w:p>
    <w:p>
      <w:pPr>
        <w:numPr>
          <w:ilvl w:val="0"/>
          <w:numId w:val="1015"/>
        </w:numPr>
        <w:pStyle w:val="Compact"/>
      </w:pPr>
      <w:r>
        <w:t xml:space="preserve">Product Lifespan: 3 years (vhkefwmknz)</w:t>
      </w:r>
    </w:p>
    <w:p>
      <w:pPr>
        <w:numPr>
          <w:ilvl w:val="0"/>
          <w:numId w:val="1015"/>
        </w:numPr>
        <w:pStyle w:val="Compact"/>
      </w:pPr>
      <w:r>
        <w:t xml:space="preserve">Energy Consumption: 5 kWh/year (rtosdeuvpi)</w:t>
      </w:r>
    </w:p>
    <w:p>
      <w:pPr>
        <w:numPr>
          <w:ilvl w:val="0"/>
          <w:numId w:val="1015"/>
        </w:numPr>
        <w:pStyle w:val="Compact"/>
      </w:pPr>
      <w:r>
        <w:t xml:space="preserve">Total Energy Consumption: 5 kWh/year * 3 years = 15 kWh</w:t>
      </w:r>
    </w:p>
    <w:p>
      <w:pPr>
        <w:numPr>
          <w:ilvl w:val="0"/>
          <w:numId w:val="1015"/>
        </w:numPr>
        <w:pStyle w:val="Compact"/>
      </w:pPr>
      <w:r>
        <w:t xml:space="preserve">Europe Average Grid Emission Factor: 0.20 kg CO2e/kWh</w:t>
      </w:r>
    </w:p>
    <w:p>
      <w:pPr>
        <w:pStyle w:val="FirstParagraph"/>
      </w:pPr>
      <w:r>
        <w:rPr>
          <w:bCs/>
          <w:b/>
        </w:rPr>
        <w:t xml:space="preserve">Use Phase Emissions:</w:t>
      </w:r>
      <w:r>
        <w:br/>
      </w:r>
      <w:r>
        <w:t xml:space="preserve">15 kWh * 0.20 kg CO2e/kWh = 3.00 kg CO2e</w:t>
      </w:r>
    </w:p>
    <w:bookmarkEnd w:id="37"/>
    <w:bookmarkStart w:id="38" w:name="X9982929b618de862c11111658ccce8db3e98553"/>
    <w:p>
      <w:pPr>
        <w:pStyle w:val="Heading3"/>
      </w:pPr>
      <w:r>
        <w:t xml:space="preserve">4.5. End-of-Life (EoL) (Scope 3, Category 12: End-of-Life Treatment of Sold Products)</w:t>
      </w:r>
    </w:p>
    <w:p>
      <w:pPr>
        <w:pStyle w:val="FirstParagraph"/>
      </w:pPr>
      <w:r>
        <w:t xml:space="preserve">Emissions from the disposal of the product at the end of its life, considering recyclability.</w:t>
      </w:r>
    </w:p>
    <w:p>
      <w:pPr>
        <w:numPr>
          <w:ilvl w:val="0"/>
          <w:numId w:val="1016"/>
        </w:numPr>
        <w:pStyle w:val="Compact"/>
      </w:pPr>
      <w:r>
        <w:t xml:space="preserve">Product Weight: 1.0 kg</w:t>
      </w:r>
    </w:p>
    <w:p>
      <w:pPr>
        <w:numPr>
          <w:ilvl w:val="0"/>
          <w:numId w:val="1016"/>
        </w:numPr>
        <w:pStyle w:val="Compact"/>
      </w:pPr>
      <w:r>
        <w:t xml:space="preserve">Recyclability Percentage: 60% (krriyyzvwf)</w:t>
      </w:r>
    </w:p>
    <w:p>
      <w:pPr>
        <w:numPr>
          <w:ilvl w:val="0"/>
          <w:numId w:val="1016"/>
        </w:numPr>
        <w:pStyle w:val="Compact"/>
      </w:pPr>
      <w:r>
        <w:t xml:space="preserve">Amount Recycled: 1.0 kg * 0.60 = 0.6 kg</w:t>
      </w:r>
    </w:p>
    <w:p>
      <w:pPr>
        <w:numPr>
          <w:ilvl w:val="0"/>
          <w:numId w:val="1016"/>
        </w:numPr>
        <w:pStyle w:val="Compact"/>
      </w:pPr>
      <w:r>
        <w:t xml:space="preserve">Amount Disposed (non-recycled): 1.0 kg * (1 - 0.60) = 0.4 kg</w:t>
      </w:r>
    </w:p>
    <w:p>
      <w:pPr>
        <w:numPr>
          <w:ilvl w:val="0"/>
          <w:numId w:val="1016"/>
        </w:numPr>
        <w:pStyle w:val="Compact"/>
      </w:pPr>
      <w:r>
        <w:t xml:space="preserve">Assumed Disposal Method for non-recycled: 50% to Landfill, 50% to Incineration (for illustrative purposes)</w:t>
      </w:r>
    </w:p>
    <w:p>
      <w:pPr>
        <w:pStyle w:val="FirstParagraph"/>
      </w:pPr>
      <w:r>
        <w:rPr>
          <w:bCs/>
          <w:b/>
        </w:rPr>
        <w:t xml:space="preserve">EoL Emissions from Disposal:</w:t>
      </w:r>
    </w:p>
    <w:p>
      <w:pPr>
        <w:numPr>
          <w:ilvl w:val="0"/>
          <w:numId w:val="1017"/>
        </w:numPr>
        <w:pStyle w:val="Compact"/>
      </w:pPr>
      <w:r>
        <w:t xml:space="preserve">Landfill Portion: 0.4 kg * 0.50 = 0.2 kg</w:t>
      </w:r>
    </w:p>
    <w:p>
      <w:pPr>
        <w:numPr>
          <w:ilvl w:val="0"/>
          <w:numId w:val="1017"/>
        </w:numPr>
        <w:pStyle w:val="Compact"/>
      </w:pPr>
      <w:r>
        <w:t xml:space="preserve">Incineration Portion: 0.4 kg * 0.50 = 0.2 kg</w:t>
      </w:r>
    </w:p>
    <w:p>
      <w:pPr>
        <w:numPr>
          <w:ilvl w:val="0"/>
          <w:numId w:val="1017"/>
        </w:numPr>
        <w:pStyle w:val="Compact"/>
      </w:pPr>
      <w:r>
        <w:t xml:space="preserve">Landfill Emissions: 0.2 kg * 0.05 kg CO2e/kg = 0.01 kg CO2e</w:t>
      </w:r>
    </w:p>
    <w:p>
      <w:pPr>
        <w:numPr>
          <w:ilvl w:val="0"/>
          <w:numId w:val="1017"/>
        </w:numPr>
        <w:pStyle w:val="Compact"/>
      </w:pPr>
      <w:r>
        <w:t xml:space="preserve">Incineration Emissions: 0.2 kg * 0.10 kg CO2e/kg = 0.02 kg CO2e</w:t>
      </w:r>
    </w:p>
    <w:p>
      <w:pPr>
        <w:pStyle w:val="FirstParagraph"/>
      </w:pPr>
      <w:r>
        <w:rPr>
          <w:bCs/>
          <w:b/>
        </w:rPr>
        <w:t xml:space="preserve">Total EoL Emissions: 0.01 + 0.02 = 0.03 kg CO2e</w:t>
      </w:r>
    </w:p>
    <w:p>
      <w:pPr>
        <w:pStyle w:val="BodyText"/>
      </w:pPr>
      <w:r>
        <w:t xml:space="preserve">The "Company offers a certified product refurbishment and recycling program" (qlptqdekkr) indicates efforts to reduce EoL impact, which is partially captured by the recyclability percentage. Further avoided emissions from recycling, re-use, or refurbishment would be considered as credits in a more advanced circularity assessment.</w:t>
      </w:r>
    </w:p>
    <w:bookmarkEnd w:id="38"/>
    <w:bookmarkStart w:id="39" w:name="X9b8f96e5fd6ec30b02c91cc11d45f1568d9808c"/>
    <w:p>
      <w:pPr>
        <w:pStyle w:val="Heading3"/>
      </w:pPr>
      <w:r>
        <w:t xml:space="preserve">4.6. Summary of Emissions by Scope and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3.25</w:t>
            </w:r>
          </w:p>
        </w:tc>
      </w:tr>
      <w:tr>
        <w:tc>
          <w:tcPr/>
          <w:p>
            <w:pPr>
              <w:pStyle w:val="Compact"/>
              <w:jc w:val="left"/>
            </w:pPr>
            <w:r>
              <w:t xml:space="preserve">Manufacturing (Electricity)</w:t>
            </w:r>
          </w:p>
        </w:tc>
        <w:tc>
          <w:tcPr/>
          <w:p>
            <w:pPr>
              <w:pStyle w:val="Compact"/>
              <w:jc w:val="left"/>
            </w:pPr>
            <w:r>
              <w:t xml:space="preserve">Scope 2/3 (Category 1/3)</w:t>
            </w:r>
          </w:p>
        </w:tc>
        <w:tc>
          <w:tcPr/>
          <w:p>
            <w:pPr>
              <w:pStyle w:val="Compact"/>
              <w:jc w:val="left"/>
            </w:pPr>
            <w:r>
              <w:t xml:space="preserve">0.90</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0.12</w:t>
            </w:r>
          </w:p>
        </w:tc>
      </w:tr>
      <w:tr>
        <w:tc>
          <w:tcPr/>
          <w:p>
            <w:pPr>
              <w:pStyle w:val="Compact"/>
              <w:jc w:val="left"/>
            </w:pPr>
            <w:r>
              <w:t xml:space="preserve">Downstream Transportation</w:t>
            </w:r>
          </w:p>
        </w:tc>
        <w:tc>
          <w:tcPr/>
          <w:p>
            <w:pPr>
              <w:pStyle w:val="Compact"/>
              <w:jc w:val="left"/>
            </w:pPr>
            <w:r>
              <w:t xml:space="preserve">Scope 3 (Category 9)</w:t>
            </w:r>
          </w:p>
        </w:tc>
        <w:tc>
          <w:tcPr/>
          <w:p>
            <w:pPr>
              <w:pStyle w:val="Compact"/>
              <w:jc w:val="left"/>
            </w:pPr>
            <w:r>
              <w:t xml:space="preserve">0.1375</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3.00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0.03</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7.4375 kg CO2e</w:t>
            </w:r>
          </w:p>
        </w:tc>
      </w:tr>
    </w:tbl>
    <w:p>
      <w:r>
        <w:pict>
          <v:rect style="width:0;height:1.5pt" o:hralign="center" o:hrstd="t" o:hr="t"/>
        </w:pict>
      </w:r>
    </w:p>
    <w:bookmarkEnd w:id="39"/>
    <w:bookmarkEnd w:id="40"/>
    <w:bookmarkStart w:id="44" w:name="review-report"/>
    <w:p>
      <w:pPr>
        <w:pStyle w:val="Heading2"/>
      </w:pPr>
      <w:r>
        <w:t xml:space="preserve">5. Review &amp; Report</w:t>
      </w:r>
    </w:p>
    <w:bookmarkStart w:id="41" w:name="hotspots-analysis"/>
    <w:p>
      <w:pPr>
        <w:pStyle w:val="Heading3"/>
      </w:pPr>
      <w:r>
        <w:t xml:space="preserve">5.1. Hotspots Analysis</w:t>
      </w:r>
    </w:p>
    <w:p>
      <w:pPr>
        <w:pStyle w:val="FirstParagraph"/>
      </w:pPr>
      <w:r>
        <w:t xml:space="preserve">Based on the calculations, the primary emission hotspots for nyfxyzzdzu are:</w:t>
      </w:r>
    </w:p>
    <w:p>
      <w:pPr>
        <w:numPr>
          <w:ilvl w:val="0"/>
          <w:numId w:val="1018"/>
        </w:numPr>
        <w:pStyle w:val="Compact"/>
      </w:pPr>
      <w:r>
        <w:rPr>
          <w:bCs/>
          <w:b/>
        </w:rPr>
        <w:t xml:space="preserve">Material Acquisition &amp; Pre-processing (3.25 kg CO2e):</w:t>
      </w:r>
      <w:r>
        <w:t xml:space="preserve"> </w:t>
      </w:r>
      <w:r>
        <w:t xml:space="preserve">The raw materials, particularly those with high embodied carbon (e.g., electronic components, certain plastics/metals), represent a significant portion of the total footprint. This highlights the importance of sustainable sourcing and material efficiency.</w:t>
      </w:r>
    </w:p>
    <w:p>
      <w:pPr>
        <w:numPr>
          <w:ilvl w:val="0"/>
          <w:numId w:val="1018"/>
        </w:numPr>
        <w:pStyle w:val="Compact"/>
      </w:pPr>
      <w:r>
        <w:rPr>
          <w:bCs/>
          <w:b/>
        </w:rPr>
        <w:t xml:space="preserve">Use Phase (3.00 kg CO2e):</w:t>
      </w:r>
      <w:r>
        <w:t xml:space="preserve"> </w:t>
      </w:r>
      <w:r>
        <w:t xml:space="preserve">The energy consumption during the product\'s 3-year lifespan contributes substantially. This is influenced by the product\'s energy efficiency and the carbon intensity of the electricity grid where it is used.</w:t>
      </w:r>
    </w:p>
    <w:p>
      <w:pPr>
        <w:numPr>
          <w:ilvl w:val="0"/>
          <w:numId w:val="1018"/>
        </w:numPr>
        <w:pStyle w:val="Compact"/>
      </w:pPr>
      <w:r>
        <w:rPr>
          <w:bCs/>
          <w:b/>
        </w:rPr>
        <w:t xml:space="preserve">Manufacturing (0.90 kg CO2e):</w:t>
      </w:r>
      <w:r>
        <w:t xml:space="preserve"> </w:t>
      </w:r>
      <w:r>
        <w:t xml:space="preserve">While lower than materials and use, the reliance on China\'s grid (even with 40% renewable energy usage) contributes significantly to this phase\'s emissions. Further increasing renewable energy integration or improving energy efficiency would be beneficial.</w:t>
      </w:r>
    </w:p>
    <w:bookmarkEnd w:id="41"/>
    <w:bookmarkStart w:id="42" w:name="reliability-and-limitations"/>
    <w:p>
      <w:pPr>
        <w:pStyle w:val="Heading3"/>
      </w:pPr>
      <w:r>
        <w:t xml:space="preserve">5.2. Reliability and Limitations</w:t>
      </w:r>
    </w:p>
    <w:p>
      <w:pPr>
        <w:pStyle w:val="FirstParagraph"/>
      </w:pPr>
      <w:r>
        <w:t xml:space="preserve">The reliability of this PCF analysis is dependent on the quality and availability of data. Given that several parameters were provided as placeholder strings, specific assumptions were made for numerical values and default modes (e.g., `Select Mode` as truck, `Delivery Type` as local courier van). These assumptions, while based on typical industry averages and best practices for demonstrating methodology, introduce a degree of uncertainty. For higher accuracy, primary data specific to zrzxemnede\'s operations, supply chain, and customer behavior would be required. The emission factors used are indicative industry standards (e.g., Ecoinvent/DEFRA equivalents), but precise product-specific or supplier-specific data would further refine the results.</w:t>
      </w:r>
    </w:p>
    <w:p>
      <w:pPr>
        <w:pStyle w:val="BodyText"/>
      </w:pPr>
      <w:r>
        <w:t xml:space="preserve">The 2026 GHG Protocol updates are in draft form, and final guidance is subject to change. This report reflects the current understanding and proposed requirements, particularly for Scope 3 coverage and LSR application.</w:t>
      </w:r>
    </w:p>
    <w:bookmarkEnd w:id="42"/>
    <w:bookmarkStart w:id="43" w:name="recommendations-for-zrzxemnede"/>
    <w:p>
      <w:pPr>
        <w:pStyle w:val="Heading3"/>
      </w:pPr>
      <w:r>
        <w:t xml:space="preserve">5.3. Recommendations for zrzxemnede</w:t>
      </w:r>
    </w:p>
    <w:p>
      <w:pPr>
        <w:numPr>
          <w:ilvl w:val="0"/>
          <w:numId w:val="1019"/>
        </w:numPr>
        <w:pStyle w:val="Compact"/>
      </w:pPr>
      <w:r>
        <w:rPr>
          <w:bCs/>
          <w:b/>
        </w:rPr>
        <w:t xml:space="preserve">Material Optimization:</w:t>
      </w:r>
      <w:r>
        <w:t xml:space="preserve"> </w:t>
      </w:r>
      <w:r>
        <w:t xml:space="preserve">Investigate alternative, lower-carbon materials for the plastic casing, metal components, and electronic board. Engage with suppliers to obtain primary emission data for purchased goods and explore design-for-circularity principles.</w:t>
      </w:r>
    </w:p>
    <w:p>
      <w:pPr>
        <w:numPr>
          <w:ilvl w:val="0"/>
          <w:numId w:val="1019"/>
        </w:numPr>
        <w:pStyle w:val="Compact"/>
      </w:pPr>
      <w:r>
        <w:rPr>
          <w:bCs/>
          <w:b/>
        </w:rPr>
        <w:t xml:space="preserve">Enhance Manufacturing Efficiency &amp; Renewables:</w:t>
      </w:r>
      <w:r>
        <w:t xml:space="preserve"> </w:t>
      </w:r>
      <w:r>
        <w:t xml:space="preserve">Further increase renewable energy procurement at the China manufacturing facility beyond 40%. Explore energy-efficient manufacturing processes to reduce the overall energy intensity (ekvuvniteq).</w:t>
      </w:r>
    </w:p>
    <w:p>
      <w:pPr>
        <w:numPr>
          <w:ilvl w:val="0"/>
          <w:numId w:val="1019"/>
        </w:numPr>
        <w:pStyle w:val="Compact"/>
      </w:pPr>
      <w:r>
        <w:rPr>
          <w:bCs/>
          <w:b/>
        </w:rPr>
        <w:t xml:space="preserve">Optimize Logistics:</w:t>
      </w:r>
      <w:r>
        <w:t xml:space="preserve"> </w:t>
      </w:r>
      <w:r>
        <w:t xml:space="preserve">Evaluate and optimize transport modes and routes, particularly for long-haul routes, considering lower-emission options like rail or sea freight where feasible. Encourage logistics partners to provide primary fuel consumption data.</w:t>
      </w:r>
    </w:p>
    <w:p>
      <w:pPr>
        <w:numPr>
          <w:ilvl w:val="0"/>
          <w:numId w:val="1019"/>
        </w:numPr>
        <w:pStyle w:val="Compact"/>
      </w:pPr>
      <w:r>
        <w:rPr>
          <w:bCs/>
          <w:b/>
        </w:rPr>
        <w:t xml:space="preserve">Improve Product Energy Efficiency:</w:t>
      </w:r>
      <w:r>
        <w:t xml:space="preserve"> </w:t>
      </w:r>
      <w:r>
        <w:t xml:space="preserve">Focus R&amp;D efforts on reducing the product\'s energy consumption during the use phase (rtosdeuvpi) to lower its significant downstream impact, especially considering varied grid mixes in different user regions.</w:t>
      </w:r>
    </w:p>
    <w:p>
      <w:pPr>
        <w:numPr>
          <w:ilvl w:val="0"/>
          <w:numId w:val="1019"/>
        </w:numPr>
        <w:pStyle w:val="Compact"/>
      </w:pPr>
      <w:r>
        <w:rPr>
          <w:bCs/>
          <w:b/>
        </w:rPr>
        <w:t xml:space="preserve">Strengthen Circularity Initiatives:</w:t>
      </w:r>
      <w:r>
        <w:t xml:space="preserve"> </w:t>
      </w:r>
      <w:r>
        <w:t xml:space="preserve">Further develop and promote the existing circular/take-back programs (qlptqdekkr) to maximize material recovery and recycling rates (krriyyzvwf), potentially reducing the need for virgin materials and mitigating end-of-life emissions.</w:t>
      </w:r>
    </w:p>
    <w:p>
      <w:pPr>
        <w:numPr>
          <w:ilvl w:val="0"/>
          <w:numId w:val="1019"/>
        </w:numPr>
        <w:pStyle w:val="Compact"/>
      </w:pPr>
      <w:r>
        <w:rPr>
          <w:bCs/>
          <w:b/>
        </w:rPr>
        <w:t xml:space="preserve">Data Collection:</w:t>
      </w:r>
      <w:r>
        <w:t xml:space="preserve"> </w:t>
      </w:r>
      <w:r>
        <w:t xml:space="preserve">Implement robust systems for collecting primary data across the value chain to meet the evolving Scope 3 reporting requirements, especially the 95% coverage rule and mandatory data disaggregation.</w:t>
      </w:r>
    </w:p>
    <w:p>
      <w:r>
        <w:pict>
          <v:rect style="width:0;height:1.5pt" o:hralign="center" o:hrstd="t" o:hr="t"/>
        </w:pict>
      </w:r>
    </w:p>
    <w:p>
      <w:pPr>
        <w:pStyle w:val="FirstParagraph"/>
      </w:pPr>
      <w:r>
        <w:t xml:space="preserve">Confidential - Internal Use Only</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nyfxyzzdzu</dc:title>
  <dc:creator/>
  <dc:description>High-detail Product Carbon Footprint (PCF) analysis report for nyfxyzzdzu by zrzxemnede, following GHG Protocol standards and 2026 updates, conducted by Senior Sustainability Consultant rzdqfxinqn.</dc:description>
  <dc:language>en</dc:language>
  <cp:keywords/>
  <dcterms:created xsi:type="dcterms:W3CDTF">2026-05-30T16:48:27Z</dcterms:created>
  <dcterms:modified xsi:type="dcterms:W3CDTF">2026-05-30T16:48:27Z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