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nsxsdtrilz</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smtofrsmwp</w:t>
      </w:r>
    </w:p>
    <w:p>
      <w:pPr>
        <w:pStyle w:val="BodyText"/>
      </w:pPr>
      <w:r>
        <w:rPr>
          <w:bCs/>
          <w:b/>
        </w:rPr>
        <w:t xml:space="preserve">Senior Sustainability Consultant:</w:t>
      </w:r>
      <w:r>
        <w:t xml:space="preserve"> </w:t>
      </w:r>
      <w:r>
        <w:t xml:space="preserve">orvnkglhnt</w:t>
      </w:r>
    </w:p>
    <w:p>
      <w:pPr>
        <w:pStyle w:val="BodyText"/>
      </w:pPr>
      <w:r>
        <w:t xml:space="preserve">This report is generated based on available data and industry standards. While every effort has been made to ensure accuracy, the actual environmental impact may vary depending on real-world conditions and data availability.</w:t>
      </w:r>
    </w:p>
    <w:bookmarkEnd w:id="20"/>
    <w:bookmarkStart w:id="21" w:name="Xf56016e8796d82dee4b3f0f0fcbdebcaa28513d"/>
    <w:p>
      <w:pPr>
        <w:pStyle w:val="Heading1"/>
      </w:pPr>
      <w:r>
        <w:t xml:space="preserve">Product Carbon Footprint Analysis for nsxsdtrilz</w:t>
      </w:r>
    </w:p>
    <w:p>
      <w:pPr>
        <w:pStyle w:val="FirstParagraph"/>
      </w:pPr>
      <w:r>
        <w:t xml:space="preserve">Generated Date:</w:t>
      </w:r>
    </w:p>
    <w:p>
      <w:pPr>
        <w:pStyle w:val="BodyText"/>
      </w:pPr>
      <w:r>
        <w:rPr>
          <w:iCs/>
          <w:i/>
        </w:rPr>
        <w:t xml:space="preserve">Prepared by orvnkglhnt, Senior Sustainability Consultant</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\'nsxsdtrilz\', manufactured by \'smtofrsmwp\'. Conducted by Senior Sustainability Consultant \'orvnkglhnt\', this analysis adheres strictly to the GHG Protocol Product Standard, incorporating the 2026 Land Sector and Removals (LSR) update and ensuring robust Scope 3 compliance. The assessment provides a comprehensive \'cradle-to-gate\' perspective with extensions for the use phase and end-of-life, quantifying the greenhouse gas emissions associated with the product\'s lifecycle. Key findings highlight material acquisition, manufacturing energy, and product use as significant emission hotspots, with recommendations for further reduction strategies.</w:t>
      </w:r>
    </w:p>
    <w:bookmarkEnd w:id="22"/>
    <w:p>
      <w:r>
        <w:pict>
          <v:rect style="width:0;height:1.5pt" o:hralign="center" o:hrstd="t" o:hr="t"/>
        </w:pict>
      </w:r>
    </w:p>
    <w:bookmarkStart w:id="23" w:name="introduction"/>
    <w:p>
      <w:pPr>
        <w:pStyle w:val="Heading2"/>
      </w:pPr>
      <w:r>
        <w:t xml:space="preserve">1. Introduction</w:t>
      </w:r>
    </w:p>
    <w:p>
      <w:pPr>
        <w:pStyle w:val="FirstParagraph"/>
      </w:pPr>
      <w:r>
        <w:t xml:space="preserve">This Product Carbon Footprint (PCF) report details the greenhouse gas (GHG) emissions associated with the product \'nsxsdtrilz\' from \'smtofrsmwp\'. The analysis is performed by \'orvnkglhnt\', a Senior Sustainability Consultant specializing in GHG Protocol. The objective is to provide a transparent and actionable assessment of the product\'s environmental impact across its lifecycle.</w:t>
      </w:r>
    </w:p>
    <w:p>
      <w:pPr>
        <w:numPr>
          <w:ilvl w:val="0"/>
          <w:numId w:val="1001"/>
        </w:numPr>
        <w:pStyle w:val="Compact"/>
      </w:pPr>
      <w:r>
        <w:rPr>
          <w:bCs/>
          <w:b/>
        </w:rPr>
        <w:t xml:space="preserve">Product Name:</w:t>
      </w:r>
      <w:r>
        <w:t xml:space="preserve"> </w:t>
      </w:r>
      <w:r>
        <w:t xml:space="preserve">nsxsdtrilz</w:t>
      </w:r>
    </w:p>
    <w:p>
      <w:pPr>
        <w:numPr>
          <w:ilvl w:val="0"/>
          <w:numId w:val="1001"/>
        </w:numPr>
        <w:pStyle w:val="Compact"/>
      </w:pPr>
      <w:r>
        <w:rPr>
          <w:bCs/>
          <w:b/>
        </w:rPr>
        <w:t xml:space="preserve">Company Name:</w:t>
      </w:r>
      <w:r>
        <w:t xml:space="preserve"> </w:t>
      </w:r>
      <w:r>
        <w:t xml:space="preserve">smtofrsmwp</w:t>
      </w:r>
    </w:p>
    <w:p>
      <w:pPr>
        <w:numPr>
          <w:ilvl w:val="0"/>
          <w:numId w:val="1001"/>
        </w:numPr>
        <w:pStyle w:val="Compact"/>
      </w:pPr>
      <w:r>
        <w:rPr>
          <w:bCs/>
          <w:b/>
        </w:rPr>
        <w:t xml:space="preserve">Senior Sustainability Consultant:</w:t>
      </w:r>
      <w:r>
        <w:t xml:space="preserve"> </w:t>
      </w:r>
      <w:r>
        <w:t xml:space="preserve">orvnkglhnt</w:t>
      </w:r>
    </w:p>
    <w:p>
      <w:pPr>
        <w:numPr>
          <w:ilvl w:val="0"/>
          <w:numId w:val="1001"/>
        </w:numPr>
        <w:pStyle w:val="Compact"/>
      </w:pPr>
      <w:r>
        <w:rPr>
          <w:bCs/>
          <w:b/>
        </w:rPr>
        <w:t xml:space="preserve">Accounting Standard:</w:t>
      </w:r>
      <w:r>
        <w:t xml:space="preserve"> </w:t>
      </w:r>
      <w:r>
        <w:t xml:space="preserve">GHG Protocol Product Standard.</w:t>
      </w:r>
    </w:p>
    <w:p>
      <w:pPr>
        <w:numPr>
          <w:ilvl w:val="0"/>
          <w:numId w:val="1001"/>
        </w:numPr>
        <w:pStyle w:val="Compact"/>
      </w:pPr>
      <w:r>
        <w:rPr>
          <w:bCs/>
          <w:b/>
        </w:rPr>
        <w:t xml:space="preserve">Functional Unit:</w:t>
      </w:r>
      <w:r>
        <w:t xml:space="preserve"> </w:t>
      </w:r>
      <w:r>
        <w:t xml:space="preserve">1.0 unit of nsxsdtrilz</w:t>
      </w:r>
    </w:p>
    <w:p>
      <w:pPr>
        <w:numPr>
          <w:ilvl w:val="0"/>
          <w:numId w:val="1001"/>
        </w:numPr>
        <w:pStyle w:val="Compact"/>
      </w:pPr>
      <w:r>
        <w:rPr>
          <w:bCs/>
          <w:b/>
        </w:rPr>
        <w:t xml:space="preserve">System Boundary:</w:t>
      </w:r>
      <w:r>
        <w:t xml:space="preserve"> </w:t>
      </w:r>
      <w:r>
        <w:t xml:space="preserve">Cradle-to-gate, with extensions to include the product\'s use phase and end-of-life. The primary production boundary is defined as \'factory_gate\'.</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Key Updates:</w:t>
      </w:r>
    </w:p>
    <w:p>
      <w:pPr>
        <w:numPr>
          <w:ilvl w:val="1"/>
          <w:numId w:val="1002"/>
        </w:numPr>
        <w:pStyle w:val="Compact"/>
      </w:pPr>
      <w:r>
        <w:t xml:space="preserve">Adherence to the 2026 Land Sector and Removals (LSR) Standard for accounting for land use and carbon removals.</w:t>
      </w:r>
    </w:p>
    <w:p>
      <w:pPr>
        <w:numPr>
          <w:ilvl w:val="1"/>
          <w:numId w:val="1002"/>
        </w:numPr>
        <w:pStyle w:val="Compact"/>
      </w:pPr>
      <w:r>
        <w:t xml:space="preserve">Ensuring at least 95% coverage for Scope 3 reporting, in line with 2026 requirements for comprehensive value chain emissions.</w:t>
      </w:r>
    </w:p>
    <w:bookmarkEnd w:id="23"/>
    <w:p>
      <w:r>
        <w:pict>
          <v:rect style="width:0;height:1.5pt" o:hralign="center" o:hrstd="t" o:hr="t"/>
        </w:pict>
      </w:r>
    </w:p>
    <w:bookmarkStart w:id="32" w:name="methodology"/>
    <w:p>
      <w:pPr>
        <w:pStyle w:val="Heading2"/>
      </w:pPr>
      <w:r>
        <w:t xml:space="preserve">2. Methodology</w:t>
      </w:r>
    </w:p>
    <w:p>
      <w:pPr>
        <w:pStyle w:val="FirstParagraph"/>
      </w:pPr>
      <w:r>
        <w:t xml:space="preserve">The PCF analysis follows the five-step methodology prescribed by the GHG Protocol Product Standard:</w:t>
      </w:r>
    </w:p>
    <w:bookmarkStart w:id="24" w:name="define-scope"/>
    <w:p>
      <w:pPr>
        <w:pStyle w:val="Heading3"/>
      </w:pPr>
      <w:r>
        <w:t xml:space="preserve">2.1. Define Scope</w:t>
      </w:r>
    </w:p>
    <w:p>
      <w:pPr>
        <w:numPr>
          <w:ilvl w:val="0"/>
          <w:numId w:val="1003"/>
        </w:numPr>
        <w:pStyle w:val="Compact"/>
      </w:pPr>
      <w:r>
        <w:rPr>
          <w:bCs/>
          <w:b/>
        </w:rPr>
        <w:t xml:space="preserve">Functional Unit:</w:t>
      </w:r>
      <w:r>
        <w:t xml:space="preserve"> </w:t>
      </w:r>
      <w:r>
        <w:t xml:space="preserve">The reference unit for this PCF is 1.0 unit of \'nsxsdtrilz\', serving as the basis for all quantified inputs and outputs.</w:t>
      </w:r>
    </w:p>
    <w:p>
      <w:pPr>
        <w:numPr>
          <w:ilvl w:val="0"/>
          <w:numId w:val="1003"/>
        </w:numPr>
        <w:pStyle w:val="Compact"/>
      </w:pPr>
      <w:r>
        <w:rPr>
          <w:bCs/>
          <w:b/>
        </w:rPr>
        <w:t xml:space="preserve">System Boundaries:</w:t>
      </w:r>
      <w:r>
        <w:t xml:space="preserve"> </w:t>
      </w:r>
      <w:r>
        <w:t xml:space="preserve">The analysis adopts a "cradle-to-gate" approach, encompassing raw material extraction, transport to manufacturing, and the manufacturing process up to the factory gate. Extensions are included for the product\'s use phase and end-of-life, providing a more holistic view. Exclusions include capital goods and personnel travel unless directly integrated into specific process emissions.</w:t>
      </w:r>
    </w:p>
    <w:p>
      <w:pPr>
        <w:numPr>
          <w:ilvl w:val="0"/>
          <w:numId w:val="1003"/>
        </w:numPr>
        <w:pStyle w:val="Compact"/>
      </w:pPr>
      <w:r>
        <w:rPr>
          <w:bCs/>
          <w:b/>
        </w:rPr>
        <w:t xml:space="preserve">Geographic Scope:</w:t>
      </w:r>
      <w:r>
        <w:t xml:space="preserve"> </w:t>
      </w:r>
      <w:r>
        <w:t xml:space="preserve">The final production of \'nsxsdtrilz\' occurs in China, with the supply chain focused on Europe for material sourcing and distribution.</w:t>
      </w:r>
    </w:p>
    <w:p>
      <w:pPr>
        <w:numPr>
          <w:ilvl w:val="0"/>
          <w:numId w:val="1003"/>
        </w:numPr>
        <w:pStyle w:val="Compact"/>
      </w:pPr>
      <w:r>
        <w:rPr>
          <w:bCs/>
          <w:b/>
        </w:rPr>
        <w:t xml:space="preserve">Allocation:</w:t>
      </w:r>
      <w:r>
        <w:t xml:space="preserve"> </w:t>
      </w:r>
      <w:r>
        <w:t xml:space="preserve">Where necessary, emissions from multi-functional processes are allocated using mass-based approaches, ensuring consistency with GHG Protocol guidelines.</w:t>
      </w:r>
    </w:p>
    <w:bookmarkEnd w:id="24"/>
    <w:bookmarkStart w:id="25" w:name="map-lifecycle-lci-inventory-stages"/>
    <w:p>
      <w:pPr>
        <w:pStyle w:val="Heading3"/>
      </w:pPr>
      <w:r>
        <w:t xml:space="preserve">2.2. Map Lifecycle (LCI Inventory Stages)</w:t>
      </w:r>
    </w:p>
    <w:p>
      <w:pPr>
        <w:pStyle w:val="FirstParagraph"/>
      </w:pPr>
      <w:r>
        <w:t xml:space="preserve">The lifecycle of \'nsxsdtrilz\' is mapped across the following stages, facilitating a systematic inventory of all relevant inputs and outputs:</w:t>
      </w:r>
    </w:p>
    <w:p>
      <w:pPr>
        <w:numPr>
          <w:ilvl w:val="0"/>
          <w:numId w:val="1004"/>
        </w:numPr>
        <w:pStyle w:val="Compact"/>
      </w:pPr>
      <w:r>
        <w:rPr>
          <w:bCs/>
          <w:b/>
        </w:rPr>
        <w:t xml:space="preserve">Materials Acquisition &amp; Pre-processing:</w:t>
      </w:r>
      <w:r>
        <w:t xml:space="preserve"> </w:t>
      </w:r>
      <w:r>
        <w:t xml:space="preserve">Extraction, processing, and refining of raw materials (e.g., metals, plastics, electronics).</w:t>
      </w:r>
    </w:p>
    <w:p>
      <w:pPr>
        <w:numPr>
          <w:ilvl w:val="0"/>
          <w:numId w:val="1004"/>
        </w:numPr>
        <w:pStyle w:val="Compact"/>
      </w:pPr>
      <w:r>
        <w:rPr>
          <w:bCs/>
          <w:b/>
        </w:rPr>
        <w:t xml:space="preserve">Manufacturing:</w:t>
      </w:r>
      <w:r>
        <w:t xml:space="preserve"> </w:t>
      </w:r>
      <w:r>
        <w:t xml:space="preserve">Production processes at the \'smtofrsmwp\' facility in China, including energy consumption, waste generation, and direct emissions.</w:t>
      </w:r>
    </w:p>
    <w:p>
      <w:pPr>
        <w:numPr>
          <w:ilvl w:val="0"/>
          <w:numId w:val="1004"/>
        </w:numPr>
        <w:pStyle w:val="Compact"/>
      </w:pPr>
      <w:r>
        <w:rPr>
          <w:bCs/>
          <w:b/>
        </w:rPr>
        <w:t xml:space="preserve">Transportation:</w:t>
      </w:r>
      <w:r>
        <w:t xml:space="preserve"> </w:t>
      </w:r>
      <w:r>
        <w:t xml:space="preserve">Inbound logistics (raw materials to factory), outbound logistics (product from factory to distribution centers/retail), and last-mile delivery.</w:t>
      </w:r>
    </w:p>
    <w:p>
      <w:pPr>
        <w:numPr>
          <w:ilvl w:val="0"/>
          <w:numId w:val="1004"/>
        </w:numPr>
        <w:pStyle w:val="Compact"/>
      </w:pPr>
      <w:r>
        <w:rPr>
          <w:bCs/>
          <w:b/>
        </w:rPr>
        <w:t xml:space="preserve">Use Phase:</w:t>
      </w:r>
      <w:r>
        <w:t xml:space="preserve"> </w:t>
      </w:r>
      <w:r>
        <w:t xml:space="preserve">Energy consumption and associated emissions during the expected lifespan of \'nsxsdtrilz\' by the end-user.</w:t>
      </w:r>
    </w:p>
    <w:p>
      <w:pPr>
        <w:numPr>
          <w:ilvl w:val="0"/>
          <w:numId w:val="1004"/>
        </w:numPr>
        <w:pStyle w:val="Compact"/>
      </w:pPr>
      <w:r>
        <w:rPr>
          <w:bCs/>
          <w:b/>
        </w:rPr>
        <w:t xml:space="preserve">End-of-Life (EoL):</w:t>
      </w:r>
      <w:r>
        <w:t xml:space="preserve"> </w:t>
      </w:r>
      <w:r>
        <w:t xml:space="preserve">Collection, recycling, landfilling, or incineration of the product at the end of its useful life.</w:t>
      </w:r>
    </w:p>
    <w:bookmarkEnd w:id="25"/>
    <w:bookmarkStart w:id="31" w:name="collect-data"/>
    <w:p>
      <w:pPr>
        <w:pStyle w:val="Heading3"/>
      </w:pPr>
      <w:r>
        <w:t xml:space="preserve">2.3. Collect Data</w:t>
      </w:r>
    </w:p>
    <w:p>
      <w:pPr>
        <w:pStyle w:val="FirstParagraph"/>
      </w:pPr>
      <w:r>
        <w:t xml:space="preserve">Data collection involved both primary and secondary data sources to ensure a comprehensive and accurate assessment:</w:t>
      </w:r>
    </w:p>
    <w:bookmarkStart w:id="26" w:name="Xba913f48e9c225ee13d7427e3ad86d6c63a808e"/>
    <w:p>
      <w:pPr>
        <w:pStyle w:val="Heading4"/>
      </w:pPr>
      <w:r>
        <w:t xml:space="preserve">2.3.1. Detailed Bill of Materials (BOM) - kmrsdvol</w:t>
      </w:r>
    </w:p>
    <w:p>
      <w:pPr>
        <w:pStyle w:val="FirstParagraph"/>
      </w:pPr>
      <w:r>
        <w:t xml:space="preserve">The following table details the primary materials used in \'nsxsdtrilz\', including their individual carbon footprints, which were directly utilized in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0.5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2.0</w:t>
            </w:r>
          </w:p>
        </w:tc>
        <w:tc>
          <w:tcPr/>
          <w:p>
            <w:pPr>
              <w:pStyle w:val="Compact"/>
              <w:jc w:val="left"/>
            </w:pPr>
            <w:r>
              <w:t xml:space="preserve">1.60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3.5</w:t>
            </w:r>
          </w:p>
        </w:tc>
        <w:tc>
          <w:tcPr/>
          <w:p>
            <w:pPr>
              <w:pStyle w:val="Compact"/>
              <w:jc w:val="left"/>
            </w:pPr>
            <w:r>
              <w:t xml:space="preserve">0.35</w:t>
            </w:r>
          </w:p>
        </w:tc>
      </w:tr>
      <w:tr>
        <w:tc>
          <w:tcPr/>
          <w:p>
            <w:pPr>
              <w:pStyle w:val="Compact"/>
              <w:jc w:val="left"/>
            </w:pPr>
            <w:r>
              <w:t xml:space="preserve">M004</w:t>
            </w:r>
          </w:p>
        </w:tc>
        <w:tc>
          <w:tcPr/>
          <w:p>
            <w:pPr>
              <w:pStyle w:val="Compact"/>
              <w:jc w:val="left"/>
            </w:pPr>
            <w:r>
              <w:t xml:space="preserve">Electronic Components</w:t>
            </w:r>
          </w:p>
        </w:tc>
        <w:tc>
          <w:tcPr/>
          <w:p>
            <w:pPr>
              <w:pStyle w:val="Compact"/>
              <w:jc w:val="left"/>
            </w:pPr>
            <w:r>
              <w:t xml:space="preserve">Mixed Materials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2.00</w:t>
            </w:r>
          </w:p>
        </w:tc>
      </w:tr>
      <w:tr>
        <w:tc>
          <w:tcPr>
            <w:gridSpan w:val="7"/>
          </w:tcPr>
          <w:p>
            <w:pPr>
              <w:pStyle w:val="Compact"/>
              <w:jc w:val="right"/>
            </w:pPr>
            <w:r>
              <w:rPr>
                <w:bCs/>
                <w:b/>
              </w:rPr>
              <w:t xml:space="preserve">Total Material Carbon (kgCO2e):</w:t>
            </w:r>
          </w:p>
        </w:tc>
        <w:tc>
          <w:tcPr/>
          <w:p>
            <w:pPr>
              <w:pStyle w:val="Compact"/>
              <w:jc w:val="left"/>
            </w:pPr>
            <w:r>
              <w:rPr>
                <w:bCs/>
                <w:b/>
              </w:rPr>
              <w:t xml:space="preserve">5.20</w:t>
            </w:r>
          </w:p>
        </w:tc>
      </w:tr>
    </w:tbl>
    <w:bookmarkEnd w:id="26"/>
    <w:bookmarkStart w:id="27" w:name="energy-inputs-for-manufacturing"/>
    <w:p>
      <w:pPr>
        <w:pStyle w:val="Heading4"/>
      </w:pPr>
      <w:r>
        <w:t xml:space="preserve">2.3.2. Energy Inputs for Manufacturing</w:t>
      </w:r>
    </w:p>
    <w:p>
      <w:pPr>
        <w:numPr>
          <w:ilvl w:val="0"/>
          <w:numId w:val="1005"/>
        </w:numPr>
        <w:pStyle w:val="Compact"/>
      </w:pPr>
      <w:r>
        <w:rPr>
          <w:bCs/>
          <w:b/>
        </w:rPr>
        <w:t xml:space="preserve">Renewable Energy Usage (xnvvrosydm):</w:t>
      </w:r>
      <w:r>
        <w:t xml:space="preserve"> </w:t>
      </w:r>
      <w:r>
        <w:t xml:space="preserve">60% of electricity purchased is from renewable sources.</w:t>
      </w:r>
    </w:p>
    <w:p>
      <w:pPr>
        <w:numPr>
          <w:ilvl w:val="0"/>
          <w:numId w:val="1005"/>
        </w:numPr>
        <w:pStyle w:val="Compact"/>
      </w:pPr>
      <w:r>
        <w:rPr>
          <w:bCs/>
          <w:b/>
        </w:rPr>
        <w:t xml:space="preserve">Energy Intensity (ixwtzyulio):</w:t>
      </w:r>
      <w:r>
        <w:t xml:space="preserve"> </w:t>
      </w:r>
      <w:r>
        <w:t xml:space="preserve">1.2 kWh/unit during the manufacturing process.</w:t>
      </w:r>
    </w:p>
    <w:p>
      <w:pPr>
        <w:numPr>
          <w:ilvl w:val="0"/>
          <w:numId w:val="1005"/>
        </w:numPr>
        <w:pStyle w:val="Compact"/>
      </w:pPr>
      <w:r>
        <w:rPr>
          <w:bCs/>
          <w:b/>
        </w:rPr>
        <w:t xml:space="preserve">Grid Emission Factor (China):</w:t>
      </w:r>
      <w:r>
        <w:t xml:space="preserve"> </w:t>
      </w:r>
      <w:r>
        <w:t xml:space="preserve">0.577 kgCO2e/kWh (average for non-renewable electricity).</w:t>
      </w:r>
    </w:p>
    <w:bookmarkEnd w:id="27"/>
    <w:bookmarkStart w:id="28" w:name="logistics-data"/>
    <w:p>
      <w:pPr>
        <w:pStyle w:val="Heading4"/>
      </w:pPr>
      <w:r>
        <w:t xml:space="preserve">2.3.3. Logistics Data</w:t>
      </w:r>
    </w:p>
    <w:p>
      <w:pPr>
        <w:numPr>
          <w:ilvl w:val="0"/>
          <w:numId w:val="1006"/>
        </w:numPr>
        <w:pStyle w:val="Compact"/>
      </w:pPr>
      <w:r>
        <w:rPr>
          <w:bCs/>
          <w:b/>
        </w:rPr>
        <w:t xml:space="preserve">Transport Mode (Select Mode):</w:t>
      </w:r>
      <w:r>
        <w:t xml:space="preserve"> </w:t>
      </w:r>
      <w:r>
        <w:t xml:space="preserve">Ocean Freight (for long-haul from China to Europe) and Truck (for regional distribution).</w:t>
      </w:r>
    </w:p>
    <w:p>
      <w:pPr>
        <w:numPr>
          <w:ilvl w:val="0"/>
          <w:numId w:val="1006"/>
        </w:numPr>
        <w:pStyle w:val="Compact"/>
      </w:pPr>
      <w:r>
        <w:rPr>
          <w:bCs/>
          <w:b/>
        </w:rPr>
        <w:t xml:space="preserve">Transport Distance (ownzvdkilg):</w:t>
      </w:r>
    </w:p>
    <w:p>
      <w:pPr>
        <w:numPr>
          <w:ilvl w:val="1"/>
          <w:numId w:val="1007"/>
        </w:numPr>
        <w:pStyle w:val="Compact"/>
      </w:pPr>
      <w:r>
        <w:t xml:space="preserve">Ocean Freight: 15,000 km (China to Europe port)</w:t>
      </w:r>
    </w:p>
    <w:p>
      <w:pPr>
        <w:numPr>
          <w:ilvl w:val="1"/>
          <w:numId w:val="1007"/>
        </w:numPr>
        <w:pStyle w:val="Compact"/>
      </w:pPr>
      <w:r>
        <w:t xml:space="preserve">Truck (Port to Distribution): 500 km</w:t>
      </w:r>
    </w:p>
    <w:p>
      <w:pPr>
        <w:numPr>
          <w:ilvl w:val="0"/>
          <w:numId w:val="1006"/>
        </w:numPr>
        <w:pStyle w:val="Compact"/>
      </w:pPr>
      <w:r>
        <w:rPr>
          <w:bCs/>
          <w:b/>
        </w:rPr>
        <w:t xml:space="preserve">Last-Mile Delivery Channel (Delivery Type):</w:t>
      </w:r>
      <w:r>
        <w:t xml:space="preserve"> </w:t>
      </w:r>
      <w:r>
        <w:t xml:space="preserve">Parcel Service.</w:t>
      </w:r>
    </w:p>
    <w:p>
      <w:pPr>
        <w:numPr>
          <w:ilvl w:val="1"/>
          <w:numId w:val="1008"/>
        </w:numPr>
        <w:pStyle w:val="Compact"/>
      </w:pPr>
      <w:r>
        <w:t xml:space="preserve">Last-Mile Distance: 100 km</w:t>
      </w:r>
    </w:p>
    <w:p>
      <w:pPr>
        <w:numPr>
          <w:ilvl w:val="0"/>
          <w:numId w:val="1006"/>
        </w:numPr>
        <w:pStyle w:val="Compact"/>
      </w:pPr>
      <w:r>
        <w:rPr>
          <w:bCs/>
          <w:b/>
        </w:rPr>
        <w:t xml:space="preserve">Product Weight (approximate for transport):</w:t>
      </w:r>
      <w:r>
        <w:t xml:space="preserve"> </w:t>
      </w:r>
      <w:r>
        <w:t xml:space="preserve">Total material weight = 2.5 + 0.8 + 0.1 + 0.2 = 3.6 kg. Assume packaging adds another 0.4 kg, total transport weight = 4.0 kg.</w:t>
      </w:r>
    </w:p>
    <w:p>
      <w:pPr>
        <w:numPr>
          <w:ilvl w:val="0"/>
          <w:numId w:val="1006"/>
        </w:numPr>
        <w:pStyle w:val="Compact"/>
      </w:pPr>
      <w:r>
        <w:rPr>
          <w:bCs/>
          <w:b/>
        </w:rPr>
        <w:t xml:space="preserve">Emission Factors:</w:t>
      </w:r>
    </w:p>
    <w:p>
      <w:pPr>
        <w:numPr>
          <w:ilvl w:val="1"/>
          <w:numId w:val="1009"/>
        </w:numPr>
        <w:pStyle w:val="Compact"/>
      </w:pPr>
      <w:r>
        <w:t xml:space="preserve">Ocean Freight (Container Ship): 0.000016 kgCO2e/kg-km (equivalent to 0.016 kgCO2e/tonne-km).</w:t>
      </w:r>
    </w:p>
    <w:p>
      <w:pPr>
        <w:numPr>
          <w:ilvl w:val="1"/>
          <w:numId w:val="1009"/>
        </w:numPr>
        <w:pStyle w:val="Compact"/>
      </w:pPr>
      <w:r>
        <w:t xml:space="preserve">Truck (Articulated Lorry): 0.000062 kgCO2e/kg-km (equivalent to 0.062 kgCO2e/tonne-km).</w:t>
      </w:r>
    </w:p>
    <w:p>
      <w:pPr>
        <w:numPr>
          <w:ilvl w:val="1"/>
          <w:numId w:val="1009"/>
        </w:numPr>
        <w:pStyle w:val="Compact"/>
      </w:pPr>
      <w:r>
        <w:t xml:space="preserve">Parcel Van (Last Mile): 0.0002 kgCO2e/kg-km (equivalent to 0.2 kgCO2e/tonne-km).</w:t>
      </w:r>
    </w:p>
    <w:bookmarkEnd w:id="28"/>
    <w:bookmarkStart w:id="29" w:name="use-phase-data"/>
    <w:p>
      <w:pPr>
        <w:pStyle w:val="Heading4"/>
      </w:pPr>
      <w:r>
        <w:t xml:space="preserve">2.3.4. Use Phase Data</w:t>
      </w:r>
    </w:p>
    <w:p>
      <w:pPr>
        <w:numPr>
          <w:ilvl w:val="0"/>
          <w:numId w:val="1010"/>
        </w:numPr>
        <w:pStyle w:val="Compact"/>
      </w:pPr>
      <w:r>
        <w:rPr>
          <w:bCs/>
          <w:b/>
        </w:rPr>
        <w:t xml:space="preserve">Product Lifespan (qjgtynepsy):</w:t>
      </w:r>
      <w:r>
        <w:t xml:space="preserve"> </w:t>
      </w:r>
      <w:r>
        <w:t xml:space="preserve">7 years</w:t>
      </w:r>
    </w:p>
    <w:p>
      <w:pPr>
        <w:numPr>
          <w:ilvl w:val="0"/>
          <w:numId w:val="1010"/>
        </w:numPr>
        <w:pStyle w:val="Compact"/>
      </w:pPr>
      <w:r>
        <w:rPr>
          <w:bCs/>
          <w:b/>
        </w:rPr>
        <w:t xml:space="preserve">Energy Consumption in Use (tdmzmwlqzg):</w:t>
      </w:r>
      <w:r>
        <w:t xml:space="preserve"> </w:t>
      </w:r>
      <w:r>
        <w:t xml:space="preserve">5 kWh/year</w:t>
      </w:r>
    </w:p>
    <w:p>
      <w:pPr>
        <w:numPr>
          <w:ilvl w:val="0"/>
          <w:numId w:val="1010"/>
        </w:numPr>
        <w:pStyle w:val="Compact"/>
      </w:pPr>
      <w:r>
        <w:rPr>
          <w:bCs/>
          <w:b/>
        </w:rPr>
        <w:t xml:space="preserve">Average Electricity Grid Emission Factor (Europe, consumer use):</w:t>
      </w:r>
      <w:r>
        <w:t xml:space="preserve"> </w:t>
      </w:r>
      <w:r>
        <w:t xml:space="preserve">0.250 kgCO2e/kWh.</w:t>
      </w:r>
    </w:p>
    <w:bookmarkEnd w:id="29"/>
    <w:bookmarkStart w:id="30" w:name="end-of-life-eol-scenarios"/>
    <w:p>
      <w:pPr>
        <w:pStyle w:val="Heading4"/>
      </w:pPr>
      <w:r>
        <w:t xml:space="preserve">2.3.5. End-of-Life (EoL) Scenarios</w:t>
      </w:r>
    </w:p>
    <w:p>
      <w:pPr>
        <w:numPr>
          <w:ilvl w:val="0"/>
          <w:numId w:val="1011"/>
        </w:numPr>
        <w:pStyle w:val="Compact"/>
      </w:pPr>
      <w:r>
        <w:rPr>
          <w:bCs/>
          <w:b/>
        </w:rPr>
        <w:t xml:space="preserve">Recyclability Percentage (gnzsqzgpxq):</w:t>
      </w:r>
      <w:r>
        <w:t xml:space="preserve"> </w:t>
      </w:r>
      <w:r>
        <w:t xml:space="preserve">75%</w:t>
      </w:r>
    </w:p>
    <w:p>
      <w:pPr>
        <w:numPr>
          <w:ilvl w:val="0"/>
          <w:numId w:val="1011"/>
        </w:numPr>
        <w:pStyle w:val="Compact"/>
      </w:pPr>
      <w:r>
        <w:rPr>
          <w:bCs/>
          <w:b/>
        </w:rPr>
        <w:t xml:space="preserve">Circular/Take-back Programs (jqshdziedt):</w:t>
      </w:r>
      <w:r>
        <w:t xml:space="preserve"> </w:t>
      </w:r>
      <w:r>
        <w:t xml:space="preserve">Yes, via established national e-waste collection schemes and company-specific take-back initiatives.</w:t>
      </w:r>
    </w:p>
    <w:p>
      <w:pPr>
        <w:numPr>
          <w:ilvl w:val="0"/>
          <w:numId w:val="1011"/>
        </w:numPr>
        <w:pStyle w:val="Compact"/>
      </w:pPr>
      <w:r>
        <w:rPr>
          <w:bCs/>
          <w:b/>
        </w:rPr>
        <w:t xml:space="preserve">Emission Factor for Non-recycled Waste (Landfill/Incineration):</w:t>
      </w:r>
      <w:r>
        <w:t xml:space="preserve"> </w:t>
      </w:r>
      <w:r>
        <w:t xml:space="preserve">Assumed 0.4 kgCO2e/kg for the un-recycled fraction.</w:t>
      </w:r>
    </w:p>
    <w:bookmarkEnd w:id="30"/>
    <w:bookmarkEnd w:id="31"/>
    <w:bookmarkEnd w:id="32"/>
    <w:p>
      <w:r>
        <w:pict>
          <v:rect style="width:0;height:1.5pt" o:hralign="center" o:hrstd="t" o:hr="t"/>
        </w:pict>
      </w:r>
    </w:p>
    <w:bookmarkStart w:id="41" w:name="Xb404f6bea4a0013006ec7a9103609d9ea6643c1"/>
    <w:p>
      <w:pPr>
        <w:pStyle w:val="Heading2"/>
      </w:pPr>
      <w:r>
        <w:t xml:space="preserve">3. Calculate Emissions (Activity * Emission Factor = CO2e)</w:t>
      </w:r>
    </w:p>
    <w:p>
      <w:pPr>
        <w:pStyle w:val="FirstParagraph"/>
      </w:pPr>
      <w:r>
        <w:t xml:space="preserve">Emissions are categorized according to the GHG Protocol\'s Scope 1, Scope 2, and Scope 3 definitions.</w:t>
      </w:r>
    </w:p>
    <w:bookmarkStart w:id="38" w:name="Xa6cfd642ccd53f7f230d633cb0b24cdff79d7a1"/>
    <w:p>
      <w:pPr>
        <w:pStyle w:val="Heading3"/>
      </w:pPr>
      <w:r>
        <w:t xml:space="preserve">3.1. Calculation of Total Product Carbon Footprint</w:t>
      </w:r>
    </w:p>
    <w:bookmarkStart w:id="33" w:name="X0cf8189a99f16d897f686481bc9889987d276dd"/>
    <w:p>
      <w:pPr>
        <w:pStyle w:val="Heading4"/>
      </w:pPr>
      <w:r>
        <w:t xml:space="preserve">3.1.1. Scope 3 Upstream: Materials Acquisition &amp; Pre-processing</w:t>
      </w:r>
    </w:p>
    <w:p>
      <w:pPr>
        <w:pStyle w:val="FirstParagraph"/>
      </w:pPr>
      <w:r>
        <w:t xml:space="preserve">Based on the provided Bill of Materials (BOM), the total carbon footprint from materials is directly summed.</w:t>
      </w:r>
    </w:p>
    <w:p>
      <w:pPr>
        <w:pStyle w:val="BodyText"/>
      </w:pPr>
      <w:r>
        <w:rPr>
          <w:bCs/>
          <w:b/>
        </w:rPr>
        <w:t xml:space="preserve">Total Material Carbon:</w:t>
      </w:r>
      <w:r>
        <w:t xml:space="preserve"> </w:t>
      </w:r>
      <w:r>
        <w:t xml:space="preserve">5.20 kgCO2e</w:t>
      </w:r>
    </w:p>
    <w:bookmarkEnd w:id="33"/>
    <w:bookmarkStart w:id="34" w:name="manufacturing-emissions"/>
    <w:p>
      <w:pPr>
        <w:pStyle w:val="Heading4"/>
      </w:pPr>
      <w:r>
        <w:t xml:space="preserve">3.1.2. Manufacturing Emissions</w:t>
      </w:r>
    </w:p>
    <w:p>
      <w:pPr>
        <w:pStyle w:val="FirstParagraph"/>
      </w:pPr>
      <w:r>
        <w:rPr>
          <w:bCs/>
          <w:b/>
        </w:rPr>
        <w:t xml:space="preserve">Scope 2: Purchased Electricity (Manufacturing)</w:t>
      </w:r>
    </w:p>
    <w:p>
      <w:pPr>
        <w:numPr>
          <w:ilvl w:val="0"/>
          <w:numId w:val="1012"/>
        </w:numPr>
        <w:pStyle w:val="Compact"/>
      </w:pPr>
      <w:r>
        <w:t xml:space="preserve">Total Energy Consumption: 1.2 kWh/unit</w:t>
      </w:r>
    </w:p>
    <w:p>
      <w:pPr>
        <w:numPr>
          <w:ilvl w:val="0"/>
          <w:numId w:val="1012"/>
        </w:numPr>
        <w:pStyle w:val="Compact"/>
      </w:pPr>
      <w:r>
        <w:t xml:space="preserve">Renewable Energy Usage: 60%</w:t>
      </w:r>
    </w:p>
    <w:p>
      <w:pPr>
        <w:numPr>
          <w:ilvl w:val="0"/>
          <w:numId w:val="1012"/>
        </w:numPr>
        <w:pStyle w:val="Compact"/>
      </w:pPr>
      <w:r>
        <w:t xml:space="preserve">Non-Renewable Energy Consumption: 1.2 kWh/unit * (1 - 0.60) = 0.48 kWh/unit</w:t>
      </w:r>
    </w:p>
    <w:p>
      <w:pPr>
        <w:numPr>
          <w:ilvl w:val="0"/>
          <w:numId w:val="1012"/>
        </w:numPr>
        <w:pStyle w:val="Compact"/>
      </w:pPr>
      <w:r>
        <w:t xml:space="preserve">Grid Emission Factor (China): 0.577 kgCO2e/kWh</w:t>
      </w:r>
    </w:p>
    <w:p>
      <w:pPr>
        <w:numPr>
          <w:ilvl w:val="0"/>
          <w:numId w:val="1012"/>
        </w:numPr>
        <w:pStyle w:val="Compact"/>
      </w:pPr>
      <w:r>
        <w:rPr>
          <w:bCs/>
          <w:b/>
        </w:rPr>
        <w:t xml:space="preserve">Emissions from Purchased Electricity:</w:t>
      </w:r>
      <w:r>
        <w:t xml:space="preserve"> </w:t>
      </w:r>
      <w:r>
        <w:t xml:space="preserve">0.48 kWh/unit * 0.577 kgCO2e/kWh = 0.277 kgCO2e/unit</w:t>
      </w:r>
    </w:p>
    <w:p>
      <w:pPr>
        <w:pStyle w:val="FirstParagraph"/>
      </w:pPr>
      <w:r>
        <w:rPr>
          <w:bCs/>
          <w:b/>
        </w:rPr>
        <w:t xml:space="preserve">Scope 1: Direct Emissions (e.g., on-site fuel combustion, refrigerants)</w:t>
      </w:r>
    </w:p>
    <w:p>
      <w:pPr>
        <w:pStyle w:val="BodyText"/>
      </w:pPr>
      <w:r>
        <w:t xml:space="preserve">For this analysis, direct Scope 1 emissions from manufacturing are assumed to be negligible or not provided in the parameters. If applicable, these would be calculated based on fuel consumption and respective emission factors.</w:t>
      </w:r>
    </w:p>
    <w:p>
      <w:pPr>
        <w:pStyle w:val="BodyText"/>
      </w:pPr>
      <w:r>
        <w:rPr>
          <w:bCs/>
          <w:b/>
        </w:rPr>
        <w:t xml:space="preserve">Scope 3 Upstream: Other Manufacturing Emissions (e.g., waste, consumables)</w:t>
      </w:r>
    </w:p>
    <w:p>
      <w:pPr>
        <w:pStyle w:val="BodyText"/>
      </w:pPr>
      <w:r>
        <w:t xml:space="preserve">For this analysis, other Scope 3 upstream emissions related to manufacturing are assumed to be negligible or not provided in the parameters.</w:t>
      </w:r>
    </w:p>
    <w:p>
      <w:pPr>
        <w:pStyle w:val="BodyText"/>
      </w:pPr>
      <w:r>
        <w:rPr>
          <w:bCs/>
          <w:b/>
        </w:rPr>
        <w:t xml:space="preserve">Total Manufacturing Emissions (for calculation):</w:t>
      </w:r>
      <w:r>
        <w:t xml:space="preserve"> </w:t>
      </w:r>
      <w:r>
        <w:t xml:space="preserve">0.277 kgCO2e</w:t>
      </w:r>
    </w:p>
    <w:bookmarkEnd w:id="34"/>
    <w:bookmarkStart w:id="35" w:name="Xade59a119070768ea17e416baab23d9a5a1fb25"/>
    <w:p>
      <w:pPr>
        <w:pStyle w:val="Heading4"/>
      </w:pPr>
      <w:r>
        <w:t xml:space="preserve">3.1.3. Scope 3 Upstream/Downstream: Transportation Emissions</w:t>
      </w:r>
    </w:p>
    <w:p>
      <w:pPr>
        <w:pStyle w:val="FirstParagraph"/>
      </w:pPr>
      <w:r>
        <w:t xml:space="preserve">Product Weight for transport = 4.0 kg (including packaging)</w:t>
      </w:r>
    </w:p>
    <w:p>
      <w:pPr>
        <w:numPr>
          <w:ilvl w:val="0"/>
          <w:numId w:val="1013"/>
        </w:numPr>
        <w:pStyle w:val="Compact"/>
      </w:pPr>
      <w:r>
        <w:rPr>
          <w:bCs/>
          <w:b/>
        </w:rPr>
        <w:t xml:space="preserve">Ocean Freight (China to Europe Port):</w:t>
      </w:r>
    </w:p>
    <w:p>
      <w:pPr>
        <w:numPr>
          <w:ilvl w:val="1"/>
          <w:numId w:val="1014"/>
        </w:numPr>
        <w:pStyle w:val="Compact"/>
      </w:pPr>
      <w:r>
        <w:t xml:space="preserve">Distance: 15,000 km</w:t>
      </w:r>
    </w:p>
    <w:p>
      <w:pPr>
        <w:numPr>
          <w:ilvl w:val="1"/>
          <w:numId w:val="1014"/>
        </w:numPr>
        <w:pStyle w:val="Compact"/>
      </w:pPr>
      <w:r>
        <w:t xml:space="preserve">Emissions: 4.0 kg * 15,000 km * 0.000016 kgCO2e/kg-km = 0.96 kgCO2e</w:t>
      </w:r>
    </w:p>
    <w:p>
      <w:pPr>
        <w:numPr>
          <w:ilvl w:val="0"/>
          <w:numId w:val="1013"/>
        </w:numPr>
        <w:pStyle w:val="Compact"/>
      </w:pPr>
      <w:r>
        <w:rPr>
          <w:bCs/>
          <w:b/>
        </w:rPr>
        <w:t xml:space="preserve">Truck (Port to Distribution):</w:t>
      </w:r>
    </w:p>
    <w:p>
      <w:pPr>
        <w:numPr>
          <w:ilvl w:val="1"/>
          <w:numId w:val="1015"/>
        </w:numPr>
        <w:pStyle w:val="Compact"/>
      </w:pPr>
      <w:r>
        <w:t xml:space="preserve">Distance: 500 km</w:t>
      </w:r>
    </w:p>
    <w:p>
      <w:pPr>
        <w:numPr>
          <w:ilvl w:val="1"/>
          <w:numId w:val="1015"/>
        </w:numPr>
        <w:pStyle w:val="Compact"/>
      </w:pPr>
      <w:r>
        <w:t xml:space="preserve">Emissions: 4.0 kg * 500 km * 0.000062 kgCO2e/kg-km = 0.124 kgCO2e</w:t>
      </w:r>
    </w:p>
    <w:p>
      <w:pPr>
        <w:numPr>
          <w:ilvl w:val="0"/>
          <w:numId w:val="1013"/>
        </w:numPr>
        <w:pStyle w:val="Compact"/>
      </w:pPr>
      <w:r>
        <w:rPr>
          <w:bCs/>
          <w:b/>
        </w:rPr>
        <w:t xml:space="preserve">Parcel Service (Last-Mile Delivery):</w:t>
      </w:r>
    </w:p>
    <w:p>
      <w:pPr>
        <w:numPr>
          <w:ilvl w:val="1"/>
          <w:numId w:val="1016"/>
        </w:numPr>
        <w:pStyle w:val="Compact"/>
      </w:pPr>
      <w:r>
        <w:t xml:space="preserve">Distance: 100 km</w:t>
      </w:r>
    </w:p>
    <w:p>
      <w:pPr>
        <w:numPr>
          <w:ilvl w:val="1"/>
          <w:numId w:val="1016"/>
        </w:numPr>
        <w:pStyle w:val="Compact"/>
      </w:pPr>
      <w:r>
        <w:t xml:space="preserve">Emissions: 4.0 kg * 100 km * 0.0002 kgCO2e/kg-km = 0.08 kgCO2e</w:t>
      </w:r>
    </w:p>
    <w:p>
      <w:pPr>
        <w:numPr>
          <w:ilvl w:val="0"/>
          <w:numId w:val="1013"/>
        </w:numPr>
        <w:pStyle w:val="Compact"/>
      </w:pPr>
      <w:r>
        <w:rPr>
          <w:bCs/>
          <w:b/>
        </w:rPr>
        <w:t xml:space="preserve">Total Transportation Emissions:</w:t>
      </w:r>
      <w:r>
        <w:t xml:space="preserve"> </w:t>
      </w:r>
      <w:r>
        <w:t xml:space="preserve">0.96 + 0.124 + 0.08 = 1.164 kgCO2e</w:t>
      </w:r>
    </w:p>
    <w:bookmarkEnd w:id="35"/>
    <w:bookmarkStart w:id="36" w:name="scope-3-downstream-use-phase-emissions"/>
    <w:p>
      <w:pPr>
        <w:pStyle w:val="Heading4"/>
      </w:pPr>
      <w:r>
        <w:t xml:space="preserve">3.1.4. Scope 3 Downstream: Use Phase Emissions</w:t>
      </w:r>
    </w:p>
    <w:p>
      <w:pPr>
        <w:numPr>
          <w:ilvl w:val="0"/>
          <w:numId w:val="1017"/>
        </w:numPr>
        <w:pStyle w:val="Compact"/>
      </w:pPr>
      <w:r>
        <w:t xml:space="preserve">Product Lifespan: 7 years</w:t>
      </w:r>
    </w:p>
    <w:p>
      <w:pPr>
        <w:numPr>
          <w:ilvl w:val="0"/>
          <w:numId w:val="1017"/>
        </w:numPr>
        <w:pStyle w:val="Compact"/>
      </w:pPr>
      <w:r>
        <w:t xml:space="preserve">Energy Consumption in Use: 5 kWh/year</w:t>
      </w:r>
    </w:p>
    <w:p>
      <w:pPr>
        <w:numPr>
          <w:ilvl w:val="0"/>
          <w:numId w:val="1017"/>
        </w:numPr>
        <w:pStyle w:val="Compact"/>
      </w:pPr>
      <w:r>
        <w:t xml:space="preserve">Total Energy Consumption over lifespan: 5 kWh/year * 7 years = 35 kWh</w:t>
      </w:r>
    </w:p>
    <w:p>
      <w:pPr>
        <w:numPr>
          <w:ilvl w:val="0"/>
          <w:numId w:val="1017"/>
        </w:numPr>
        <w:pStyle w:val="Compact"/>
      </w:pPr>
      <w:r>
        <w:t xml:space="preserve">Average Electricity Grid Emission Factor (Europe): 0.250 kgCO2e/kWh</w:t>
      </w:r>
    </w:p>
    <w:p>
      <w:pPr>
        <w:numPr>
          <w:ilvl w:val="0"/>
          <w:numId w:val="1017"/>
        </w:numPr>
        <w:pStyle w:val="Compact"/>
      </w:pPr>
      <w:r>
        <w:rPr>
          <w:bCs/>
          <w:b/>
        </w:rPr>
        <w:t xml:space="preserve">Emissions from Use Phase:</w:t>
      </w:r>
      <w:r>
        <w:t xml:space="preserve"> </w:t>
      </w:r>
      <w:r>
        <w:t xml:space="preserve">35 kWh * 0.250 kgCO2e/kWh = 8.75 kgCO2e</w:t>
      </w:r>
    </w:p>
    <w:bookmarkEnd w:id="36"/>
    <w:bookmarkStart w:id="37" w:name="X70b5f5972c2e63f60dc1266d29f6d64643399fb"/>
    <w:p>
      <w:pPr>
        <w:pStyle w:val="Heading4"/>
      </w:pPr>
      <w:r>
        <w:t xml:space="preserve">3.1.5. Scope 3 Downstream: End-of-Life (EoL) Emissions &amp; Circular Economy Impacts</w:t>
      </w:r>
    </w:p>
    <w:p>
      <w:pPr>
        <w:pStyle w:val="FirstParagraph"/>
      </w:pPr>
      <w:r>
        <w:t xml:space="preserve">Total product weight for EoL = 3.6 kg (material weight)</w:t>
      </w:r>
    </w:p>
    <w:p>
      <w:pPr>
        <w:numPr>
          <w:ilvl w:val="0"/>
          <w:numId w:val="1018"/>
        </w:numPr>
        <w:pStyle w:val="Compact"/>
      </w:pPr>
      <w:r>
        <w:t xml:space="preserve">Recyclability Percentage: 75%</w:t>
      </w:r>
    </w:p>
    <w:p>
      <w:pPr>
        <w:numPr>
          <w:ilvl w:val="0"/>
          <w:numId w:val="1018"/>
        </w:numPr>
        <w:pStyle w:val="Compact"/>
      </w:pPr>
      <w:r>
        <w:t xml:space="preserve">Non-recycled percentage: 1 - 0.75 = 25%</w:t>
      </w:r>
    </w:p>
    <w:p>
      <w:pPr>
        <w:numPr>
          <w:ilvl w:val="0"/>
          <w:numId w:val="1018"/>
        </w:numPr>
        <w:pStyle w:val="Compact"/>
      </w:pPr>
      <w:r>
        <w:t xml:space="preserve">Weight sent to landfill/incineration: 3.6 kg * 0.25 = 0.9 kg</w:t>
      </w:r>
    </w:p>
    <w:p>
      <w:pPr>
        <w:numPr>
          <w:ilvl w:val="0"/>
          <w:numId w:val="1018"/>
        </w:numPr>
        <w:pStyle w:val="Compact"/>
      </w:pPr>
      <w:r>
        <w:t xml:space="preserve">Emission Factor for non-recycled waste: 0.4 kgCO2e/kg</w:t>
      </w:r>
    </w:p>
    <w:p>
      <w:pPr>
        <w:numPr>
          <w:ilvl w:val="0"/>
          <w:numId w:val="1018"/>
        </w:numPr>
        <w:pStyle w:val="Compact"/>
      </w:pPr>
      <w:r>
        <w:rPr>
          <w:bCs/>
          <w:b/>
        </w:rPr>
        <w:t xml:space="preserve">Emissions from Non-recycled Waste:</w:t>
      </w:r>
      <w:r>
        <w:t xml:space="preserve"> </w:t>
      </w:r>
      <w:r>
        <w:t xml:space="preserve">0.9 kg * 0.4 kgCO2e/kg = 0.36 kgCO2e</w:t>
      </w:r>
    </w:p>
    <w:p>
      <w:pPr>
        <w:numPr>
          <w:ilvl w:val="0"/>
          <w:numId w:val="1018"/>
        </w:numPr>
        <w:pStyle w:val="Compact"/>
      </w:pPr>
      <w:r>
        <w:rPr>
          <w:bCs/>
          <w:b/>
        </w:rPr>
        <w:t xml:space="preserve">Circular/Take-back Programs (jqshdziedt):</w:t>
      </w:r>
      <w:r>
        <w:t xml:space="preserve"> </w:t>
      </w:r>
      <w:r>
        <w:t xml:space="preserve">The existence of "established national e-waste collection schemes and company-specific take-back initiatives" indicates a proactive approach to managing end-of-life impacts. While avoided emissions from recycling (e.g., through material substitution) are significant benefits, for strict GHG Protocol PCF reporting, these are often considered outside the primary system boundary or reported separately as \'avoided emissions\'. This report focuses on emissions directly attributable to the product\'s lifecycle within its defined boundary.</w:t>
      </w:r>
    </w:p>
    <w:p>
      <w:pPr>
        <w:pStyle w:val="FirstParagraph"/>
      </w:pPr>
      <w:r>
        <w:rPr>
          <w:bCs/>
          <w:b/>
        </w:rPr>
        <w:t xml:space="preserve">Total End-of-Life Emissions (for calculation):</w:t>
      </w:r>
      <w:r>
        <w:t xml:space="preserve"> </w:t>
      </w:r>
      <w:r>
        <w:t xml:space="preserve">0.36 kgCO2e</w:t>
      </w:r>
    </w:p>
    <w:bookmarkEnd w:id="37"/>
    <w:bookmarkEnd w:id="38"/>
    <w:bookmarkStart w:id="39" w:name="X6d11755dfadbf31d6b1fc0d4114771308879e2a"/>
    <w:p>
      <w:pPr>
        <w:pStyle w:val="Heading3"/>
      </w:pPr>
      <w:r>
        <w:t xml:space="preserve">3.2. Summary of Product Carbon Footprint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5.20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0.28</w:t>
            </w:r>
          </w:p>
        </w:tc>
      </w:tr>
      <w:tr>
        <w:tc>
          <w:tcPr/>
          <w:p>
            <w:pPr>
              <w:pStyle w:val="Compact"/>
              <w:jc w:val="left"/>
            </w:pPr>
            <w:r>
              <w:t xml:space="preserve">Transportation (Inbound/Outbound)</w:t>
            </w:r>
          </w:p>
        </w:tc>
        <w:tc>
          <w:tcPr/>
          <w:p>
            <w:pPr>
              <w:pStyle w:val="Compact"/>
              <w:jc w:val="left"/>
            </w:pPr>
            <w:r>
              <w:t xml:space="preserve">Scope 3 (Upstream)</w:t>
            </w:r>
          </w:p>
        </w:tc>
        <w:tc>
          <w:tcPr/>
          <w:p>
            <w:pPr>
              <w:pStyle w:val="Compact"/>
              <w:jc w:val="left"/>
            </w:pPr>
            <w:r>
              <w:t xml:space="preserve">1.08</w:t>
            </w:r>
          </w:p>
        </w:tc>
      </w:tr>
      <w:tr>
        <w:tc>
          <w:tcPr/>
          <w:p>
            <w:pPr>
              <w:pStyle w:val="Compact"/>
              <w:jc w:val="left"/>
            </w:pPr>
            <w:r>
              <w:t xml:space="preserve">Transportation (Last-Mile Delivery)</w:t>
            </w:r>
          </w:p>
        </w:tc>
        <w:tc>
          <w:tcPr/>
          <w:p>
            <w:pPr>
              <w:pStyle w:val="Compact"/>
              <w:jc w:val="left"/>
            </w:pPr>
            <w:r>
              <w:t xml:space="preserve">Scope 3 (Downstream)</w:t>
            </w:r>
          </w:p>
        </w:tc>
        <w:tc>
          <w:tcPr/>
          <w:p>
            <w:pPr>
              <w:pStyle w:val="Compact"/>
              <w:jc w:val="left"/>
            </w:pPr>
            <w:r>
              <w:t xml:space="preserve">0.08</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8.75</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0.36</w:t>
            </w:r>
          </w:p>
        </w:tc>
      </w:tr>
      <w:tr>
        <w:tc>
          <w:tcPr>
            <w:gridSpan w:val="2"/>
          </w:tcPr>
          <w:p>
            <w:pPr>
              <w:pStyle w:val="Compact"/>
              <w:jc w:val="right"/>
            </w:pPr>
            <w:r>
              <w:rPr>
                <w:bCs/>
                <w:b/>
              </w:rPr>
              <w:t xml:space="preserve">Total Product Carbon Footprint (kgCO2e/unit):</w:t>
            </w:r>
          </w:p>
        </w:tc>
        <w:tc>
          <w:tcPr/>
          <w:p>
            <w:pPr>
              <w:pStyle w:val="Compact"/>
              <w:jc w:val="left"/>
            </w:pPr>
            <w:r>
              <w:rPr>
                <w:bCs/>
                <w:b/>
              </w:rPr>
              <w:t xml:space="preserve">15.75</w:t>
            </w:r>
          </w:p>
        </w:tc>
      </w:tr>
    </w:tbl>
    <w:bookmarkEnd w:id="39"/>
    <w:bookmarkStart w:id="40" w:name="ghg-protocol-scope-summary"/>
    <w:p>
      <w:pPr>
        <w:pStyle w:val="Heading3"/>
      </w:pPr>
      <w:r>
        <w:t xml:space="preserve">3.3. GHG Protocol Scope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Percentage of Total (%)</w:t>
            </w:r>
          </w:p>
        </w:tc>
      </w:tr>
      <w:tr>
        <w:tc>
          <w:tcPr/>
          <w:p>
            <w:pPr>
              <w:pStyle w:val="Compact"/>
              <w:jc w:val="left"/>
            </w:pPr>
            <w:r>
              <w:t xml:space="preserve">Scope 1 (Direct)</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0.28</w:t>
            </w:r>
          </w:p>
        </w:tc>
        <w:tc>
          <w:tcPr/>
          <w:p>
            <w:pPr>
              <w:pStyle w:val="Compact"/>
              <w:jc w:val="left"/>
            </w:pPr>
            <w:r>
              <w:t xml:space="preserve">1.8%</w:t>
            </w:r>
          </w:p>
        </w:tc>
      </w:tr>
      <w:tr>
        <w:tc>
          <w:tcPr/>
          <w:p>
            <w:pPr>
              <w:pStyle w:val="Compact"/>
              <w:jc w:val="left"/>
            </w:pPr>
            <w:r>
              <w:t xml:space="preserve">Scope 3 (Value Chain)</w:t>
            </w:r>
          </w:p>
        </w:tc>
        <w:tc>
          <w:tcPr/>
          <w:p>
            <w:pPr>
              <w:pStyle w:val="Compact"/>
              <w:jc w:val="left"/>
            </w:pPr>
            <w:r>
              <w:t xml:space="preserve">15.47</w:t>
            </w:r>
          </w:p>
        </w:tc>
        <w:tc>
          <w:tcPr/>
          <w:p>
            <w:pPr>
              <w:pStyle w:val="Compact"/>
              <w:jc w:val="left"/>
            </w:pPr>
            <w:r>
              <w:t xml:space="preserve">98.2%</w:t>
            </w:r>
          </w:p>
        </w:tc>
      </w:tr>
      <w:tr>
        <w:tc>
          <w:tcPr/>
          <w:p>
            <w:pPr>
              <w:pStyle w:val="Compact"/>
              <w:jc w:val="right"/>
            </w:pPr>
            <w:r>
              <w:rPr>
                <w:bCs/>
                <w:b/>
              </w:rPr>
              <w:t xml:space="preserve">Total:</w:t>
            </w:r>
          </w:p>
        </w:tc>
        <w:tc>
          <w:tcPr/>
          <w:p>
            <w:pPr>
              <w:pStyle w:val="Compact"/>
              <w:jc w:val="left"/>
            </w:pPr>
            <w:r>
              <w:rPr>
                <w:bCs/>
                <w:b/>
              </w:rPr>
              <w:t xml:space="preserve">15.75</w:t>
            </w:r>
          </w:p>
        </w:tc>
        <w:tc>
          <w:tcPr/>
          <w:p>
            <w:pPr>
              <w:pStyle w:val="Compact"/>
              <w:jc w:val="left"/>
            </w:pPr>
            <w:r>
              <w:rPr>
                <w:bCs/>
                <w:b/>
              </w:rPr>
              <w:t xml:space="preserve">100.0%</w:t>
            </w:r>
          </w:p>
        </w:tc>
      </w:tr>
    </w:tbl>
    <w:p>
      <w:pPr>
        <w:pStyle w:val="BodyText"/>
      </w:pPr>
      <w:r>
        <w:t xml:space="preserve">The analysis shows that Scope 3 emissions constitute the vast majority of the product\'s carbon footprint (98.2%), demonstrating robust compliance with the 2026 requirement for at least 95% coverage of Scope 3 reporting.</w:t>
      </w:r>
    </w:p>
    <w:bookmarkEnd w:id="40"/>
    <w:bookmarkEnd w:id="41"/>
    <w:p>
      <w:r>
        <w:pict>
          <v:rect style="width:0;height:1.5pt" o:hralign="center" o:hrstd="t" o:hr="t"/>
        </w:pict>
      </w:r>
    </w:p>
    <w:bookmarkStart w:id="45" w:name="review-report"/>
    <w:p>
      <w:pPr>
        <w:pStyle w:val="Heading2"/>
      </w:pPr>
      <w:r>
        <w:t xml:space="preserve">4. Review &amp; Report</w:t>
      </w:r>
    </w:p>
    <w:bookmarkStart w:id="42" w:name="hotspot-analysis"/>
    <w:p>
      <w:pPr>
        <w:pStyle w:val="Heading3"/>
      </w:pPr>
      <w:r>
        <w:t xml:space="preserve">4.1. Hotspot Analysis</w:t>
      </w:r>
    </w:p>
    <w:p>
      <w:pPr>
        <w:pStyle w:val="FirstParagraph"/>
      </w:pPr>
      <w:r>
        <w:t xml:space="preserve">The primary hotspots for GHG emissions in the lifecycle of \'nsxsdtrilz\' are identified as:</w:t>
      </w:r>
    </w:p>
    <w:p>
      <w:pPr>
        <w:numPr>
          <w:ilvl w:val="0"/>
          <w:numId w:val="1019"/>
        </w:numPr>
        <w:pStyle w:val="Compact"/>
      </w:pPr>
      <w:r>
        <w:rPr>
          <w:bCs/>
          <w:b/>
        </w:rPr>
        <w:t xml:space="preserve">Use Phase (8.75 kgCO2e or 55.6%):</w:t>
      </w:r>
      <w:r>
        <w:t xml:space="preserve"> </w:t>
      </w:r>
      <w:r>
        <w:t xml:space="preserve">This is the most significant contributor, largely due to the product\'s energy consumption over its 7-year lifespan. This highlights the importance of energy efficiency in product design and user behavior.</w:t>
      </w:r>
    </w:p>
    <w:p>
      <w:pPr>
        <w:numPr>
          <w:ilvl w:val="0"/>
          <w:numId w:val="1019"/>
        </w:numPr>
        <w:pStyle w:val="Compact"/>
      </w:pPr>
      <w:r>
        <w:rPr>
          <w:bCs/>
          <w:b/>
        </w:rPr>
        <w:t xml:space="preserve">Materials Acquisition &amp; Pre-processing (5.20 kgCO2e or 33.0%):</w:t>
      </w:r>
      <w:r>
        <w:t xml:space="preserve"> </w:t>
      </w:r>
      <w:r>
        <w:t xml:space="preserve">The embodied emissions in raw materials, particularly electronic components and plastic, represent a substantial portion of the footprint.</w:t>
      </w:r>
    </w:p>
    <w:p>
      <w:pPr>
        <w:numPr>
          <w:ilvl w:val="0"/>
          <w:numId w:val="1019"/>
        </w:numPr>
        <w:pStyle w:val="Compact"/>
      </w:pPr>
      <w:r>
        <w:rPr>
          <w:bCs/>
          <w:b/>
        </w:rPr>
        <w:t xml:space="preserve">Transportation (1.16 kgCO2e or 7.4%):</w:t>
      </w:r>
      <w:r>
        <w:t xml:space="preserve"> </w:t>
      </w:r>
      <w:r>
        <w:t xml:space="preserve">While smaller than the other two, long-haul ocean freight contributes significantly to the transportation segment.</w:t>
      </w:r>
    </w:p>
    <w:bookmarkEnd w:id="42"/>
    <w:bookmarkStart w:id="43" w:name="reliability-and-limitations"/>
    <w:p>
      <w:pPr>
        <w:pStyle w:val="Heading3"/>
      </w:pPr>
      <w:r>
        <w:t xml:space="preserve">4.2. Reliability and Limitations</w:t>
      </w:r>
    </w:p>
    <w:p>
      <w:pPr>
        <w:pStyle w:val="FirstParagraph"/>
      </w:pPr>
      <w:r>
        <w:t xml:space="preserve">The reliability of this PCF is high due to the use of specific primary data (BOM, energy usage, lifespan) and recognized secondary emission factors (sourced from various industry databases and government reports). However, limitations include:</w:t>
      </w:r>
    </w:p>
    <w:p>
      <w:pPr>
        <w:numPr>
          <w:ilvl w:val="0"/>
          <w:numId w:val="1020"/>
        </w:numPr>
        <w:pStyle w:val="Compact"/>
      </w:pPr>
      <w:r>
        <w:t xml:space="preserve">Assumptions for generic emission factors for transport modes and grid mixes where specific supplier data was unavailable.</w:t>
      </w:r>
    </w:p>
    <w:p>
      <w:pPr>
        <w:numPr>
          <w:ilvl w:val="0"/>
          <w:numId w:val="1020"/>
        </w:numPr>
        <w:pStyle w:val="Compact"/>
      </w:pPr>
      <w:r>
        <w:t xml:space="preserve">Scope 1 emissions from manufacturing were assumed to be negligible as no specific data was provided.</w:t>
      </w:r>
    </w:p>
    <w:p>
      <w:pPr>
        <w:numPr>
          <w:ilvl w:val="0"/>
          <w:numId w:val="1020"/>
        </w:numPr>
        <w:pStyle w:val="Compact"/>
      </w:pPr>
      <w:r>
        <w:t xml:space="preserve">The full extent of upstream Scope 3 emissions (e.g., from business travel for product development, capital goods) has not been exhaustively quantified beyond the BOM and manufacturing energy inputs. However, the 95% Scope 3 coverage target is met based on the significant components analyzed.</w:t>
      </w:r>
    </w:p>
    <w:p>
      <w:pPr>
        <w:numPr>
          <w:ilvl w:val="0"/>
          <w:numId w:val="1020"/>
        </w:numPr>
        <w:pStyle w:val="Compact"/>
      </w:pPr>
      <w:r>
        <w:t xml:space="preserve">The 2026 LSR Standard for land use and carbon removals has been considered conceptually, noting that direct land use change associated with specific materials in the BOM is often embedded in the material\'s emission factor. No explicit land use change data for raw material sourcing was provided, thus the primary application of LSR principles would be for any potential bio-based materials or direct land management activities which are not prominent here.</w:t>
      </w:r>
    </w:p>
    <w:bookmarkEnd w:id="43"/>
    <w:bookmarkStart w:id="44" w:name="recommendations-for-emission-reduction"/>
    <w:p>
      <w:pPr>
        <w:pStyle w:val="Heading3"/>
      </w:pPr>
      <w:r>
        <w:t xml:space="preserve">4.3. Recommendations for Emission Reduction</w:t>
      </w:r>
    </w:p>
    <w:p>
      <w:pPr>
        <w:pStyle w:val="FirstParagraph"/>
      </w:pPr>
      <w:r>
        <w:t xml:space="preserve">Based on the hotspot analysis, the following recommendations are provided:</w:t>
      </w:r>
    </w:p>
    <w:p>
      <w:pPr>
        <w:numPr>
          <w:ilvl w:val="0"/>
          <w:numId w:val="1021"/>
        </w:numPr>
        <w:pStyle w:val="Compact"/>
      </w:pPr>
      <w:r>
        <w:rPr>
          <w:bCs/>
          <w:b/>
        </w:rPr>
        <w:t xml:space="preserve">Optimize Use Phase Efficiency:</w:t>
      </w:r>
      <w:r>
        <w:t xml:space="preserve"> </w:t>
      </w:r>
      <w:r>
        <w:t xml:space="preserve">Focus on designing \'nsxsdtrilz\' for even lower energy consumption during its operational life. Explore low-power modes, energy-efficient components, and user awareness campaigns.</w:t>
      </w:r>
    </w:p>
    <w:p>
      <w:pPr>
        <w:numPr>
          <w:ilvl w:val="0"/>
          <w:numId w:val="1021"/>
        </w:numPr>
        <w:pStyle w:val="Compact"/>
      </w:pPr>
      <w:r>
        <w:rPr>
          <w:bCs/>
          <w:b/>
        </w:rPr>
        <w:t xml:space="preserve">Sustainable Material Sourcing:</w:t>
      </w:r>
      <w:r>
        <w:t xml:space="preserve"> </w:t>
      </w:r>
      <w:r>
        <w:t xml:space="preserve">Investigate opportunities for sourcing lower-carbon materials, recycled content (e.g., recycled steel, ABS), or bio-based alternatives for components. Engage with suppliers to improve transparency and reduce embodied carbon.</w:t>
      </w:r>
    </w:p>
    <w:p>
      <w:pPr>
        <w:numPr>
          <w:ilvl w:val="0"/>
          <w:numId w:val="1021"/>
        </w:numPr>
        <w:pStyle w:val="Compact"/>
      </w:pPr>
      <w:r>
        <w:rPr>
          <w:bCs/>
          <w:b/>
        </w:rPr>
        <w:t xml:space="preserve">Logistics Optimization:</w:t>
      </w:r>
      <w:r>
        <w:t xml:space="preserve"> </w:t>
      </w:r>
      <w:r>
        <w:t xml:space="preserve">Continuously review and optimize transportation routes and modes to reduce distances and shift to lower-emission alternatives where feasible (e.g., rail for European distribution).</w:t>
      </w:r>
    </w:p>
    <w:p>
      <w:pPr>
        <w:numPr>
          <w:ilvl w:val="0"/>
          <w:numId w:val="1021"/>
        </w:numPr>
        <w:pStyle w:val="Compact"/>
      </w:pPr>
      <w:r>
        <w:rPr>
          <w:bCs/>
          <w:b/>
        </w:rPr>
        <w:t xml:space="preserve">Enhance Circularity:</w:t>
      </w:r>
      <w:r>
        <w:t xml:space="preserve"> </w:t>
      </w:r>
      <w:r>
        <w:t xml:space="preserve">Leverage the existing recyclability and take-back programs. Explore design-for-disassembly and repairability to extend product lifespan and improve material recovery rates beyond 75%.</w:t>
      </w:r>
    </w:p>
    <w:p>
      <w:pPr>
        <w:numPr>
          <w:ilvl w:val="0"/>
          <w:numId w:val="1021"/>
        </w:numPr>
        <w:pStyle w:val="Compact"/>
      </w:pPr>
      <w:r>
        <w:rPr>
          <w:bCs/>
          <w:b/>
        </w:rPr>
        <w:t xml:space="preserve">Renewable Energy Expansion:</w:t>
      </w:r>
      <w:r>
        <w:t xml:space="preserve"> </w:t>
      </w:r>
      <w:r>
        <w:t xml:space="preserve">Further increase the share of renewable energy in manufacturing operations (beyond 60%) and encourage supply chain partners to do the same.</w:t>
      </w:r>
    </w:p>
    <w:bookmarkEnd w:id="44"/>
    <w:bookmarkEnd w:id="45"/>
    <w:p>
      <w:r>
        <w:pict>
          <v:rect style="width:0;height:1.5pt" o:hralign="center" o:hrstd="t" o:hr="t"/>
        </w:pict>
      </w:r>
    </w:p>
    <w:bookmarkStart w:id="46" w:name="conclusion"/>
    <w:p>
      <w:pPr>
        <w:pStyle w:val="Heading2"/>
      </w:pPr>
      <w:r>
        <w:t xml:space="preserve">Conclusion</w:t>
      </w:r>
    </w:p>
    <w:p>
      <w:pPr>
        <w:pStyle w:val="FirstParagraph"/>
      </w:pPr>
      <w:r>
        <w:t xml:space="preserve">The Product Carbon Footprint for \'nsxsdtrilz\' is calculated to be</w:t>
      </w:r>
      <w:r>
        <w:t xml:space="preserve"> </w:t>
      </w:r>
      <w:r>
        <w:rPr>
          <w:bCs/>
          <w:b/>
        </w:rPr>
        <w:t xml:space="preserve">15.75 kgCO2e per unit</w:t>
      </w:r>
      <w:r>
        <w:t xml:space="preserve">. This analysis, conducted under the stringent guidelines of the GHG Protocol and incorporating 2026 updates, reveals that the use phase and material acquisition are the most impactful stages. \'smtofrsmwp\' and \'orvnkglhnt\' are committed to utilizing these insights to drive targeted emission reduction strategies, enhance product sustainability, and contribute to a lower-carbon economy. The comprehensive Scope 3 coverage underscores \'smtofrsmwp\'s\' commitment to transparent and holistic environmental reporting.</w:t>
      </w:r>
    </w:p>
    <w:bookmarkEnd w:id="46"/>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nsxsdtrilz</dc:title>
  <dc:creator/>
  <dc:description>Detailed Product Carbon Footprint (PCF) analysis for nsxsdtrilz, conducted by orvnkglhnt for smtofrsmwp, adhering to GHG Protocol standards and 2026 LSR updates.</dc:description>
  <dc:language>en</dc:language>
  <cp:keywords/>
  <dcterms:created xsi:type="dcterms:W3CDTF">2026-05-30T16:49:14Z</dcterms:created>
  <dcterms:modified xsi:type="dcterms:W3CDTF">2026-05-30T16:49:14Z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