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Analysis</w:t>
      </w:r>
      <w:r>
        <w:t xml:space="preserve"> </w:t>
      </w:r>
      <w:r>
        <w:t xml:space="preserve">for</w:t>
      </w:r>
      <w:r>
        <w:t xml:space="preserve"> </w:t>
      </w:r>
      <w:r>
        <w:t xml:space="preserve">nplpkyzetx</w:t>
      </w:r>
    </w:p>
    <w:p>
      <w:pPr>
        <w:pStyle w:val="FirstParagraph"/>
      </w:pPr>
      <w:r>
        <w:rPr>
          <w:bCs/>
          <w:b/>
        </w:rPr>
        <w:t xml:space="preserve">carboncalcpcf.com</w:t>
      </w:r>
    </w:p>
    <w:bookmarkStart w:id="20" w:name="product-carbon-footprint-analysis"/>
    <w:p>
      <w:pPr>
        <w:pStyle w:val="Heading1"/>
      </w:pPr>
      <w:r>
        <w:t xml:space="preserve">Product Carbon Footprint Analysis</w:t>
      </w:r>
    </w:p>
    <w:p>
      <w:pPr>
        <w:pStyle w:val="FirstParagraph"/>
      </w:pPr>
      <w:r>
        <w:rPr>
          <w:bCs/>
          <w:b/>
        </w:rPr>
        <w:t xml:space="preserve">Product:</w:t>
      </w:r>
      <w:r>
        <w:t xml:space="preserve"> </w:t>
      </w:r>
      <w:r>
        <w:t xml:space="preserve">nplpkyzetx</w:t>
      </w:r>
    </w:p>
    <w:p>
      <w:pPr>
        <w:pStyle w:val="BodyText"/>
      </w:pPr>
      <w:r>
        <w:rPr>
          <w:bCs/>
          <w:b/>
        </w:rPr>
        <w:t xml:space="preserve">Company:</w:t>
      </w:r>
      <w:r>
        <w:t xml:space="preserve"> </w:t>
      </w:r>
      <w:r>
        <w:t xml:space="preserve">uehypqmplj</w:t>
      </w:r>
    </w:p>
    <w:p>
      <w:pPr>
        <w:pStyle w:val="BodyText"/>
      </w:pPr>
      <w:r>
        <w:rPr>
          <w:bCs/>
          <w:b/>
        </w:rPr>
        <w:t xml:space="preserve">Senior Sustainability Consultant:</w:t>
      </w:r>
      <w:r>
        <w:t xml:space="preserve"> </w:t>
      </w:r>
      <w:r>
        <w:t xml:space="preserve">mzkwgqlkhh</w:t>
      </w:r>
    </w:p>
    <w:p>
      <w:pPr>
        <w:pStyle w:val="BodyText"/>
      </w:pPr>
      <w:r>
        <w:rPr>
          <w:bCs/>
          <w:b/>
        </w:rPr>
        <w:t xml:space="preserve">Accounting Standard:</w:t>
      </w:r>
      <w:r>
        <w:t xml:space="preserve"> </w:t>
      </w:r>
      <w:r>
        <w:t xml:space="preserve">GHG Protocol</w:t>
      </w:r>
    </w:p>
    <w:p>
      <w:pPr>
        <w:pStyle w:val="BodyText"/>
      </w:pPr>
      <w:r>
        <w:rPr>
          <w:iCs/>
          <w:i/>
        </w:rPr>
        <w:t xml:space="preserve">Disclaimer: This report is generated based on available data and industry standards, incorporating specific parameters provided. Assumptions have been made where precise data was not available, as detailed within the report.</w:t>
      </w:r>
    </w:p>
    <w:bookmarkEnd w:id="20"/>
    <w:bookmarkStart w:id="21" w:name="X8c55bb1d195c03f8a0e65be0b344f26982cb464"/>
    <w:p>
      <w:pPr>
        <w:pStyle w:val="Heading1"/>
      </w:pPr>
      <w:r>
        <w:t xml:space="preserve">Product Carbon Footprint Analysis for nplpkyzetx</w:t>
      </w:r>
    </w:p>
    <w:p>
      <w:pPr>
        <w:pStyle w:val="FirstParagraph"/>
      </w:pPr>
      <w:r>
        <w:t xml:space="preserve">Generated Date: May 18,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\'nplpkyzetx\', manufactured by \'uehypqmplj\'. The analysis adheres to the Greenhouse Gas (GHG) Protocol standards, providing a comprehensive assessment of emissions across the product\'s lifecycle from a factory-gate perspective, with downstream elements also considered. Conducted by mzkwgqlkhh, Senior Sustainability Consultant, this study identifies key emission hotspots, quantifies the carbon footprint in CO2e, and integrates compliance with the upcoming 2026 GHG Protocol Land Sector and Removals (LSR) Standard and stringent Scope 3 coverage requirements.</w:t>
      </w:r>
    </w:p>
    <w:bookmarkEnd w:id="22"/>
    <w:p>
      <w:r>
        <w:pict>
          <v:rect style="width:0;height:1.5pt" o:hralign="center" o:hrstd="t" o:hr="t"/>
        </w:pict>
      </w:r>
    </w:p>
    <w:bookmarkStart w:id="31" w:name="methodology-and-scope-definition"/>
    <w:p>
      <w:pPr>
        <w:pStyle w:val="Heading2"/>
      </w:pPr>
      <w:r>
        <w:t xml:space="preserve">1. Methodology and Scope Definition</w:t>
      </w:r>
    </w:p>
    <w:bookmarkStart w:id="23" w:name="accounting-standard"/>
    <w:p>
      <w:pPr>
        <w:pStyle w:val="Heading3"/>
      </w:pPr>
      <w:r>
        <w:t xml:space="preserve">1.1. Accounting Standard</w:t>
      </w:r>
    </w:p>
    <w:p>
      <w:pPr>
        <w:pStyle w:val="FirstParagraph"/>
      </w:pPr>
      <w:r>
        <w:t xml:space="preserve">This Product Carbon Footprint analysis is conducted in accordance with the Greenhouse Gas (GHG) Protocol, specifically referencing the Product Standard and aligning with the Corporate Standard for categorization into Scope 1, Scope 2, and Scope 3 emissions. The GHG Protocol is the most widely used international accounting tool for quantifying greenhouse gas emissions.</w:t>
      </w:r>
    </w:p>
    <w:bookmarkEnd w:id="23"/>
    <w:bookmarkStart w:id="24" w:name="functional-unit"/>
    <w:p>
      <w:pPr>
        <w:pStyle w:val="Heading3"/>
      </w:pPr>
      <w:r>
        <w:t xml:space="preserve">1.2. Functional Unit</w:t>
      </w:r>
    </w:p>
    <w:p>
      <w:pPr>
        <w:pStyle w:val="FirstParagraph"/>
      </w:pPr>
      <w:r>
        <w:t xml:space="preserve">The functional unit for this analysis is defined as:</w:t>
      </w:r>
      <w:r>
        <w:t xml:space="preserve"> </w:t>
      </w:r>
      <w:r>
        <w:rPr>
          <w:bCs/>
          <w:b/>
        </w:rPr>
        <w:t xml:space="preserve">1.0 unit of nplpkyzetx</w:t>
      </w:r>
      <w:r>
        <w:t xml:space="preserve">.</w:t>
      </w:r>
    </w:p>
    <w:bookmarkEnd w:id="24"/>
    <w:bookmarkStart w:id="25" w:name="system-boundary"/>
    <w:p>
      <w:pPr>
        <w:pStyle w:val="Heading3"/>
      </w:pPr>
      <w:r>
        <w:t xml:space="preserve">1.3. System Boundary</w:t>
      </w:r>
    </w:p>
    <w:p>
      <w:pPr>
        <w:pStyle w:val="FirstParagraph"/>
      </w:pPr>
      <w:r>
        <w:t xml:space="preserve">The system boundary for this PCF is \'factory_gate\', encompassing all processes from raw material acquisition, manufacturing, and assembly up to the point the finished product leaves the production facility. Additionally, key downstream elements including transportation to customer, product use phase, and end-of-life are also evaluated to provide a more holistic view of the product\'s lifecycle impact.</w:t>
      </w:r>
    </w:p>
    <w:bookmarkEnd w:id="25"/>
    <w:bookmarkStart w:id="26" w:name="geographic-scope"/>
    <w:p>
      <w:pPr>
        <w:pStyle w:val="Heading3"/>
      </w:pPr>
      <w:r>
        <w:t xml:space="preserve">1.4. Geographic Scope</w:t>
      </w:r>
    </w:p>
    <w:p>
      <w:pPr>
        <w:numPr>
          <w:ilvl w:val="0"/>
          <w:numId w:val="1001"/>
        </w:numPr>
        <w:pStyle w:val="Compact"/>
      </w:pPr>
      <w:r>
        <w:rPr>
          <w:bCs/>
          <w:b/>
        </w:rPr>
        <w:t xml:space="preserve">Final Production Country:</w:t>
      </w:r>
      <w:r>
        <w:t xml:space="preserve"> </w:t>
      </w:r>
      <w:r>
        <w:t xml:space="preserve">China</w:t>
      </w:r>
    </w:p>
    <w:p>
      <w:pPr>
        <w:numPr>
          <w:ilvl w:val="0"/>
          <w:numId w:val="1001"/>
        </w:numPr>
        <w:pStyle w:val="Compact"/>
      </w:pPr>
      <w:r>
        <w:rPr>
          <w:bCs/>
          <w:b/>
        </w:rPr>
        <w:t xml:space="preserve">Supply Chain Focus:</w:t>
      </w:r>
      <w:r>
        <w:t xml:space="preserve"> </w:t>
      </w:r>
      <w:r>
        <w:t xml:space="preserve">Europe Focused (for upstream transport and use phase assumptions)</w:t>
      </w:r>
    </w:p>
    <w:bookmarkEnd w:id="26"/>
    <w:bookmarkStart w:id="27" w:name="allocation"/>
    <w:p>
      <w:pPr>
        <w:pStyle w:val="Heading3"/>
      </w:pPr>
      <w:r>
        <w:t xml:space="preserve">1.5. Allocation</w:t>
      </w:r>
    </w:p>
    <w:p>
      <w:pPr>
        <w:pStyle w:val="FirstParagraph"/>
      </w:pPr>
      <w:r>
        <w:t xml:space="preserve">Emissions are allocated directly to the functional unit (1.0 unit of nplpkyzetx). Where shared processes or infrastructure are involved (e.g., transport), allocation is based on mass-distance where appropriate, or direct energy consumption.</w:t>
      </w:r>
    </w:p>
    <w:bookmarkEnd w:id="27"/>
    <w:bookmarkStart w:id="28" w:name="ghg-protocol-scopes-categorization"/>
    <w:p>
      <w:pPr>
        <w:pStyle w:val="Heading3"/>
      </w:pPr>
      <w:r>
        <w:t xml:space="preserve">1.6. GHG Protocol Scopes Categorization</w:t>
      </w:r>
    </w:p>
    <w:p>
      <w:pPr>
        <w:pStyle w:val="FirstParagraph"/>
      </w:pPr>
      <w:r>
        <w:t xml:space="preserve">Emissions are categorized as per the GHG Protocol:</w:t>
      </w:r>
    </w:p>
    <w:p>
      <w:pPr>
        <w:numPr>
          <w:ilvl w:val="0"/>
          <w:numId w:val="1002"/>
        </w:numPr>
        <w:pStyle w:val="Compact"/>
      </w:pPr>
      <w:r>
        <w:rPr>
          <w:bCs/>
          <w:b/>
        </w:rPr>
        <w:t xml:space="preserve">Scope 1 (Direct Emissions):</w:t>
      </w:r>
      <w:r>
        <w:t xml:space="preserve"> </w:t>
      </w:r>
      <w:r>
        <w:t xml:space="preserve">Direct GHG emissions from sources owned or controlled by uehypqmplj. For this product-level report, direct process emissions related to production are assumed to be embedded in material production (Scope 3) or covered by purchased electricity (Scope 2) if no direct fuel combustion at the reporting entity\'s owned/controlled production facility is explicitly identified for the product\'s manufacturing.</w:t>
      </w:r>
    </w:p>
    <w:p>
      <w:pPr>
        <w:numPr>
          <w:ilvl w:val="0"/>
          <w:numId w:val="1002"/>
        </w:numPr>
        <w:pStyle w:val="Compact"/>
      </w:pPr>
      <w:r>
        <w:rPr>
          <w:bCs/>
          <w:b/>
        </w:rPr>
        <w:t xml:space="preserve">Scope 2 (Energy Indirect Emissions):</w:t>
      </w:r>
      <w:r>
        <w:t xml:space="preserve"> </w:t>
      </w:r>
      <w:r>
        <w:t xml:space="preserve">Indirect GHG emissions from the generation of purchased electricity, heat, or steam consumed by uehypqmplj for the product\'s manufacturing.</w:t>
      </w:r>
    </w:p>
    <w:p>
      <w:pPr>
        <w:numPr>
          <w:ilvl w:val="0"/>
          <w:numId w:val="1002"/>
        </w:numPr>
        <w:pStyle w:val="Compact"/>
      </w:pPr>
      <w:r>
        <w:rPr>
          <w:bCs/>
          <w:b/>
        </w:rPr>
        <w:t xml:space="preserve">Scope 3 (Other Indirect Emissions / Value Chain Emissions):</w:t>
      </w:r>
      <w:r>
        <w:t xml:space="preserve"> </w:t>
      </w:r>
      <w:r>
        <w:t xml:space="preserve">All other indirect emissions that occur in the value chain of uehypqmplj, both upstream and downstream, not included in Scope 2. This includes purchased materials, transport, use of sold products, and end-of-life treatment.</w:t>
      </w:r>
    </w:p>
    <w:bookmarkEnd w:id="28"/>
    <w:bookmarkStart w:id="29" w:name="X504f4a86e01fdcfa46a4589bb1b5e0cfaad8629"/>
    <w:p>
      <w:pPr>
        <w:pStyle w:val="Heading3"/>
      </w:pPr>
      <w:r>
        <w:t xml:space="preserve">1.7. 2026 Land Sector and Removals (LSR) Standard Update</w:t>
      </w:r>
    </w:p>
    <w:p>
      <w:pPr>
        <w:pStyle w:val="FirstParagraph"/>
      </w:pPr>
      <w:r>
        <w:t xml:space="preserve">The GHG Protocol\'s Land Sector and Removals (LSR) Standard, released on January 30, 2026, provides comprehensive accounting requirements and guidance for land-related emissions and CO2 removals, including technological removals. While the specific product nplpkyzetx does not explicitly detail biogenic materials or direct land-use change in its Bill of Materials, uehypqmplj acknowledges the importance of this standard for holistic GHG accounting, especially for value chains involving agriculture, forestry, or bioenergy, which may become relevant for broader corporate inventories. The LSR Standard takes effect on January 1, 2027.</w:t>
      </w:r>
    </w:p>
    <w:bookmarkEnd w:id="29"/>
    <w:bookmarkStart w:id="30" w:name="scope-3-compliance-95-coverage"/>
    <w:p>
      <w:pPr>
        <w:pStyle w:val="Heading3"/>
      </w:pPr>
      <w:r>
        <w:t xml:space="preserve">1.8. Scope 3 Compliance (95% Coverage)</w:t>
      </w:r>
    </w:p>
    <w:p>
      <w:pPr>
        <w:pStyle w:val="FirstParagraph"/>
      </w:pPr>
      <w:r>
        <w:t xml:space="preserve">In line with the 2026 GHG Protocol requirements, this analysis aims for at least 95% coverage of total required Scope 3 emissions. All available data points (materials, transport, use phase, end-of-life) are included to ensure comprehensive reporting, and any assumptions or data gaps are explicitly stated. The proposed changes emphasize the disaggregation of data by source type (primary vs. secondary) and setting data quality improvement targets.</w:t>
      </w:r>
    </w:p>
    <w:bookmarkEnd w:id="30"/>
    <w:bookmarkEnd w:id="31"/>
    <w:p>
      <w:r>
        <w:pict>
          <v:rect style="width:0;height:1.5pt" o:hralign="center" o:hrstd="t" o:hr="t"/>
        </w:pict>
      </w:r>
    </w:p>
    <w:bookmarkStart w:id="37" w:name="X939a47aef72a4a28c08ea406bdad185696e1f66"/>
    <w:p>
      <w:pPr>
        <w:pStyle w:val="Heading2"/>
      </w:pPr>
      <w:r>
        <w:t xml:space="preserve">2. Lifecycle Inventory (LCI) and Data Collection</w:t>
      </w:r>
    </w:p>
    <w:p>
      <w:pPr>
        <w:pStyle w:val="FirstParagraph"/>
      </w:pPr>
      <w:r>
        <w:t xml:space="preserve">This section details the inputs, processes, and outputs across the lifecycle of nplpkyzetx, including a breakdown of materials, energy, and logistics.</w:t>
      </w:r>
    </w:p>
    <w:bookmarkStart w:id="32" w:name="X482fc617d1af98dd44983f6029ca9c8c088280f"/>
    <w:p>
      <w:pPr>
        <w:pStyle w:val="Heading3"/>
      </w:pPr>
      <w:r>
        <w:t xml:space="preserve">2.1. Materials (Scope 3, Category 1: Purchased Goods and Services)</w:t>
      </w:r>
    </w:p>
    <w:p>
      <w:pPr>
        <w:pStyle w:val="FirstParagraph"/>
      </w:pPr>
      <w:r>
        <w:t xml:space="preserve">The detailed Bill of Materials (BOM) provides specific quantities and pre-calculated total carbon for each component, ensuring high accuracy for material impact assessment. The \'Total Carbon\' values are used directly as provided.</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ID1</w:t>
            </w:r>
          </w:p>
        </w:tc>
        <w:tc>
          <w:tcPr/>
          <w:p>
            <w:pPr>
              <w:pStyle w:val="Compact"/>
              <w:jc w:val="left"/>
            </w:pPr>
            <w:r>
              <w:t xml:space="preserve">Aluminium</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12.0</w:t>
            </w:r>
          </w:p>
        </w:tc>
        <w:tc>
          <w:tcPr/>
          <w:p>
            <w:pPr>
              <w:pStyle w:val="Compact"/>
              <w:jc w:val="left"/>
            </w:pPr>
            <w:r>
              <w:t xml:space="preserve">6.0</w:t>
            </w:r>
          </w:p>
        </w:tc>
      </w:tr>
      <w:tr>
        <w:tc>
          <w:tcPr/>
          <w:p>
            <w:pPr>
              <w:pStyle w:val="Compact"/>
              <w:jc w:val="left"/>
            </w:pPr>
            <w:r>
              <w:t xml:space="preserve">ID2</w:t>
            </w:r>
          </w:p>
        </w:tc>
        <w:tc>
          <w:tcPr/>
          <w:p>
            <w:pPr>
              <w:pStyle w:val="Compact"/>
              <w:jc w:val="left"/>
            </w:pPr>
            <w:r>
              <w:t xml:space="preserve">ABS Plastic</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3.5</w:t>
            </w:r>
          </w:p>
        </w:tc>
        <w:tc>
          <w:tcPr/>
          <w:p>
            <w:pPr>
              <w:pStyle w:val="Compact"/>
              <w:jc w:val="left"/>
            </w:pPr>
            <w:r>
              <w:t xml:space="preserve">0.7</w:t>
            </w:r>
          </w:p>
        </w:tc>
      </w:tr>
      <w:tr>
        <w:tc>
          <w:tcPr/>
          <w:p>
            <w:pPr>
              <w:pStyle w:val="Compact"/>
              <w:jc w:val="left"/>
            </w:pPr>
            <w:r>
              <w:t xml:space="preserve">ID3</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4.0</w:t>
            </w:r>
          </w:p>
        </w:tc>
        <w:tc>
          <w:tcPr/>
          <w:p>
            <w:pPr>
              <w:pStyle w:val="Compact"/>
              <w:jc w:val="left"/>
            </w:pPr>
            <w:r>
              <w:t xml:space="preserve">0.4</w:t>
            </w:r>
          </w:p>
        </w:tc>
      </w:tr>
      <w:tr>
        <w:tc>
          <w:tcPr/>
          <w:p>
            <w:pPr>
              <w:pStyle w:val="Compact"/>
              <w:jc w:val="left"/>
            </w:pPr>
            <w:r>
              <w:t xml:space="preserve">ID4</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unit</w:t>
            </w:r>
          </w:p>
        </w:tc>
        <w:tc>
          <w:tcPr/>
          <w:p>
            <w:pPr>
              <w:pStyle w:val="Compact"/>
              <w:jc w:val="left"/>
            </w:pPr>
            <w:r>
              <w:t xml:space="preserve">20.0</w:t>
            </w:r>
          </w:p>
        </w:tc>
        <w:tc>
          <w:tcPr/>
          <w:p>
            <w:pPr>
              <w:pStyle w:val="Compact"/>
              <w:jc w:val="left"/>
            </w:pPr>
            <w:r>
              <w:t xml:space="preserve">1.0</w:t>
            </w:r>
          </w:p>
        </w:tc>
      </w:tr>
      <w:tr>
        <w:tc>
          <w:tcPr/>
          <w:p>
            <w:pPr>
              <w:pStyle w:val="Compact"/>
              <w:jc w:val="left"/>
            </w:pPr>
            <w:r>
              <w:t xml:space="preserve">ID5</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Converting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1.0</w:t>
            </w:r>
          </w:p>
        </w:tc>
        <w:tc>
          <w:tcPr/>
          <w:p>
            <w:pPr>
              <w:pStyle w:val="Compact"/>
              <w:jc w:val="left"/>
            </w:pPr>
            <w:r>
              <w:t xml:space="preserve">0.3</w:t>
            </w:r>
          </w:p>
        </w:tc>
      </w:tr>
      <w:tr>
        <w:tc>
          <w:tcPr>
            <w:gridSpan w:val="7"/>
          </w:tcPr>
          <w:p>
            <w:pPr>
              <w:pStyle w:val="Compact"/>
              <w:jc w:val="left"/>
            </w:pPr>
            <w:r>
              <w:rPr>
                <w:bCs/>
                <w:b/>
              </w:rPr>
              <w:t xml:space="preserve">Total Material Emissions</w:t>
            </w:r>
          </w:p>
        </w:tc>
        <w:tc>
          <w:tcPr/>
          <w:p>
            <w:pPr>
              <w:pStyle w:val="Compact"/>
              <w:jc w:val="left"/>
            </w:pPr>
            <w:r>
              <w:rPr>
                <w:bCs/>
                <w:b/>
              </w:rPr>
              <w:t xml:space="preserve">8.4</w:t>
            </w:r>
          </w:p>
        </w:tc>
      </w:tr>
    </w:tbl>
    <w:bookmarkEnd w:id="32"/>
    <w:bookmarkStart w:id="33" w:name="X6bafed1fd0385422539198727882724710b0390"/>
    <w:p>
      <w:pPr>
        <w:pStyle w:val="Heading3"/>
      </w:pPr>
      <w:r>
        <w:t xml:space="preserve">2.2. Production Energy (Scope 2: Purchased Electricity)</w:t>
      </w:r>
    </w:p>
    <w:p>
      <w:pPr>
        <w:numPr>
          <w:ilvl w:val="0"/>
          <w:numId w:val="1003"/>
        </w:numPr>
        <w:pStyle w:val="Compact"/>
      </w:pPr>
      <w:r>
        <w:rPr>
          <w:bCs/>
          <w:b/>
        </w:rPr>
        <w:t xml:space="preserve">Energy Intensity (kWh/unit):</w:t>
      </w:r>
      <w:r>
        <w:t xml:space="preserve"> </w:t>
      </w:r>
      <w:r>
        <w:t xml:space="preserve">mnpxfdwghp = 5 kWh/unit</w:t>
      </w:r>
    </w:p>
    <w:p>
      <w:pPr>
        <w:numPr>
          <w:ilvl w:val="0"/>
          <w:numId w:val="1003"/>
        </w:numPr>
        <w:pStyle w:val="Compact"/>
      </w:pPr>
      <w:r>
        <w:rPr>
          <w:bCs/>
          <w:b/>
        </w:rPr>
        <w:t xml:space="preserve">Renewable Energy Usage:</w:t>
      </w:r>
      <w:r>
        <w:t xml:space="preserve"> </w:t>
      </w:r>
      <w:r>
        <w:t xml:space="preserve">iyxqqrgthg = 70%</w:t>
      </w:r>
    </w:p>
    <w:p>
      <w:pPr>
        <w:numPr>
          <w:ilvl w:val="0"/>
          <w:numId w:val="1003"/>
        </w:numPr>
        <w:pStyle w:val="Compact"/>
      </w:pPr>
      <w:r>
        <w:rPr>
          <w:bCs/>
          <w:b/>
        </w:rPr>
        <w:t xml:space="preserve">Geographic Scope for Production:</w:t>
      </w:r>
      <w:r>
        <w:t xml:space="preserve"> </w:t>
      </w:r>
      <w:r>
        <w:t xml:space="preserve">China</w:t>
      </w:r>
    </w:p>
    <w:p>
      <w:pPr>
        <w:numPr>
          <w:ilvl w:val="0"/>
          <w:numId w:val="1003"/>
        </w:numPr>
        <w:pStyle w:val="Compact"/>
      </w:pPr>
      <w:r>
        <w:rPr>
          <w:bCs/>
          <w:b/>
        </w:rPr>
        <w:t xml:space="preserve">Assumed China Grid Emission Factor (non-renewable electricity):</w:t>
      </w:r>
      <w:r>
        <w:t xml:space="preserve"> </w:t>
      </w:r>
      <w:r>
        <w:t xml:space="preserve">0.60 kgCO2e/kWh (approximation based on recent data from MEE and national averages)</w:t>
      </w:r>
    </w:p>
    <w:bookmarkEnd w:id="33"/>
    <w:bookmarkStart w:id="34" w:name="X3a28b2dc23aed2df2afeadc96e71ee6ad5413d4"/>
    <w:p>
      <w:pPr>
        <w:pStyle w:val="Heading3"/>
      </w:pPr>
      <w:r>
        <w:t xml:space="preserve">2.3. Transport (Scope 3, Category 4 &amp; 9: Transportation and Distribution)</w:t>
      </w:r>
    </w:p>
    <w:p>
      <w:pPr>
        <w:numPr>
          <w:ilvl w:val="0"/>
          <w:numId w:val="1004"/>
        </w:numPr>
        <w:pStyle w:val="Compact"/>
      </w:pPr>
      <w:r>
        <w:rPr>
          <w:bCs/>
          <w:b/>
        </w:rPr>
        <w:t xml:space="preserve">Product Weight for Transport (Assumed):</w:t>
      </w:r>
      <w:r>
        <w:t xml:space="preserve"> </w:t>
      </w:r>
      <w:r>
        <w:t xml:space="preserve">1 kg/unit (for tkm calculation)</w:t>
      </w:r>
    </w:p>
    <w:p>
      <w:pPr>
        <w:numPr>
          <w:ilvl w:val="0"/>
          <w:numId w:val="1004"/>
        </w:numPr>
        <w:pStyle w:val="Compact"/>
      </w:pPr>
      <w:r>
        <w:rPr>
          <w:bCs/>
          <w:b/>
        </w:rPr>
        <w:t xml:space="preserve">Main Transport (Upstream):</w:t>
      </w:r>
    </w:p>
    <w:p>
      <w:pPr>
        <w:numPr>
          <w:ilvl w:val="1"/>
          <w:numId w:val="1005"/>
        </w:numPr>
        <w:pStyle w:val="Compact"/>
      </w:pPr>
      <w:r>
        <w:rPr>
          <w:bCs/>
          <w:b/>
        </w:rPr>
        <w:t xml:space="preserve">Mode:</w:t>
      </w:r>
      <w:r>
        <w:t xml:space="preserve"> </w:t>
      </w:r>
      <w:r>
        <w:t xml:space="preserve">Select Mode (Assumed: Road freight - Heavy Goods Vehicle)</w:t>
      </w:r>
    </w:p>
    <w:p>
      <w:pPr>
        <w:numPr>
          <w:ilvl w:val="1"/>
          <w:numId w:val="1005"/>
        </w:numPr>
        <w:pStyle w:val="Compact"/>
      </w:pPr>
      <w:r>
        <w:rPr>
          <w:bCs/>
          <w:b/>
        </w:rPr>
        <w:t xml:space="preserve">Distance:</w:t>
      </w:r>
      <w:r>
        <w:t xml:space="preserve"> </w:t>
      </w:r>
      <w:r>
        <w:t xml:space="preserve">sdyoweylyj (Assumed: 1500 km)</w:t>
      </w:r>
    </w:p>
    <w:p>
      <w:pPr>
        <w:numPr>
          <w:ilvl w:val="1"/>
          <w:numId w:val="1005"/>
        </w:numPr>
        <w:pStyle w:val="Compact"/>
      </w:pPr>
      <w:r>
        <w:rPr>
          <w:bCs/>
          <w:b/>
        </w:rPr>
        <w:t xml:space="preserve">Emission Factor (Road Freight):</w:t>
      </w:r>
      <w:r>
        <w:t xml:space="preserve"> </w:t>
      </w:r>
      <w:r>
        <w:t xml:space="preserve">0.12 kgCO2e/tkm (industry average for heavy goods vehicles)</w:t>
      </w:r>
    </w:p>
    <w:p>
      <w:pPr>
        <w:numPr>
          <w:ilvl w:val="0"/>
          <w:numId w:val="1004"/>
        </w:numPr>
        <w:pStyle w:val="Compact"/>
      </w:pPr>
      <w:r>
        <w:rPr>
          <w:bCs/>
          <w:b/>
        </w:rPr>
        <w:t xml:space="preserve">Last-Mile Delivery (Downstream):</w:t>
      </w:r>
    </w:p>
    <w:p>
      <w:pPr>
        <w:numPr>
          <w:ilvl w:val="1"/>
          <w:numId w:val="1006"/>
        </w:numPr>
        <w:pStyle w:val="Compact"/>
      </w:pPr>
      <w:r>
        <w:rPr>
          <w:bCs/>
          <w:b/>
        </w:rPr>
        <w:t xml:space="preserve">Channel:</w:t>
      </w:r>
      <w:r>
        <w:t xml:space="preserve"> </w:t>
      </w:r>
      <w:r>
        <w:t xml:space="preserve">Delivery Type (Assumed: Parcel Delivery Van)</w:t>
      </w:r>
    </w:p>
    <w:p>
      <w:pPr>
        <w:numPr>
          <w:ilvl w:val="1"/>
          <w:numId w:val="1006"/>
        </w:numPr>
        <w:pStyle w:val="Compact"/>
      </w:pPr>
      <w:r>
        <w:rPr>
          <w:bCs/>
          <w:b/>
        </w:rPr>
        <w:t xml:space="preserve">Distance (Assumed):</w:t>
      </w:r>
      <w:r>
        <w:t xml:space="preserve"> </w:t>
      </w:r>
      <w:r>
        <w:t xml:space="preserve">50 km</w:t>
      </w:r>
    </w:p>
    <w:p>
      <w:pPr>
        <w:numPr>
          <w:ilvl w:val="1"/>
          <w:numId w:val="1006"/>
        </w:numPr>
        <w:pStyle w:val="Compact"/>
      </w:pPr>
      <w:r>
        <w:rPr>
          <w:bCs/>
          <w:b/>
        </w:rPr>
        <w:t xml:space="preserve">Emission Factor (Parcel Delivery Van):</w:t>
      </w:r>
      <w:r>
        <w:t xml:space="preserve"> </w:t>
      </w:r>
      <w:r>
        <w:t xml:space="preserve">0.25 kgCO2e/km (industry average for light commercial vehicles)</w:t>
      </w:r>
    </w:p>
    <w:bookmarkEnd w:id="34"/>
    <w:bookmarkStart w:id="35" w:name="Xc8d47610e025d3b1fe367d676386ecee874efa3"/>
    <w:p>
      <w:pPr>
        <w:pStyle w:val="Heading3"/>
      </w:pPr>
      <w:r>
        <w:t xml:space="preserve">2.4. Use Phase (Scope 3, Category 11: Use of Sold Products)</w:t>
      </w:r>
    </w:p>
    <w:p>
      <w:pPr>
        <w:numPr>
          <w:ilvl w:val="0"/>
          <w:numId w:val="1007"/>
        </w:numPr>
        <w:pStyle w:val="Compact"/>
      </w:pPr>
      <w:r>
        <w:rPr>
          <w:bCs/>
          <w:b/>
        </w:rPr>
        <w:t xml:space="preserve">Product Lifespan:</w:t>
      </w:r>
      <w:r>
        <w:t xml:space="preserve"> </w:t>
      </w:r>
      <w:r>
        <w:t xml:space="preserve">uemllxqpvl = 5 years</w:t>
      </w:r>
    </w:p>
    <w:p>
      <w:pPr>
        <w:numPr>
          <w:ilvl w:val="0"/>
          <w:numId w:val="1007"/>
        </w:numPr>
        <w:pStyle w:val="Compact"/>
      </w:pPr>
      <w:r>
        <w:rPr>
          <w:bCs/>
          <w:b/>
        </w:rPr>
        <w:t xml:space="preserve">Energy Consumption in Use:</w:t>
      </w:r>
      <w:r>
        <w:t xml:space="preserve"> </w:t>
      </w:r>
      <w:r>
        <w:t xml:space="preserve">piylnhoepk = 10 kWh/year</w:t>
      </w:r>
    </w:p>
    <w:p>
      <w:pPr>
        <w:numPr>
          <w:ilvl w:val="0"/>
          <w:numId w:val="1007"/>
        </w:numPr>
        <w:pStyle w:val="Compact"/>
      </w:pPr>
      <w:r>
        <w:rPr>
          <w:bCs/>
          <w:b/>
        </w:rPr>
        <w:t xml:space="preserve">Geographic Scope for Use Phase (Assumed):</w:t>
      </w:r>
      <w:r>
        <w:t xml:space="preserve"> </w:t>
      </w:r>
      <w:r>
        <w:t xml:space="preserve">Europe (due to "Supply Chain Focus: Europe Focused")</w:t>
      </w:r>
    </w:p>
    <w:p>
      <w:pPr>
        <w:numPr>
          <w:ilvl w:val="0"/>
          <w:numId w:val="1007"/>
        </w:numPr>
        <w:pStyle w:val="Compact"/>
      </w:pPr>
      <w:r>
        <w:rPr>
          <w:bCs/>
          <w:b/>
        </w:rPr>
        <w:t xml:space="preserve">Assumed Europe Grid Emission Factor:</w:t>
      </w:r>
      <w:r>
        <w:t xml:space="preserve"> </w:t>
      </w:r>
      <w:r>
        <w:t xml:space="preserve">0.28 kgCO2e/kWh (approximation based on EU average data)</w:t>
      </w:r>
    </w:p>
    <w:bookmarkEnd w:id="35"/>
    <w:bookmarkStart w:id="36" w:name="X22f9dae0edae5a4ebf0dcf5b8ca74de2c6ea5a4"/>
    <w:p>
      <w:pPr>
        <w:pStyle w:val="Heading3"/>
      </w:pPr>
      <w:r>
        <w:t xml:space="preserve">2.5. End-of-Life (EoL) Scenarios (Scope 3, Category 12: End-of-Life Treatment of Sold Products)</w:t>
      </w:r>
    </w:p>
    <w:p>
      <w:pPr>
        <w:numPr>
          <w:ilvl w:val="0"/>
          <w:numId w:val="1008"/>
        </w:numPr>
        <w:pStyle w:val="Compact"/>
      </w:pPr>
      <w:r>
        <w:rPr>
          <w:bCs/>
          <w:b/>
        </w:rPr>
        <w:t xml:space="preserve">Recyclability Percentage:</w:t>
      </w:r>
      <w:r>
        <w:t xml:space="preserve"> </w:t>
      </w:r>
      <w:r>
        <w:t xml:space="preserve">qnhkrkmxwi = 80%</w:t>
      </w:r>
    </w:p>
    <w:p>
      <w:pPr>
        <w:numPr>
          <w:ilvl w:val="0"/>
          <w:numId w:val="1008"/>
        </w:numPr>
        <w:pStyle w:val="Compact"/>
      </w:pPr>
      <w:r>
        <w:rPr>
          <w:bCs/>
          <w:b/>
        </w:rPr>
        <w:t xml:space="preserve">Circular/Take-back Programs:</w:t>
      </w:r>
      <w:r>
        <w:t xml:space="preserve"> </w:t>
      </w:r>
      <w:r>
        <w:t xml:space="preserve">ufxkmnzmdw = Active (This influences the high recyclability rate)</w:t>
      </w:r>
    </w:p>
    <w:p>
      <w:pPr>
        <w:numPr>
          <w:ilvl w:val="0"/>
          <w:numId w:val="1008"/>
        </w:numPr>
        <w:pStyle w:val="Compact"/>
      </w:pPr>
      <w:r>
        <w:rPr>
          <w:bCs/>
          <w:b/>
        </w:rPr>
        <w:t xml:space="preserve">Disposal Rate:</w:t>
      </w:r>
      <w:r>
        <w:t xml:space="preserve"> </w:t>
      </w:r>
      <w:r>
        <w:t xml:space="preserve">100% - 80% = 20% (assuming non-recycled portion goes to landfill)</w:t>
      </w:r>
    </w:p>
    <w:p>
      <w:pPr>
        <w:numPr>
          <w:ilvl w:val="0"/>
          <w:numId w:val="1008"/>
        </w:numPr>
        <w:pStyle w:val="Compact"/>
      </w:pPr>
      <w:r>
        <w:rPr>
          <w:bCs/>
          <w:b/>
        </w:rPr>
        <w:t xml:space="preserve">Assumed Landfill Emission Factor:</w:t>
      </w:r>
      <w:r>
        <w:t xml:space="preserve"> </w:t>
      </w:r>
      <w:r>
        <w:t xml:space="preserve">0.05 kgCO2e/kg (generic for mixed waste, for the 20% non-recycled portion)</w:t>
      </w:r>
    </w:p>
    <w:p>
      <w:pPr>
        <w:numPr>
          <w:ilvl w:val="0"/>
          <w:numId w:val="1008"/>
        </w:numPr>
        <w:pStyle w:val="Compact"/>
      </w:pPr>
      <w:r>
        <w:rPr>
          <w:bCs/>
          <w:b/>
        </w:rPr>
        <w:t xml:space="preserve">Recycling Benefit:</w:t>
      </w:r>
      <w:r>
        <w:t xml:space="preserve"> </w:t>
      </w:r>
      <w:r>
        <w:t xml:space="preserve">For the 80% recycled portion, a credit representing avoided virgin material production emissions is often applied. For simplicity in this report, we will calculate the emissions from the non-recycled portion and acknowledge the benefit of active circular programs.</w:t>
      </w:r>
    </w:p>
    <w:bookmarkEnd w:id="36"/>
    <w:bookmarkEnd w:id="37"/>
    <w:p>
      <w:r>
        <w:pict>
          <v:rect style="width:0;height:1.5pt" o:hralign="center" o:hrstd="t" o:hr="t"/>
        </w:pict>
      </w:r>
    </w:p>
    <w:bookmarkStart w:id="47" w:name="X2c62247db19834934c44c209ad423fe06ba5c64"/>
    <w:p>
      <w:pPr>
        <w:pStyle w:val="Heading2"/>
      </w:pPr>
      <w:r>
        <w:t xml:space="preserve">3. Calculation of Emissions (Activity * Emission Factor = CO2e)</w:t>
      </w:r>
    </w:p>
    <w:p>
      <w:pPr>
        <w:pStyle w:val="FirstParagraph"/>
      </w:pPr>
      <w:r>
        <w:t xml:space="preserve">Emissions are quantified for each lifecycle stage based on collected data and industry-standard emission factors from sources like Ecoinvent/DEFRA (used as a basis for general averages where specific external factors are not provided). All calculations are presented in kgCO2e per functional unit (1.0 unit of nplpkyzetx).</w:t>
      </w:r>
    </w:p>
    <w:bookmarkStart w:id="38" w:name="X4680f8afc8240cbfeeb10b5c91f6293ef30cb5f"/>
    <w:p>
      <w:pPr>
        <w:pStyle w:val="Heading3"/>
      </w:pPr>
      <w:r>
        <w:t xml:space="preserve">3.1. Materials Acquisition &amp; Pre-processing (Scope 3, Category 1)</w:t>
      </w:r>
    </w:p>
    <w:p>
      <w:pPr>
        <w:pStyle w:val="FirstParagraph"/>
      </w:pPr>
      <w:r>
        <w:t xml:space="preserve">As per the BOM, the total emissions from purchased materials are already provided as "Total Carbon".</w:t>
      </w:r>
    </w:p>
    <w:p>
      <w:pPr>
        <w:numPr>
          <w:ilvl w:val="0"/>
          <w:numId w:val="1009"/>
        </w:numPr>
        <w:pStyle w:val="Compact"/>
      </w:pPr>
      <w:r>
        <w:rPr>
          <w:bCs/>
          <w:b/>
        </w:rPr>
        <w:t xml:space="preserve">Total Material Emissions:</w:t>
      </w:r>
      <w:r>
        <w:t xml:space="preserve"> </w:t>
      </w:r>
      <w:r>
        <w:t xml:space="preserve">8.4 kgCO2e</w:t>
      </w:r>
    </w:p>
    <w:bookmarkEnd w:id="38"/>
    <w:bookmarkStart w:id="40" w:name="production-phase-factory-gate"/>
    <w:p>
      <w:pPr>
        <w:pStyle w:val="Heading3"/>
      </w:pPr>
      <w:r>
        <w:t xml:space="preserve">3.2. Production Phase (Factory-Gate)</w:t>
      </w:r>
    </w:p>
    <w:bookmarkStart w:id="39" w:name="purchased-electricity-scope-2"/>
    <w:p>
      <w:pPr>
        <w:pStyle w:val="Heading4"/>
      </w:pPr>
      <w:r>
        <w:t xml:space="preserve">3.2.1. Purchased Electricity (Scope 2)</w:t>
      </w:r>
    </w:p>
    <w:p>
      <w:pPr>
        <w:numPr>
          <w:ilvl w:val="0"/>
          <w:numId w:val="1010"/>
        </w:numPr>
        <w:pStyle w:val="Compact"/>
      </w:pPr>
      <w:r>
        <w:t xml:space="preserve">Total Energy Intensity: 5 kWh/unit</w:t>
      </w:r>
    </w:p>
    <w:p>
      <w:pPr>
        <w:numPr>
          <w:ilvl w:val="0"/>
          <w:numId w:val="1010"/>
        </w:numPr>
        <w:pStyle w:val="Compact"/>
      </w:pPr>
      <w:r>
        <w:t xml:space="preserve">Renewable Energy Usage: 70%</w:t>
      </w:r>
    </w:p>
    <w:p>
      <w:pPr>
        <w:numPr>
          <w:ilvl w:val="0"/>
          <w:numId w:val="1010"/>
        </w:numPr>
        <w:pStyle w:val="Compact"/>
      </w:pPr>
      <w:r>
        <w:t xml:space="preserve">Non-renewable electricity: 5 kWh/unit * (1 - 0.70) = 1.5 kWh/unit</w:t>
      </w:r>
    </w:p>
    <w:p>
      <w:pPr>
        <w:numPr>
          <w:ilvl w:val="0"/>
          <w:numId w:val="1010"/>
        </w:numPr>
        <w:pStyle w:val="Compact"/>
      </w:pPr>
      <w:r>
        <w:t xml:space="preserve">China Grid Emission Factor: 0.60 kgCO2e/kWh</w:t>
      </w:r>
    </w:p>
    <w:p>
      <w:pPr>
        <w:numPr>
          <w:ilvl w:val="0"/>
          <w:numId w:val="1010"/>
        </w:numPr>
        <w:pStyle w:val="Compact"/>
      </w:pPr>
      <w:r>
        <w:rPr>
          <w:bCs/>
          <w:b/>
        </w:rPr>
        <w:t xml:space="preserve">Production Electricity Emissions (Scope 2):</w:t>
      </w:r>
      <w:r>
        <w:t xml:space="preserve"> </w:t>
      </w:r>
      <w:r>
        <w:t xml:space="preserve">1.5 kWh/unit * 0.60 kgCO2e/kWh =</w:t>
      </w:r>
      <w:r>
        <w:t xml:space="preserve"> </w:t>
      </w:r>
      <w:r>
        <w:rPr>
          <w:bCs/>
          <w:b/>
        </w:rPr>
        <w:t xml:space="preserve">0.90 kgCO2e</w:t>
      </w:r>
    </w:p>
    <w:bookmarkEnd w:id="39"/>
    <w:bookmarkEnd w:id="40"/>
    <w:bookmarkStart w:id="43" w:name="transportation-and-distribution"/>
    <w:p>
      <w:pPr>
        <w:pStyle w:val="Heading3"/>
      </w:pPr>
      <w:r>
        <w:t xml:space="preserve">3.3. Transportation and Distribution</w:t>
      </w:r>
    </w:p>
    <w:bookmarkStart w:id="41" w:name="X9d5272df0938084458418fd068ffeb16c54dc65"/>
    <w:p>
      <w:pPr>
        <w:pStyle w:val="Heading4"/>
      </w:pPr>
      <w:r>
        <w:t xml:space="preserve">3.3.1. Upstream Transportation (Scope 3, Category 4)</w:t>
      </w:r>
    </w:p>
    <w:p>
      <w:pPr>
        <w:pStyle w:val="FirstParagraph"/>
      </w:pPr>
      <w:r>
        <w:t xml:space="preserve">Assuming main transport of 1500 km for a 1 kg product.</w:t>
      </w:r>
    </w:p>
    <w:p>
      <w:pPr>
        <w:numPr>
          <w:ilvl w:val="0"/>
          <w:numId w:val="1011"/>
        </w:numPr>
        <w:pStyle w:val="Compact"/>
      </w:pPr>
      <w:r>
        <w:t xml:space="preserve">Distance: 1500 km</w:t>
      </w:r>
    </w:p>
    <w:p>
      <w:pPr>
        <w:numPr>
          <w:ilvl w:val="0"/>
          <w:numId w:val="1011"/>
        </w:numPr>
        <w:pStyle w:val="Compact"/>
      </w:pPr>
      <w:r>
        <w:t xml:space="preserve">Product Weight: 1 kg</w:t>
      </w:r>
    </w:p>
    <w:p>
      <w:pPr>
        <w:numPr>
          <w:ilvl w:val="0"/>
          <w:numId w:val="1011"/>
        </w:numPr>
        <w:pStyle w:val="Compact"/>
      </w:pPr>
      <w:r>
        <w:t xml:space="preserve">Tonne-kilometers (tkm): 1 kg * 1500 km = 1500 kg.km = 1.5 tkm</w:t>
      </w:r>
    </w:p>
    <w:p>
      <w:pPr>
        <w:numPr>
          <w:ilvl w:val="0"/>
          <w:numId w:val="1011"/>
        </w:numPr>
        <w:pStyle w:val="Compact"/>
      </w:pPr>
      <w:r>
        <w:t xml:space="preserve">Emission Factor: 0.12 kgCO2e/tkm</w:t>
      </w:r>
    </w:p>
    <w:p>
      <w:pPr>
        <w:numPr>
          <w:ilvl w:val="0"/>
          <w:numId w:val="1011"/>
        </w:numPr>
        <w:pStyle w:val="Compact"/>
      </w:pPr>
      <w:r>
        <w:rPr>
          <w:bCs/>
          <w:b/>
        </w:rPr>
        <w:t xml:space="preserve">Upstream Transport Emissions (Scope 3):</w:t>
      </w:r>
      <w:r>
        <w:t xml:space="preserve"> </w:t>
      </w:r>
      <w:r>
        <w:t xml:space="preserve">1.5 tkm * 0.12 kgCO2e/tkm =</w:t>
      </w:r>
      <w:r>
        <w:t xml:space="preserve"> </w:t>
      </w:r>
      <w:r>
        <w:rPr>
          <w:bCs/>
          <w:b/>
        </w:rPr>
        <w:t xml:space="preserve">0.18 kgCO2e</w:t>
      </w:r>
    </w:p>
    <w:bookmarkEnd w:id="41"/>
    <w:bookmarkStart w:id="42" w:name="X72d9c0085821c85ab7ffedb2d38c7597c318570"/>
    <w:p>
      <w:pPr>
        <w:pStyle w:val="Heading4"/>
      </w:pPr>
      <w:r>
        <w:t xml:space="preserve">3.3.2. Downstream / Last-Mile Delivery (Scope 3, Category 9)</w:t>
      </w:r>
    </w:p>
    <w:p>
      <w:pPr>
        <w:numPr>
          <w:ilvl w:val="0"/>
          <w:numId w:val="1012"/>
        </w:numPr>
        <w:pStyle w:val="Compact"/>
      </w:pPr>
      <w:r>
        <w:t xml:space="preserve">Distance: 50 km</w:t>
      </w:r>
    </w:p>
    <w:p>
      <w:pPr>
        <w:numPr>
          <w:ilvl w:val="0"/>
          <w:numId w:val="1012"/>
        </w:numPr>
        <w:pStyle w:val="Compact"/>
      </w:pPr>
      <w:r>
        <w:t xml:space="preserve">Emission Factor (Parcel Delivery Van): 0.25 kgCO2e/km</w:t>
      </w:r>
    </w:p>
    <w:p>
      <w:pPr>
        <w:numPr>
          <w:ilvl w:val="0"/>
          <w:numId w:val="1012"/>
        </w:numPr>
        <w:pStyle w:val="Compact"/>
      </w:pPr>
      <w:r>
        <w:rPr>
          <w:bCs/>
          <w:b/>
        </w:rPr>
        <w:t xml:space="preserve">Last-Mile Delivery Emissions (Scope 3):</w:t>
      </w:r>
      <w:r>
        <w:t xml:space="preserve"> </w:t>
      </w:r>
      <w:r>
        <w:t xml:space="preserve">50 km * 0.25 kgCO2e/km =</w:t>
      </w:r>
      <w:r>
        <w:t xml:space="preserve"> </w:t>
      </w:r>
      <w:r>
        <w:rPr>
          <w:bCs/>
          <w:b/>
        </w:rPr>
        <w:t xml:space="preserve">12.50 kgCO2e</w:t>
      </w:r>
    </w:p>
    <w:bookmarkEnd w:id="42"/>
    <w:bookmarkEnd w:id="43"/>
    <w:bookmarkStart w:id="44" w:name="use-phase-scope-3-category-11"/>
    <w:p>
      <w:pPr>
        <w:pStyle w:val="Heading3"/>
      </w:pPr>
      <w:r>
        <w:t xml:space="preserve">3.4. Use Phase (Scope 3, Category 11)</w:t>
      </w:r>
    </w:p>
    <w:p>
      <w:pPr>
        <w:numPr>
          <w:ilvl w:val="0"/>
          <w:numId w:val="1013"/>
        </w:numPr>
        <w:pStyle w:val="Compact"/>
      </w:pPr>
      <w:r>
        <w:t xml:space="preserve">Product Lifespan: 5 years</w:t>
      </w:r>
    </w:p>
    <w:p>
      <w:pPr>
        <w:numPr>
          <w:ilvl w:val="0"/>
          <w:numId w:val="1013"/>
        </w:numPr>
        <w:pStyle w:val="Compact"/>
      </w:pPr>
      <w:r>
        <w:t xml:space="preserve">Energy Consumption per year: 10 kWh/year</w:t>
      </w:r>
    </w:p>
    <w:p>
      <w:pPr>
        <w:numPr>
          <w:ilvl w:val="0"/>
          <w:numId w:val="1013"/>
        </w:numPr>
        <w:pStyle w:val="Compact"/>
      </w:pPr>
      <w:r>
        <w:t xml:space="preserve">Total Energy Consumption over lifespan: 10 kWh/year * 5 years = 50 kWh</w:t>
      </w:r>
    </w:p>
    <w:p>
      <w:pPr>
        <w:numPr>
          <w:ilvl w:val="0"/>
          <w:numId w:val="1013"/>
        </w:numPr>
        <w:pStyle w:val="Compact"/>
      </w:pPr>
      <w:r>
        <w:t xml:space="preserve">Europe Grid Emission Factor: 0.28 kgCO2e/kWh</w:t>
      </w:r>
    </w:p>
    <w:p>
      <w:pPr>
        <w:numPr>
          <w:ilvl w:val="0"/>
          <w:numId w:val="1013"/>
        </w:numPr>
        <w:pStyle w:val="Compact"/>
      </w:pPr>
      <w:r>
        <w:rPr>
          <w:bCs/>
          <w:b/>
        </w:rPr>
        <w:t xml:space="preserve">Use Phase Emissions (Scope 3):</w:t>
      </w:r>
      <w:r>
        <w:t xml:space="preserve"> </w:t>
      </w:r>
      <w:r>
        <w:t xml:space="preserve">50 kWh * 0.28 kgCO2e/kWh =</w:t>
      </w:r>
      <w:r>
        <w:t xml:space="preserve"> </w:t>
      </w:r>
      <w:r>
        <w:rPr>
          <w:bCs/>
          <w:b/>
        </w:rPr>
        <w:t xml:space="preserve">14.00 kgCO2e</w:t>
      </w:r>
    </w:p>
    <w:bookmarkEnd w:id="44"/>
    <w:bookmarkStart w:id="45" w:name="end-of-life-eol-scope-3-category-12"/>
    <w:p>
      <w:pPr>
        <w:pStyle w:val="Heading3"/>
      </w:pPr>
      <w:r>
        <w:t xml:space="preserve">3.5. End-of-Life (EoL) (Scope 3, Category 12)</w:t>
      </w:r>
    </w:p>
    <w:p>
      <w:pPr>
        <w:pStyle w:val="FirstParagraph"/>
      </w:pPr>
      <w:r>
        <w:t xml:space="preserve">The total weight of the product for EoL is the sum of materials: 0.5 + 0.2 + 0.1 + 0.05 + 0.3 = 1.15 kg.</w:t>
      </w:r>
    </w:p>
    <w:p>
      <w:pPr>
        <w:numPr>
          <w:ilvl w:val="0"/>
          <w:numId w:val="1014"/>
        </w:numPr>
        <w:pStyle w:val="Compact"/>
      </w:pPr>
      <w:r>
        <w:t xml:space="preserve">Total Product Weight: 1.15 kg</w:t>
      </w:r>
    </w:p>
    <w:p>
      <w:pPr>
        <w:numPr>
          <w:ilvl w:val="0"/>
          <w:numId w:val="1014"/>
        </w:numPr>
        <w:pStyle w:val="Compact"/>
      </w:pPr>
      <w:r>
        <w:t xml:space="preserve">Recyclability Percentage: 80%</w:t>
      </w:r>
    </w:p>
    <w:p>
      <w:pPr>
        <w:numPr>
          <w:ilvl w:val="0"/>
          <w:numId w:val="1014"/>
        </w:numPr>
        <w:pStyle w:val="Compact"/>
      </w:pPr>
      <w:r>
        <w:t xml:space="preserve">Weight disposed (landfill): 1.15 kg * 0.20 = 0.23 kg</w:t>
      </w:r>
    </w:p>
    <w:p>
      <w:pPr>
        <w:numPr>
          <w:ilvl w:val="0"/>
          <w:numId w:val="1014"/>
        </w:numPr>
        <w:pStyle w:val="Compact"/>
      </w:pPr>
      <w:r>
        <w:t xml:space="preserve">Assumed Landfill Emission Factor: 0.05 kgCO2e/kg</w:t>
      </w:r>
    </w:p>
    <w:p>
      <w:pPr>
        <w:numPr>
          <w:ilvl w:val="0"/>
          <w:numId w:val="1014"/>
        </w:numPr>
        <w:pStyle w:val="Compact"/>
      </w:pPr>
      <w:r>
        <w:rPr>
          <w:bCs/>
          <w:b/>
        </w:rPr>
        <w:t xml:space="preserve">EoL Disposal Emissions (Scope 3):</w:t>
      </w:r>
      <w:r>
        <w:t xml:space="preserve"> </w:t>
      </w:r>
      <w:r>
        <w:t xml:space="preserve">0.23 kg * 0.05 kgCO2e/kg =</w:t>
      </w:r>
      <w:r>
        <w:t xml:space="preserve"> </w:t>
      </w:r>
      <w:r>
        <w:rPr>
          <w:bCs/>
          <w:b/>
        </w:rPr>
        <w:t xml:space="preserve">0.01 kgCO2e</w:t>
      </w:r>
    </w:p>
    <w:p>
      <w:pPr>
        <w:numPr>
          <w:ilvl w:val="0"/>
          <w:numId w:val="1014"/>
        </w:numPr>
        <w:pStyle w:val="Compact"/>
      </w:pPr>
      <w:r>
        <w:rPr>
          <w:bCs/>
          <w:b/>
        </w:rPr>
        <w:t xml:space="preserve">Recycling Benefit:</w:t>
      </w:r>
      <w:r>
        <w:t xml:space="preserve"> </w:t>
      </w:r>
      <w:r>
        <w:t xml:space="preserve">Active circular/take-back programs and a high recyclability percentage of 80% significantly mitigate EoL impacts. While a direct "credit" is not calculated here, the high recycling rate implies substantial avoided emissions from virgin material production, which would otherwise contribute to a higher upstream footprint.</w:t>
      </w:r>
    </w:p>
    <w:bookmarkEnd w:id="45"/>
    <w:bookmarkStart w:id="46" w:name="total-product-carbon-footprint-summary"/>
    <w:p>
      <w:pPr>
        <w:pStyle w:val="Heading3"/>
      </w:pPr>
      <w:r>
        <w:t xml:space="preserve">3.6. Total Product Carbon Footprint Summary</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(kgCO2e)</w:t>
            </w:r>
          </w:p>
        </w:tc>
      </w:tr>
      <w:tr>
        <w:tc>
          <w:tcPr/>
          <w:p>
            <w:pPr>
              <w:pStyle w:val="Compact"/>
              <w:jc w:val="left"/>
            </w:pPr>
            <w:r>
              <w:t xml:space="preserve">Materials Acquisition &amp; Pre-processing</w:t>
            </w:r>
          </w:p>
        </w:tc>
        <w:tc>
          <w:tcPr/>
          <w:p>
            <w:pPr>
              <w:pStyle w:val="Compact"/>
              <w:jc w:val="left"/>
            </w:pPr>
            <w:r>
              <w:t xml:space="preserve">Scope 3, Category 1</w:t>
            </w:r>
          </w:p>
        </w:tc>
        <w:tc>
          <w:tcPr/>
          <w:p>
            <w:pPr>
              <w:pStyle w:val="Compact"/>
              <w:jc w:val="left"/>
            </w:pPr>
            <w:r>
              <w:t xml:space="preserve">8.40</w:t>
            </w:r>
          </w:p>
        </w:tc>
      </w:tr>
      <w:tr>
        <w:tc>
          <w:tcPr/>
          <w:p>
            <w:pPr>
              <w:pStyle w:val="Compact"/>
              <w:jc w:val="left"/>
            </w:pPr>
            <w:r>
              <w:t xml:space="preserve">Production Energy (Electricity)</w:t>
            </w:r>
          </w:p>
        </w:tc>
        <w:tc>
          <w:tcPr/>
          <w:p>
            <w:pPr>
              <w:pStyle w:val="Compact"/>
              <w:jc w:val="left"/>
            </w:pPr>
            <w:r>
              <w:t xml:space="preserve">Scope 2</w:t>
            </w:r>
          </w:p>
        </w:tc>
        <w:tc>
          <w:tcPr/>
          <w:p>
            <w:pPr>
              <w:pStyle w:val="Compact"/>
              <w:jc w:val="left"/>
            </w:pPr>
            <w:r>
              <w:t xml:space="preserve">0.90</w:t>
            </w:r>
          </w:p>
        </w:tc>
      </w:tr>
      <w:tr>
        <w:tc>
          <w:tcPr/>
          <w:p>
            <w:pPr>
              <w:pStyle w:val="Compact"/>
              <w:jc w:val="left"/>
            </w:pPr>
            <w:r>
              <w:t xml:space="preserve">Upstream Transportation</w:t>
            </w:r>
          </w:p>
        </w:tc>
        <w:tc>
          <w:tcPr/>
          <w:p>
            <w:pPr>
              <w:pStyle w:val="Compact"/>
              <w:jc w:val="left"/>
            </w:pPr>
            <w:r>
              <w:t xml:space="preserve">Scope 3, Category 4</w:t>
            </w:r>
          </w:p>
        </w:tc>
        <w:tc>
          <w:tcPr/>
          <w:p>
            <w:pPr>
              <w:pStyle w:val="Compact"/>
              <w:jc w:val="left"/>
            </w:pPr>
            <w:r>
              <w:t xml:space="preserve">0.18</w:t>
            </w:r>
          </w:p>
        </w:tc>
      </w:tr>
      <w:tr>
        <w:tc>
          <w:tcPr/>
          <w:p>
            <w:pPr>
              <w:pStyle w:val="Compact"/>
              <w:jc w:val="left"/>
            </w:pPr>
            <w:r>
              <w:t xml:space="preserve">Downstream Transportation (Last-Mile)</w:t>
            </w:r>
          </w:p>
        </w:tc>
        <w:tc>
          <w:tcPr/>
          <w:p>
            <w:pPr>
              <w:pStyle w:val="Compact"/>
              <w:jc w:val="left"/>
            </w:pPr>
            <w:r>
              <w:t xml:space="preserve">Scope 3, Category 9</w:t>
            </w:r>
          </w:p>
        </w:tc>
        <w:tc>
          <w:tcPr/>
          <w:p>
            <w:pPr>
              <w:pStyle w:val="Compact"/>
              <w:jc w:val="left"/>
            </w:pPr>
            <w:r>
              <w:t xml:space="preserve">12.50</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14.00</w:t>
            </w:r>
          </w:p>
        </w:tc>
      </w:tr>
      <w:tr>
        <w:tc>
          <w:tcPr/>
          <w:p>
            <w:pPr>
              <w:pStyle w:val="Compact"/>
              <w:jc w:val="left"/>
            </w:pPr>
            <w:r>
              <w:t xml:space="preserve">End-of-Life (Disposal)</w:t>
            </w:r>
          </w:p>
        </w:tc>
        <w:tc>
          <w:tcPr/>
          <w:p>
            <w:pPr>
              <w:pStyle w:val="Compact"/>
              <w:jc w:val="left"/>
            </w:pPr>
            <w:r>
              <w:t xml:space="preserve">Scope 3, Category 12</w:t>
            </w:r>
          </w:p>
        </w:tc>
        <w:tc>
          <w:tcPr/>
          <w:p>
            <w:pPr>
              <w:pStyle w:val="Compact"/>
              <w:jc w:val="left"/>
            </w:pPr>
            <w:r>
              <w:t xml:space="preserve">0.01</w:t>
            </w:r>
          </w:p>
        </w:tc>
      </w:tr>
      <w:tr>
        <w:tc>
          <w:tcPr>
            <w:gridSpan w:val="2"/>
          </w:tcPr>
          <w:p>
            <w:pPr>
              <w:pStyle w:val="Compact"/>
              <w:jc w:val="left"/>
            </w:pPr>
            <w:r>
              <w:rPr>
                <w:bCs/>
                <w:b/>
              </w:rPr>
              <w:t xml:space="preserve">TOTAL PRODUCT CARBON FOOTPRINT (1.0 unit of nplpkyzetx)</w:t>
            </w:r>
          </w:p>
        </w:tc>
        <w:tc>
          <w:tcPr/>
          <w:p>
            <w:pPr>
              <w:pStyle w:val="Compact"/>
              <w:jc w:val="left"/>
            </w:pPr>
            <w:r>
              <w:rPr>
                <w:bCs/>
                <w:b/>
              </w:rPr>
              <w:t xml:space="preserve">35.99</w:t>
            </w:r>
          </w:p>
        </w:tc>
      </w:tr>
    </w:tbl>
    <w:p>
      <w:pPr>
        <w:pStyle w:val="BodyText"/>
      </w:pPr>
      <w:r>
        <w:t xml:space="preserve">The total estimated Product Carbon Footprint for one unit of nplpkyzetx is approximately</w:t>
      </w:r>
      <w:r>
        <w:t xml:space="preserve"> </w:t>
      </w:r>
      <w:r>
        <w:rPr>
          <w:bCs/>
          <w:b/>
        </w:rPr>
        <w:t xml:space="preserve">35.99 kgCO2e</w:t>
      </w:r>
      <w:r>
        <w:t xml:space="preserve">.</w:t>
      </w:r>
    </w:p>
    <w:bookmarkEnd w:id="46"/>
    <w:bookmarkEnd w:id="47"/>
    <w:p>
      <w:r>
        <w:pict>
          <v:rect style="width:0;height:1.5pt" o:hralign="center" o:hrstd="t" o:hr="t"/>
        </w:pict>
      </w:r>
    </w:p>
    <w:bookmarkStart w:id="51" w:name="review-and-reporting"/>
    <w:p>
      <w:pPr>
        <w:pStyle w:val="Heading2"/>
      </w:pPr>
      <w:r>
        <w:t xml:space="preserve">4. Review and Reporting</w:t>
      </w:r>
    </w:p>
    <w:bookmarkStart w:id="48" w:name="emission-hotspots"/>
    <w:p>
      <w:pPr>
        <w:pStyle w:val="Heading3"/>
      </w:pPr>
      <w:r>
        <w:t xml:space="preserve">4.1. Emission Hotspots</w:t>
      </w:r>
    </w:p>
    <w:p>
      <w:pPr>
        <w:pStyle w:val="FirstParagraph"/>
      </w:pPr>
      <w:r>
        <w:t xml:space="preserve">The analysis reveals the following primary emission hotspots for nplpkyzetx:</w:t>
      </w:r>
    </w:p>
    <w:p>
      <w:pPr>
        <w:numPr>
          <w:ilvl w:val="0"/>
          <w:numId w:val="1015"/>
        </w:numPr>
        <w:pStyle w:val="Compact"/>
      </w:pPr>
      <w:r>
        <w:rPr>
          <w:bCs/>
          <w:b/>
        </w:rPr>
        <w:t xml:space="preserve">Use Phase (14.00 kgCO2e):</w:t>
      </w:r>
      <w:r>
        <w:t xml:space="preserve"> </w:t>
      </w:r>
      <w:r>
        <w:t xml:space="preserve">This is the largest contributor, primarily due to the energy consumption over the product\'s 5-year lifespan. This highlights the importance of energy efficiency during product operation and the reliance on regional grid mixes.</w:t>
      </w:r>
    </w:p>
    <w:p>
      <w:pPr>
        <w:numPr>
          <w:ilvl w:val="0"/>
          <w:numId w:val="1015"/>
        </w:numPr>
        <w:pStyle w:val="Compact"/>
      </w:pPr>
      <w:r>
        <w:rPr>
          <w:bCs/>
          <w:b/>
        </w:rPr>
        <w:t xml:space="preserve">Downstream Transportation (12.50 kgCO2e):</w:t>
      </w:r>
      <w:r>
        <w:t xml:space="preserve"> </w:t>
      </w:r>
      <w:r>
        <w:t xml:space="preserve">Last-mile delivery, modeled as parcel delivery van over 50 km, contributes significantly. This suggests opportunities for optimizing delivery routes, using more efficient vehicles (e.g., electric vans), or consolidating shipments.</w:t>
      </w:r>
    </w:p>
    <w:p>
      <w:pPr>
        <w:numPr>
          <w:ilvl w:val="0"/>
          <w:numId w:val="1015"/>
        </w:numPr>
        <w:pStyle w:val="Compact"/>
      </w:pPr>
      <w:r>
        <w:rPr>
          <w:bCs/>
          <w:b/>
        </w:rPr>
        <w:t xml:space="preserve">Materials Acquisition (8.40 kgCO2e):</w:t>
      </w:r>
      <w:r>
        <w:t xml:space="preserve"> </w:t>
      </w:r>
      <w:r>
        <w:t xml:space="preserve">The production of raw materials, particularly Aluminium, represents a substantial portion of the upstream footprint. Material efficiency, sourcing lower-carbon materials, or increasing recycled content would be impactful.</w:t>
      </w:r>
    </w:p>
    <w:bookmarkEnd w:id="48"/>
    <w:bookmarkStart w:id="49" w:name="reliability-and-data-gaps"/>
    <w:p>
      <w:pPr>
        <w:pStyle w:val="Heading3"/>
      </w:pPr>
      <w:r>
        <w:t xml:space="preserve">4.2. Reliability and Data Gaps</w:t>
      </w:r>
    </w:p>
    <w:p>
      <w:pPr>
        <w:pStyle w:val="FirstParagraph"/>
      </w:pPr>
      <w:r>
        <w:t xml:space="preserve">The reliability of this PCF analysis is high for the specified parameters.</w:t>
      </w:r>
    </w:p>
    <w:p>
      <w:pPr>
        <w:numPr>
          <w:ilvl w:val="0"/>
          <w:numId w:val="1016"/>
        </w:numPr>
        <w:pStyle w:val="Compact"/>
      </w:pPr>
      <w:r>
        <w:rPr>
          <w:bCs/>
          <w:b/>
        </w:rPr>
        <w:t xml:space="preserve">Strengths:</w:t>
      </w:r>
      <w:r>
        <w:t xml:space="preserve"> </w:t>
      </w:r>
      <w:r>
        <w:t xml:space="preserve">Detailed Bill of Materials with pre-calculated carbon values provides robust material impact data. Explicit energy usage, lifespan, and recyclability percentages enhance accuracy for production, use, and end-of-life phases.</w:t>
      </w:r>
    </w:p>
    <w:p>
      <w:pPr>
        <w:numPr>
          <w:ilvl w:val="0"/>
          <w:numId w:val="1016"/>
        </w:numPr>
        <w:pStyle w:val="Compact"/>
      </w:pPr>
      <w:r>
        <w:rPr>
          <w:bCs/>
          <w:b/>
        </w:rPr>
        <w:t xml:space="preserve">Limitations/Assumptions:</w:t>
      </w:r>
      <w:r>
        <w:t xml:space="preserve"> </w:t>
      </w:r>
      <w:r>
        <w:t xml:space="preserve">Generic industry average emission factors were used for transport modes and electricity grids (China, Europe) where specific, primary supplier data was not available. The "Select Mode" and "Delivery Type" placeholders were translated into typical road transport and parcel delivery scenarios. The product\'s weight for main transport was assumed to be 1 kg. While active circular programs are noted, the specific emissions or avoided emissions from recycling processes are modeled simply, acknowledging the benefit without complex credit calculations. The 95% Scope 3 coverage is achieved by including all relevant categories based on available parameters, with explicit documentation of assumptions for placeholder values.</w:t>
      </w:r>
    </w:p>
    <w:bookmarkEnd w:id="49"/>
    <w:bookmarkStart w:id="50" w:name="recommendations-for-uehypqmplj"/>
    <w:p>
      <w:pPr>
        <w:pStyle w:val="Heading3"/>
      </w:pPr>
      <w:r>
        <w:t xml:space="preserve">4.3. Recommendations for uehypqmplj</w:t>
      </w:r>
    </w:p>
    <w:p>
      <w:pPr>
        <w:pStyle w:val="FirstParagraph"/>
      </w:pPr>
      <w:r>
        <w:t xml:space="preserve">To further reduce the product carbon footprint of nplpkyzetx, uehypqmplj should consider:</w:t>
      </w:r>
    </w:p>
    <w:p>
      <w:pPr>
        <w:numPr>
          <w:ilvl w:val="0"/>
          <w:numId w:val="1017"/>
        </w:numPr>
        <w:pStyle w:val="Compact"/>
      </w:pPr>
      <w:r>
        <w:rPr>
          <w:bCs/>
          <w:b/>
        </w:rPr>
        <w:t xml:space="preserve">Use Phase Optimization:</w:t>
      </w:r>
      <w:r>
        <w:t xml:space="preserve"> </w:t>
      </w:r>
      <w:r>
        <w:t xml:space="preserve">Invest in R&amp;D to enhance product energy efficiency during its operational lifespan. Explore user behavior studies to encourage more sustainable use patterns.</w:t>
      </w:r>
    </w:p>
    <w:p>
      <w:pPr>
        <w:numPr>
          <w:ilvl w:val="0"/>
          <w:numId w:val="1017"/>
        </w:numPr>
        <w:pStyle w:val="Compact"/>
      </w:pPr>
      <w:r>
        <w:rPr>
          <w:bCs/>
          <w:b/>
        </w:rPr>
        <w:t xml:space="preserve">Logistics Decarbonization:</w:t>
      </w:r>
      <w:r>
        <w:t xml:space="preserve"> </w:t>
      </w:r>
      <w:r>
        <w:t xml:space="preserve">Collaborate with logistics providers to explore lower-emission transport options for both upstream and downstream activities (e.g., electric vehicles, optimized routing, modal shift to rail/sea where feasible).</w:t>
      </w:r>
    </w:p>
    <w:p>
      <w:pPr>
        <w:numPr>
          <w:ilvl w:val="0"/>
          <w:numId w:val="1017"/>
        </w:numPr>
        <w:pStyle w:val="Compact"/>
      </w:pPr>
      <w:r>
        <w:rPr>
          <w:bCs/>
          <w:b/>
        </w:rPr>
        <w:t xml:space="preserve">Material Innovations:</w:t>
      </w:r>
      <w:r>
        <w:t xml:space="preserve"> </w:t>
      </w:r>
      <w:r>
        <w:t xml:space="preserve">Investigate alternative, lower-carbon materials for high-impact components, or increase the recycled content of Aluminium and other primary materials.</w:t>
      </w:r>
    </w:p>
    <w:p>
      <w:pPr>
        <w:numPr>
          <w:ilvl w:val="0"/>
          <w:numId w:val="1017"/>
        </w:numPr>
        <w:pStyle w:val="Compact"/>
      </w:pPr>
      <w:r>
        <w:rPr>
          <w:bCs/>
          <w:b/>
        </w:rPr>
        <w:t xml:space="preserve">Supplier Engagement:</w:t>
      </w:r>
      <w:r>
        <w:t xml:space="preserve"> </w:t>
      </w:r>
      <w:r>
        <w:t xml:space="preserve">Work with material and component suppliers to obtain primary data on their production emissions and encourage their decarbonization efforts.</w:t>
      </w:r>
    </w:p>
    <w:p>
      <w:pPr>
        <w:numPr>
          <w:ilvl w:val="0"/>
          <w:numId w:val="1017"/>
        </w:numPr>
        <w:pStyle w:val="Compact"/>
      </w:pPr>
      <w:r>
        <w:rPr>
          <w:bCs/>
          <w:b/>
        </w:rPr>
        <w:t xml:space="preserve">Circular Economy Integration:</w:t>
      </w:r>
      <w:r>
        <w:t xml:space="preserve"> </w:t>
      </w:r>
      <w:r>
        <w:t xml:space="preserve">Continue to strengthen circular design principles and take-back programs to maximize material recovery and minimize waste.</w:t>
      </w:r>
    </w:p>
    <w:bookmarkEnd w:id="50"/>
    <w:bookmarkEnd w:id="51"/>
    <w:p>
      <w:r>
        <w:pict>
          <v:rect style="width:0;height:1.5pt" o:hralign="center" o:hrstd="t" o:hr="t"/>
        </w:pict>
      </w:r>
    </w:p>
    <w:p>
      <w:pPr>
        <w:pStyle w:val="FirstParagraph"/>
      </w:pPr>
      <w:r>
        <w:t xml:space="preserve">Confidential - Internal Use Only |</w:t>
      </w:r>
      <w:r>
        <w:t xml:space="preserve"> </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Analysis for nplpkyzetx</dc:title>
  <dc:creator/>
  <dc:description>Detailed Product Carbon Footprint (PCF) analysis report for nplpkyzetx by Senior Sustainability Consultant mzkwgqlkhh for uehypqmplj, adhering to GHG Protocol standards including the 2026 LSR Update and 95% Scope 3 coverage.</dc:description>
  <dc:language>en</dc:language>
  <cp:keywords/>
  <dcterms:created xsi:type="dcterms:W3CDTF">2026-05-30T10:34:09Z</dcterms:created>
  <dcterms:modified xsi:type="dcterms:W3CDTF">2026-05-30T10:34:09Z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