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mthrmjypij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mthrmjypij</w:t>
      </w:r>
    </w:p>
    <w:p>
      <w:pPr>
        <w:pStyle w:val="BodyText"/>
      </w:pPr>
      <w:r>
        <w:rPr>
          <w:bCs/>
          <w:b/>
        </w:rPr>
        <w:t xml:space="preserve">Company Name:</w:t>
      </w:r>
      <w:r>
        <w:t xml:space="preserve"> </w:t>
      </w:r>
      <w:r>
        <w:t xml:space="preserve">plpsuprfkn</w:t>
      </w:r>
    </w:p>
    <w:p>
      <w:pPr>
        <w:pStyle w:val="BodyText"/>
      </w:pPr>
      <w:r>
        <w:rPr>
          <w:bCs/>
          <w:b/>
        </w:rPr>
        <w:t xml:space="preserve">Senior Sustainability Consultant:</w:t>
      </w:r>
      <w:r>
        <w:t xml:space="preserve"> </w:t>
      </w:r>
      <w:r>
        <w:t xml:space="preserve">rxzzikqpwo</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Calculations for generic input parameters are illustrative and based on reasonable assumptions for demonstration purposes. For a precise and fully validated PCF, specific and verified primary data would be required.</w:t>
      </w:r>
    </w:p>
    <w:bookmarkEnd w:id="20"/>
    <w:bookmarkStart w:id="21" w:name="X06381972bce7b3857ce4411d0f894c5c1563e73"/>
    <w:p>
      <w:pPr>
        <w:pStyle w:val="Heading1"/>
      </w:pPr>
      <w:r>
        <w:t xml:space="preserve">Product Carbon Footprint Analysis for mthrmjypij</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"mthrmjypij" manufactured by plpsuprfkn. The analysis was conducted by rxzzikqpwo, Senior Sustainability Consultant, adhering strictly to the GHG Protocol accounting standard. The primary goal is to quantify the greenhouse gas (GHG) emissions associated with the product\'s lifecycle, from material extraction to end-of-life, within a factory-gate system boundary with considerations for downstream impacts. This analysis aims to identify emission hotspots and provide a baseline for future emission reduction strategies, ensuring at least 95% coverage for Scope 3 emissions as per 2026 requirements and incorporating the Land Sector and Removals (LSR) Standard where applicable.</w:t>
      </w:r>
    </w:p>
    <w:p>
      <w:r>
        <w:pict>
          <v:rect style="width:0;height:1.5pt" o:hralign="center" o:hrstd="t" o:hr="t"/>
        </w:pict>
      </w:r>
    </w:p>
    <w:bookmarkEnd w:id="22"/>
    <w:bookmarkStart w:id="25"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a comprehensive assessment of the greenhouse gas emissions attributable to a single product throughout its entire life cycle. This report details the PCF for mthrmjypij, offering plpsuprfkn a foundational understanding of its product\'s climate impact.</w:t>
      </w:r>
    </w:p>
    <w:bookmarkStart w:id="23" w:name="product-description-mthrmjypij"/>
    <w:p>
      <w:pPr>
        <w:pStyle w:val="Heading3"/>
      </w:pPr>
      <w:r>
        <w:t xml:space="preserve">1.1 Product Description (mthrmjypij)</w:t>
      </w:r>
    </w:p>
    <w:p>
      <w:pPr>
        <w:pStyle w:val="FirstParagraph"/>
      </w:pPr>
      <w:r>
        <w:t xml:space="preserve">While specific product details for mthrmjypij were not provided beyond its identifier, this analysis assumes it is a manufactured good whose carbon footprint is assessed from raw material acquisition through to the factory gate, with extended analysis for the use and end-of-life phases.</w:t>
      </w:r>
    </w:p>
    <w:bookmarkEnd w:id="23"/>
    <w:bookmarkStart w:id="24" w:name="consultant-and-company-details"/>
    <w:p>
      <w:pPr>
        <w:pStyle w:val="Heading3"/>
      </w:pPr>
      <w:r>
        <w:t xml:space="preserve">1.2 Consultant and Company Details</w:t>
      </w:r>
    </w:p>
    <w:p>
      <w:pPr>
        <w:numPr>
          <w:ilvl w:val="0"/>
          <w:numId w:val="1001"/>
        </w:numPr>
        <w:pStyle w:val="Compact"/>
      </w:pPr>
      <w:r>
        <w:rPr>
          <w:bCs/>
          <w:b/>
        </w:rPr>
        <w:t xml:space="preserve">Company Name:</w:t>
      </w:r>
      <w:r>
        <w:t xml:space="preserve"> </w:t>
      </w:r>
      <w:r>
        <w:t xml:space="preserve">plpsuprfkn</w:t>
      </w:r>
    </w:p>
    <w:p>
      <w:pPr>
        <w:numPr>
          <w:ilvl w:val="0"/>
          <w:numId w:val="1001"/>
        </w:numPr>
        <w:pStyle w:val="Compact"/>
      </w:pPr>
      <w:r>
        <w:rPr>
          <w:bCs/>
          <w:b/>
        </w:rPr>
        <w:t xml:space="preserve">Senior Sustainability Consultant:</w:t>
      </w:r>
      <w:r>
        <w:t xml:space="preserve"> </w:t>
      </w:r>
      <w:r>
        <w:t xml:space="preserve">rxzzikqpwo</w:t>
      </w:r>
    </w:p>
    <w:p>
      <w:pPr>
        <w:numPr>
          <w:ilvl w:val="0"/>
          <w:numId w:val="1001"/>
        </w:numPr>
        <w:pStyle w:val="Compact"/>
      </w:pPr>
      <w:r>
        <w:rPr>
          <w:bCs/>
          <w:b/>
        </w:rPr>
        <w:t xml:space="preserve">Product Name:</w:t>
      </w:r>
      <w:r>
        <w:t xml:space="preserve"> </w:t>
      </w:r>
      <w:r>
        <w:t xml:space="preserve">mthrmjypij</w:t>
      </w:r>
    </w:p>
    <w:p>
      <w:r>
        <w:pict>
          <v:rect style="width:0;height:1.5pt" o:hralign="center" o:hrstd="t" o:hr="t"/>
        </w:pict>
      </w:r>
    </w:p>
    <w:bookmarkEnd w:id="24"/>
    <w:bookmarkEnd w:id="25"/>
    <w:bookmarkStart w:id="31" w:name="methodology-and-scope-definition"/>
    <w:p>
      <w:pPr>
        <w:pStyle w:val="Heading2"/>
      </w:pPr>
      <w:r>
        <w:t xml:space="preserve">2. Methodology and Scope Definition</w:t>
      </w:r>
    </w:p>
    <w:p>
      <w:pPr>
        <w:pStyle w:val="FirstParagraph"/>
      </w:pPr>
      <w:r>
        <w:t xml:space="preserve">The PCF analysis was conducted following the GHG Protocol Product Standard, ensuring a robust and internationally recognized framework for emission accounting. The methodology encompasses five key steps:</w:t>
      </w:r>
    </w:p>
    <w:p>
      <w:pPr>
        <w:numPr>
          <w:ilvl w:val="0"/>
          <w:numId w:val="1002"/>
        </w:numPr>
        <w:pStyle w:val="Compact"/>
      </w:pPr>
      <w:r>
        <w:t xml:space="preserve">Define Scope (Functional unit, System boundaries, Geographic scope, Allocation).</w:t>
      </w:r>
    </w:p>
    <w:p>
      <w:pPr>
        <w:numPr>
          <w:ilvl w:val="0"/>
          <w:numId w:val="1002"/>
        </w:numPr>
        <w:pStyle w:val="Compact"/>
      </w:pPr>
      <w:r>
        <w:t xml:space="preserve">Map Lifecycle (LCI inventory stages).</w:t>
      </w:r>
    </w:p>
    <w:p>
      <w:pPr>
        <w:numPr>
          <w:ilvl w:val="0"/>
          <w:numId w:val="1002"/>
        </w:numPr>
        <w:pStyle w:val="Compact"/>
      </w:pPr>
      <w:r>
        <w:t xml:space="preserve">Collect Data (Primary/Secondary data points).</w:t>
      </w:r>
    </w:p>
    <w:p>
      <w:pPr>
        <w:numPr>
          <w:ilvl w:val="0"/>
          <w:numId w:val="1002"/>
        </w:numPr>
        <w:pStyle w:val="Compact"/>
      </w:pPr>
      <w:r>
        <w:t xml:space="preserve">Calculate Emissions (Activity * Emission Factor = CO2e).</w:t>
      </w:r>
    </w:p>
    <w:p>
      <w:pPr>
        <w:numPr>
          <w:ilvl w:val="0"/>
          <w:numId w:val="1002"/>
        </w:numPr>
        <w:pStyle w:val="Compact"/>
      </w:pPr>
      <w:r>
        <w:t xml:space="preserve">Review &amp; Report (Hotspots and reliability).</w:t>
      </w:r>
    </w:p>
    <w:bookmarkStart w:id="26" w:name="functional-unit"/>
    <w:p>
      <w:pPr>
        <w:pStyle w:val="Heading3"/>
      </w:pPr>
      <w:r>
        <w:t xml:space="preserve">2.1 Functional Unit</w:t>
      </w:r>
    </w:p>
    <w:p>
      <w:pPr>
        <w:pStyle w:val="FirstParagraph"/>
      </w:pPr>
      <w:r>
        <w:t xml:space="preserve">The defined functional unit for this analysis is</w:t>
      </w:r>
      <w:r>
        <w:t xml:space="preserve"> </w:t>
      </w:r>
      <w:r>
        <w:rPr>
          <w:bCs/>
          <w:b/>
        </w:rPr>
        <w:t xml:space="preserve">1.0 unit of mthrmjypij</w:t>
      </w:r>
      <w:r>
        <w:t xml:space="preserve">. All emissions are quantified per this unit, enabling consistent comparison and assessment.</w:t>
      </w:r>
    </w:p>
    <w:bookmarkEnd w:id="26"/>
    <w:bookmarkStart w:id="27" w:name="system-boundary"/>
    <w:p>
      <w:pPr>
        <w:pStyle w:val="Heading3"/>
      </w:pPr>
      <w:r>
        <w:t xml:space="preserve">2.2 System Boundary</w:t>
      </w:r>
    </w:p>
    <w:p>
      <w:pPr>
        <w:pStyle w:val="FirstParagraph"/>
      </w:pPr>
      <w:r>
        <w:t xml:space="preserve">The primary system boundary for the cradle-to-gate analysis is the</w:t>
      </w:r>
      <w:r>
        <w:t xml:space="preserve"> </w:t>
      </w:r>
      <w:r>
        <w:rPr>
          <w:bCs/>
          <w:b/>
        </w:rPr>
        <w:t xml:space="preserve">factory_gate</w:t>
      </w:r>
      <w:r>
        <w:t xml:space="preserve">. This includes:</w:t>
      </w:r>
    </w:p>
    <w:p>
      <w:pPr>
        <w:numPr>
          <w:ilvl w:val="0"/>
          <w:numId w:val="1003"/>
        </w:numPr>
        <w:pStyle w:val="Compact"/>
      </w:pPr>
      <w:r>
        <w:t xml:space="preserve">Raw material acquisition and pre-processing.</w:t>
      </w:r>
    </w:p>
    <w:p>
      <w:pPr>
        <w:numPr>
          <w:ilvl w:val="0"/>
          <w:numId w:val="1003"/>
        </w:numPr>
        <w:pStyle w:val="Compact"/>
      </w:pPr>
      <w:r>
        <w:t xml:space="preserve">Manufacturing of components.</w:t>
      </w:r>
    </w:p>
    <w:p>
      <w:pPr>
        <w:numPr>
          <w:ilvl w:val="0"/>
          <w:numId w:val="1003"/>
        </w:numPr>
        <w:pStyle w:val="Compact"/>
      </w:pPr>
      <w:r>
        <w:t xml:space="preserve">Transportation of materials and components to the final production facility.</w:t>
      </w:r>
    </w:p>
    <w:p>
      <w:pPr>
        <w:numPr>
          <w:ilvl w:val="0"/>
          <w:numId w:val="1003"/>
        </w:numPr>
        <w:pStyle w:val="Compact"/>
      </w:pPr>
      <w:r>
        <w:t xml:space="preserve">Energy consumption during the manufacturing process at the final production facility.</w:t>
      </w:r>
    </w:p>
    <w:p>
      <w:pPr>
        <w:pStyle w:val="FirstParagraph"/>
      </w:pPr>
      <w:r>
        <w:t xml:space="preserve">Additionally, per the project requirements, the analysis extends to include the</w:t>
      </w:r>
      <w:r>
        <w:t xml:space="preserve"> </w:t>
      </w:r>
      <w:r>
        <w:rPr>
          <w:bCs/>
          <w:b/>
        </w:rPr>
        <w:t xml:space="preserve">use phase</w:t>
      </w:r>
      <w:r>
        <w:t xml:space="preserve"> </w:t>
      </w:r>
      <w:r>
        <w:t xml:space="preserve">and</w:t>
      </w:r>
      <w:r>
        <w:t xml:space="preserve"> </w:t>
      </w:r>
      <w:r>
        <w:rPr>
          <w:bCs/>
          <w:b/>
        </w:rPr>
        <w:t xml:space="preserve">end-of-life (EoL) scenarios</w:t>
      </w:r>
      <w:r>
        <w:t xml:space="preserve"> </w:t>
      </w:r>
      <w:r>
        <w:t xml:space="preserve">for a more holistic view of the product\'s environmental impact, acknowledging these as downstream (Scope 3) emissions.</w:t>
      </w:r>
    </w:p>
    <w:bookmarkEnd w:id="27"/>
    <w:bookmarkStart w:id="28"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pStyle w:val="FirstParagraph"/>
      </w:pPr>
      <w:r>
        <w:t xml:space="preserve">This geographic scope dictates the selection of relevant regional emission factors for energy grids and transportation.</w:t>
      </w:r>
    </w:p>
    <w:bookmarkEnd w:id="28"/>
    <w:bookmarkStart w:id="29" w:name="accounting-standard"/>
    <w:p>
      <w:pPr>
        <w:pStyle w:val="Heading3"/>
      </w:pPr>
      <w:r>
        <w:t xml:space="preserve">2.4 Accounting Standard</w:t>
      </w:r>
    </w:p>
    <w:p>
      <w:pPr>
        <w:pStyle w:val="FirstParagraph"/>
      </w:pPr>
      <w:r>
        <w:t xml:space="preserve">The analysis adheres to the</w:t>
      </w:r>
      <w:r>
        <w:t xml:space="preserve"> </w:t>
      </w:r>
      <w:r>
        <w:rPr>
          <w:bCs/>
          <w:b/>
        </w:rPr>
        <w:t xml:space="preserve">GHG Protocol Product Standard</w:t>
      </w:r>
      <w:r>
        <w:t xml:space="preserve">. Emissions are categorized as follows:</w:t>
      </w:r>
    </w:p>
    <w:p>
      <w:pPr>
        <w:numPr>
          <w:ilvl w:val="0"/>
          <w:numId w:val="1005"/>
        </w:numPr>
        <w:pStyle w:val="Compact"/>
      </w:pPr>
      <w:r>
        <w:rPr>
          <w:bCs/>
          <w:b/>
        </w:rPr>
        <w:t xml:space="preserve">Scope 1:</w:t>
      </w:r>
      <w:r>
        <w:t xml:space="preserve"> </w:t>
      </w:r>
      <w:r>
        <w:t xml:space="preserve">Direct emissions from sources owned or controlled by plpsuprfkn (e.g., fuel combustion in company vehicles, manufacturing processes at the final production site).</w:t>
      </w:r>
    </w:p>
    <w:p>
      <w:pPr>
        <w:numPr>
          <w:ilvl w:val="0"/>
          <w:numId w:val="1005"/>
        </w:numPr>
        <w:pStyle w:val="Compact"/>
      </w:pPr>
      <w:r>
        <w:rPr>
          <w:bCs/>
          <w:b/>
        </w:rPr>
        <w:t xml:space="preserve">Scope 2:</w:t>
      </w:r>
      <w:r>
        <w:t xml:space="preserve"> </w:t>
      </w:r>
      <w:r>
        <w:t xml:space="preserve">Indirect emissions from the generation of purchased electricity, heat, or steam consumed by plpsuprfkn.</w:t>
      </w:r>
    </w:p>
    <w:p>
      <w:pPr>
        <w:numPr>
          <w:ilvl w:val="0"/>
          <w:numId w:val="1005"/>
        </w:numPr>
        <w:pStyle w:val="Compact"/>
      </w:pPr>
      <w:r>
        <w:rPr>
          <w:bCs/>
          <w:b/>
        </w:rPr>
        <w:t xml:space="preserve">Scope 3:</w:t>
      </w:r>
      <w:r>
        <w:t xml:space="preserve"> </w:t>
      </w:r>
      <w:r>
        <w:t xml:space="preserve">All other indirect emissions in the value chain, both upstream and downstream, which are not covered in Scope 1 or 2 (e.g., raw material extraction, transportation, product use, end-of-life treatment). A target of at least 95% coverage for Scope 3 reporting is applied as per 2026 requirements, demonstrating a comprehensive understanding of the value chain\'s impact.</w:t>
      </w:r>
    </w:p>
    <w:bookmarkEnd w:id="29"/>
    <w:bookmarkStart w:id="30" w:name="land-sector-and-removals-lsr-update"/>
    <w:p>
      <w:pPr>
        <w:pStyle w:val="Heading3"/>
      </w:pPr>
      <w:r>
        <w:t xml:space="preserve">2.5 2026 Land Sector and Removals (LSR) Update</w:t>
      </w:r>
    </w:p>
    <w:p>
      <w:pPr>
        <w:pStyle w:val="FirstParagraph"/>
      </w:pPr>
      <w:r>
        <w:t xml:space="preserve">In line with the 2026 LSR Standard, potential land-use change impacts and carbon removals (e.g., through bio-based materials or carbon capture initiatives) associated with the product\'s lifecycle are considered. Without specific land-use data for mthrmjypij\'s raw materials, this analysis acknowledges the importance of the LSR standard and highlights it as an area for more detailed data collection in future assessments if relevant bio-based materials or land-intensive processes are identified.</w:t>
      </w:r>
    </w:p>
    <w:p>
      <w:r>
        <w:pict>
          <v:rect style="width:0;height:1.5pt" o:hralign="center" o:hrstd="t" o:hr="t"/>
        </w:pict>
      </w:r>
    </w:p>
    <w:bookmarkEnd w:id="30"/>
    <w:bookmarkEnd w:id="31"/>
    <w:bookmarkStart w:id="37" w:name="Xfb19d101eca9f89879e43a035837baa721eebe8"/>
    <w:p>
      <w:pPr>
        <w:pStyle w:val="Heading2"/>
      </w:pPr>
      <w:r>
        <w:t xml:space="preserve">3. Lifecycle Inventory Mapping and Data Collection</w:t>
      </w:r>
    </w:p>
    <w:p>
      <w:pPr>
        <w:pStyle w:val="FirstParagraph"/>
      </w:pPr>
      <w:r>
        <w:t xml:space="preserve">This section details the specific materials, energy inputs, and processes identified in the lifecycle of mthrmjypij, utilizing the provided parameters. Illustrative data is used for calculations where specific values were provided as generic strings.</w:t>
      </w:r>
    </w:p>
    <w:bookmarkStart w:id="32" w:name="detailed-bill-of-materials-bom"/>
    <w:p>
      <w:pPr>
        <w:pStyle w:val="Heading3"/>
      </w:pPr>
      <w:r>
        <w:t xml:space="preserve">3.1 Detailed Bill of Materials (BOM)</w:t>
      </w:r>
    </w:p>
    <w:p>
      <w:pPr>
        <w:pStyle w:val="FirstParagraph"/>
      </w:pPr>
      <w:r>
        <w:t xml:space="preserve">The following detailed Bill of Materials (BOM) was used for high-accuracy material impact calculation. The \'Total Carbon\' for each item is calculated based on its quantity and emission factor, illustrating the contribution of each material to the overall footprint.</w:t>
      </w:r>
    </w:p>
    <w:p>
      <w:pPr>
        <w:pStyle w:val="BodyText"/>
      </w:pPr>
      <w:r>
        <w:rPr>
          <w:bCs/>
          <w:b/>
        </w:rPr>
        <w:t xml:space="preserve">Provided BOM Data (tuslfryr):</w:t>
      </w:r>
      <w:r>
        <w:t xml:space="preserve"> </w:t>
      </w:r>
      <w:r>
        <w:t xml:space="preserve">Due to the generic string input for `tuslfryr`, the following table presents an illustrative BOM structure and values consistent with the specified format (ID, Description, Category, Process, Qty, Unit, Emission Factor, Total Carbon). In a real-world scenario, this table would be populated with specific data from plpsuprfkn\'s suppliers.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3.00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7.35 kg CO2e</w:t>
            </w:r>
          </w:p>
        </w:tc>
      </w:tr>
    </w:tbl>
    <w:bookmarkEnd w:id="32"/>
    <w:bookmarkStart w:id="33" w:name="energy-inputs-production-phase"/>
    <w:p>
      <w:pPr>
        <w:pStyle w:val="Heading3"/>
      </w:pPr>
      <w:r>
        <w:t xml:space="preserve">3.2 Energy Inputs (Production Phase)</w:t>
      </w:r>
    </w:p>
    <w:p>
      <w:pPr>
        <w:pStyle w:val="FirstParagraph"/>
      </w:pPr>
      <w:r>
        <w:t xml:space="preserve">Energy consumption during the production phase is a critical component of the PCF. The following parameters were provided:</w:t>
      </w:r>
    </w:p>
    <w:p>
      <w:pPr>
        <w:numPr>
          <w:ilvl w:val="0"/>
          <w:numId w:val="1006"/>
        </w:numPr>
        <w:pStyle w:val="Compact"/>
      </w:pPr>
      <w:r>
        <w:rPr>
          <w:bCs/>
          <w:b/>
        </w:rPr>
        <w:t xml:space="preserve">Renewable Energy Usage:</w:t>
      </w:r>
      <w:r>
        <w:t xml:space="preserve"> </w:t>
      </w:r>
      <w:r>
        <w:t xml:space="preserve">prpedhidng (Illustrative Assumption: 70% renewable energy from purchase/on-site generation for the final production facility)</w:t>
      </w:r>
    </w:p>
    <w:p>
      <w:pPr>
        <w:numPr>
          <w:ilvl w:val="0"/>
          <w:numId w:val="1006"/>
        </w:numPr>
        <w:pStyle w:val="Compact"/>
      </w:pPr>
      <w:r>
        <w:rPr>
          <w:bCs/>
          <w:b/>
        </w:rPr>
        <w:t xml:space="preserve">Energy Intensity (kWh/unit):</w:t>
      </w:r>
      <w:r>
        <w:t xml:space="preserve"> </w:t>
      </w:r>
      <w:r>
        <w:t xml:space="preserve">yvlkvgktti (Illustrative Assumption: 5.0 kWh/unit)</w:t>
      </w:r>
    </w:p>
    <w:p>
      <w:pPr>
        <w:pStyle w:val="FirstParagraph"/>
      </w:pPr>
      <w:r>
        <w:t xml:space="preserve">For China, an illustrative grid emission factor (e.g., 0.6 kg CO2e/kWh) will be used for non-renewable electricity, and 0.05 kg CO2e/kWh for renewable (accounting for lifecycle emissions of generation).</w:t>
      </w:r>
    </w:p>
    <w:bookmarkEnd w:id="33"/>
    <w:bookmarkStart w:id="34" w:name="logistics-data-supply-chain"/>
    <w:p>
      <w:pPr>
        <w:pStyle w:val="Heading3"/>
      </w:pPr>
      <w:r>
        <w:t xml:space="preserve">3.3 Logistics Data (Supply Chain)</w:t>
      </w:r>
    </w:p>
    <w:p>
      <w:pPr>
        <w:pStyle w:val="FirstParagraph"/>
      </w:pPr>
      <w:r>
        <w:t xml:space="preserve">Transportation plays a significant role in Scope 3 emissions. The following specific logistics data was incorporated:</w:t>
      </w:r>
    </w:p>
    <w:p>
      <w:pPr>
        <w:numPr>
          <w:ilvl w:val="0"/>
          <w:numId w:val="1007"/>
        </w:numPr>
        <w:pStyle w:val="Compact"/>
      </w:pPr>
      <w:r>
        <w:rPr>
          <w:bCs/>
          <w:b/>
        </w:rPr>
        <w:t xml:space="preserve">Transport Mode:</w:t>
      </w:r>
      <w:r>
        <w:t xml:space="preserve"> </w:t>
      </w:r>
      <w:r>
        <w:t xml:space="preserve">Select Mode (Illustrative Assumption: Ocean Freight for primary materials, Road Freight for components/final product)</w:t>
      </w:r>
    </w:p>
    <w:p>
      <w:pPr>
        <w:numPr>
          <w:ilvl w:val="0"/>
          <w:numId w:val="1007"/>
        </w:numPr>
        <w:pStyle w:val="Compact"/>
      </w:pPr>
      <w:r>
        <w:rPr>
          <w:bCs/>
          <w:b/>
        </w:rPr>
        <w:t xml:space="preserve">Transport Distance:</w:t>
      </w:r>
      <w:r>
        <w:t xml:space="preserve"> </w:t>
      </w:r>
      <w:r>
        <w:t xml:space="preserve">gdyinpvtxp (Illustrative Assumption: 15,000 km for ocean freight from Europe to China, 500 km for road freight within China)</w:t>
      </w:r>
    </w:p>
    <w:p>
      <w:pPr>
        <w:numPr>
          <w:ilvl w:val="0"/>
          <w:numId w:val="1007"/>
        </w:numPr>
        <w:pStyle w:val="Compact"/>
      </w:pPr>
      <w:r>
        <w:rPr>
          <w:bCs/>
          <w:b/>
        </w:rPr>
        <w:t xml:space="preserve">Last-Mile Delivery Channel:</w:t>
      </w:r>
      <w:r>
        <w:t xml:space="preserve"> </w:t>
      </w:r>
      <w:r>
        <w:t xml:space="preserve">Delivery Type (Illustrative Assumption: Small Parcel Carrier, 100 km average)</w:t>
      </w:r>
    </w:p>
    <w:p>
      <w:pPr>
        <w:pStyle w:val="FirstParagraph"/>
      </w:pPr>
      <w:r>
        <w:t xml:space="preserve">Illustrative emission factors will be applied: Ocean Freight ~0.01 kg CO2e/tkm, Road Freight (heavy duty) ~0.1 kg CO2e/tkm, Small Parcel Carrier ~0.3 kg CO2e/tkm (assuming average product weight of 1 kg).</w:t>
      </w:r>
    </w:p>
    <w:bookmarkEnd w:id="34"/>
    <w:bookmarkStart w:id="35" w:name="use-phase-data"/>
    <w:p>
      <w:pPr>
        <w:pStyle w:val="Heading3"/>
      </w:pPr>
      <w:r>
        <w:t xml:space="preserve">3.4 Use Phase Data</w:t>
      </w:r>
    </w:p>
    <w:p>
      <w:pPr>
        <w:pStyle w:val="FirstParagraph"/>
      </w:pPr>
      <w:r>
        <w:t xml:space="preserve">The energy consumption during the product\'s use phase can significantly contribute to its overall footprint, depending on its nature.</w:t>
      </w:r>
    </w:p>
    <w:p>
      <w:pPr>
        <w:numPr>
          <w:ilvl w:val="0"/>
          <w:numId w:val="1008"/>
        </w:numPr>
        <w:pStyle w:val="Compact"/>
      </w:pPr>
      <w:r>
        <w:rPr>
          <w:bCs/>
          <w:b/>
        </w:rPr>
        <w:t xml:space="preserve">Product Lifespan:</w:t>
      </w:r>
      <w:r>
        <w:t xml:space="preserve"> </w:t>
      </w:r>
      <w:r>
        <w:t xml:space="preserve">sngrniopmd (Illustrative Assumption: 5 years)</w:t>
      </w:r>
    </w:p>
    <w:p>
      <w:pPr>
        <w:numPr>
          <w:ilvl w:val="0"/>
          <w:numId w:val="1008"/>
        </w:numPr>
        <w:pStyle w:val="Compact"/>
      </w:pPr>
      <w:r>
        <w:rPr>
          <w:bCs/>
          <w:b/>
        </w:rPr>
        <w:t xml:space="preserve">Energy Consumption in Use:</w:t>
      </w:r>
      <w:r>
        <w:t xml:space="preserve"> </w:t>
      </w:r>
      <w:r>
        <w:t xml:space="preserve">vssyuxldun (Illustrative Assumption: 10 kWh/year)</w:t>
      </w:r>
    </w:p>
    <w:bookmarkEnd w:id="35"/>
    <w:bookmarkStart w:id="36" w:name="end-of-life-eol-scenarios"/>
    <w:p>
      <w:pPr>
        <w:pStyle w:val="Heading3"/>
      </w:pPr>
      <w:r>
        <w:t xml:space="preserve">3.5 End-of-Life (EoL) Scenarios</w:t>
      </w:r>
    </w:p>
    <w:p>
      <w:pPr>
        <w:pStyle w:val="FirstParagraph"/>
      </w:pPr>
      <w:r>
        <w:t xml:space="preserve">Circular economy impacts are considered at the end of the product\'s life.</w:t>
      </w:r>
    </w:p>
    <w:p>
      <w:pPr>
        <w:numPr>
          <w:ilvl w:val="0"/>
          <w:numId w:val="1009"/>
        </w:numPr>
        <w:pStyle w:val="Compact"/>
      </w:pPr>
      <w:r>
        <w:rPr>
          <w:bCs/>
          <w:b/>
        </w:rPr>
        <w:t xml:space="preserve">Recyclability Percentage:</w:t>
      </w:r>
      <w:r>
        <w:t xml:space="preserve"> </w:t>
      </w:r>
      <w:r>
        <w:t xml:space="preserve">trtqhxunge (Illustrative Assumption: 80% recyclable by weight)</w:t>
      </w:r>
    </w:p>
    <w:p>
      <w:pPr>
        <w:numPr>
          <w:ilvl w:val="0"/>
          <w:numId w:val="1009"/>
        </w:numPr>
        <w:pStyle w:val="Compact"/>
      </w:pPr>
      <w:r>
        <w:rPr>
          <w:bCs/>
          <w:b/>
        </w:rPr>
        <w:t xml:space="preserve">Circular/Take-back Programs:</w:t>
      </w:r>
      <w:r>
        <w:t xml:space="preserve"> </w:t>
      </w:r>
      <w:r>
        <w:t xml:space="preserve">nhvtyofsry (Illustrative Assumption: Yes, take-back program in place for key components)</w:t>
      </w:r>
    </w:p>
    <w:p>
      <w:pPr>
        <w:pStyle w:val="FirstParagraph"/>
      </w:pPr>
      <w:r>
        <w:t xml:space="preserve">A credit or reduction for recycled content will be applied based on the recyclability percentage, assuming a virgin material displacement credit.</w:t>
      </w:r>
    </w:p>
    <w:p>
      <w:r>
        <w:pict>
          <v:rect style="width:0;height:1.5pt" o:hralign="center" o:hrstd="t" o:hr="t"/>
        </w:pict>
      </w:r>
    </w:p>
    <w:bookmarkEnd w:id="36"/>
    <w:bookmarkEnd w:id="37"/>
    <w:bookmarkStart w:id="44" w:name="emission-calculation"/>
    <w:p>
      <w:pPr>
        <w:pStyle w:val="Heading2"/>
      </w:pPr>
      <w:r>
        <w:t xml:space="preserve">4. Emission Calculation</w:t>
      </w:r>
    </w:p>
    <w:p>
      <w:pPr>
        <w:pStyle w:val="FirstParagraph"/>
      </w:pPr>
      <w:r>
        <w:t xml:space="preserve">Emissions are calculated for each life cycle stage using the formula: Activity Data × Emission Factor = CO2e. Industry-standard emission factors (e.g., from Ecoinvent/DEFRA, adapted for illustrative purposes) are utilized.</w:t>
      </w:r>
    </w:p>
    <w:bookmarkStart w:id="38" w:name="scope-1-emissions"/>
    <w:p>
      <w:pPr>
        <w:pStyle w:val="Heading3"/>
      </w:pPr>
      <w:r>
        <w:t xml:space="preserve">4.1 Scope 1 Emissions</w:t>
      </w:r>
    </w:p>
    <w:p>
      <w:pPr>
        <w:pStyle w:val="FirstParagraph"/>
      </w:pPr>
      <w:r>
        <w:t xml:space="preserve">For this factory-gate boundary, direct Scope 1 emissions from plpsuprfkn\'s owned or controlled sources would typically include on-site fuel combustion for heating or machinery. Without specific data, these are assumed to be negligible for the final production facility given the focus on purchased electricity, or are embedded within the \'Process Energy\' if part of the purchased energy generation. For a detailed analysis, direct fuel consumption data would be required. For this report, we assume no significant direct Scope 1 emissions from the final production country operations beyond what is captured in Scope 2 and 3.</w:t>
      </w:r>
    </w:p>
    <w:bookmarkEnd w:id="38"/>
    <w:bookmarkStart w:id="39" w:name="scope-2-emissions-purchased-electricity"/>
    <w:p>
      <w:pPr>
        <w:pStyle w:val="Heading3"/>
      </w:pPr>
      <w:r>
        <w:t xml:space="preserve">4.2 Scope 2 Emissions (Purchased Electricity)</w:t>
      </w:r>
    </w:p>
    <w:p>
      <w:pPr>
        <w:pStyle w:val="FirstParagraph"/>
      </w:pPr>
      <w:r>
        <w:t xml:space="preserve">The final production occurs in China, utilizing purchased electricity.</w:t>
      </w:r>
    </w:p>
    <w:p>
      <w:pPr>
        <w:numPr>
          <w:ilvl w:val="0"/>
          <w:numId w:val="1010"/>
        </w:numPr>
        <w:pStyle w:val="Compact"/>
      </w:pPr>
      <w:r>
        <w:t xml:space="preserve">Energy Intensity: 5.0 kWh/unit</w:t>
      </w:r>
    </w:p>
    <w:p>
      <w:pPr>
        <w:numPr>
          <w:ilvl w:val="0"/>
          <w:numId w:val="1010"/>
        </w:numPr>
        <w:pStyle w:val="Compact"/>
      </w:pPr>
      <w:r>
        <w:t xml:space="preserve">Renewable Energy Usage: 70%</w:t>
      </w:r>
    </w:p>
    <w:p>
      <w:pPr>
        <w:numPr>
          <w:ilvl w:val="0"/>
          <w:numId w:val="1010"/>
        </w:numPr>
        <w:pStyle w:val="Compact"/>
      </w:pPr>
      <w:r>
        <w:t xml:space="preserve">China Grid Emission Factor (illustrative): 0.6 kg CO2e/kWh</w:t>
      </w:r>
    </w:p>
    <w:p>
      <w:pPr>
        <w:numPr>
          <w:ilvl w:val="0"/>
          <w:numId w:val="1010"/>
        </w:numPr>
        <w:pStyle w:val="Compact"/>
      </w:pPr>
      <w:r>
        <w:t xml:space="preserve">Renewable Energy Emission Factor (illustrative, for full lifecycle): 0.05 kg CO2e/kWh</w:t>
      </w:r>
    </w:p>
    <w:p>
      <w:pPr>
        <w:pStyle w:val="FirstParagraph"/>
      </w:pPr>
      <w:r>
        <w:t xml:space="preserve">Calculation:</w:t>
      </w:r>
    </w:p>
    <w:p>
      <w:pPr>
        <w:pStyle w:val="BodyText"/>
      </w:pPr>
      <w:r>
        <w:t xml:space="preserve">Non-renewable electricity: 5.0 kWh * (1 - 0.70) = 1.5 kWh</w:t>
      </w:r>
    </w:p>
    <w:p>
      <w:pPr>
        <w:pStyle w:val="BodyText"/>
      </w:pPr>
      <w:r>
        <w:t xml:space="preserve">Renewable electricity: 5.0 kWh * 0.70 = 3.5 kWh</w:t>
      </w:r>
    </w:p>
    <w:p>
      <w:pPr>
        <w:pStyle w:val="BodyText"/>
      </w:pPr>
      <w:r>
        <w:t xml:space="preserve">Emissions from non-renewable: 1.5 kWh * 0.6 kg CO2e/kWh = 0.90 kg CO2e</w:t>
      </w:r>
    </w:p>
    <w:p>
      <w:pPr>
        <w:pStyle w:val="BodyText"/>
      </w:pPr>
      <w:r>
        <w:t xml:space="preserve">Emissions from renewable: 3.5 kWh * 0.05 kg CO2e/kWh = 0.175 kg CO2e</w:t>
      </w:r>
    </w:p>
    <w:p>
      <w:pPr>
        <w:pStyle w:val="BodyText"/>
      </w:pPr>
      <w:r>
        <w:rPr>
          <w:bCs/>
          <w:b/>
        </w:rPr>
        <w:t xml:space="preserve">Total Scope 2 Emissions: 0.90 + 0.175 = 1.075 kg CO2e/unit</w:t>
      </w:r>
    </w:p>
    <w:bookmarkEnd w:id="39"/>
    <w:bookmarkStart w:id="42" w:name="scope-3-emissions-value-chain"/>
    <w:p>
      <w:pPr>
        <w:pStyle w:val="Heading3"/>
      </w:pPr>
      <w:r>
        <w:t xml:space="preserve">4.3 Scope 3 Emissions (Value Chain)</w:t>
      </w:r>
    </w:p>
    <w:bookmarkStart w:id="40" w:name="upstream-emissions-cradle-to-gate"/>
    <w:p>
      <w:pPr>
        <w:pStyle w:val="Heading4"/>
      </w:pPr>
      <w:r>
        <w:t xml:space="preserve">4.3.1 Upstream Emissions (Cradle-to-Gate)</w:t>
      </w:r>
    </w:p>
    <w:p>
      <w:pPr>
        <w:pStyle w:val="FirstParagraph"/>
      </w:pPr>
      <w:r>
        <w:t xml:space="preserve">This includes raw material extraction, processing, and transportation to the factory.</w:t>
      </w:r>
    </w:p>
    <w:p>
      <w:pPr>
        <w:pStyle w:val="BodyText"/>
      </w:pPr>
      <w:r>
        <w:rPr>
          <w:bCs/>
          <w:b/>
        </w:rPr>
        <w:t xml:space="preserve">a. Materials (from BOM):</w:t>
      </w:r>
    </w:p>
    <w:p>
      <w:pPr>
        <w:numPr>
          <w:ilvl w:val="0"/>
          <w:numId w:val="1011"/>
        </w:numPr>
        <w:pStyle w:val="Compact"/>
      </w:pPr>
      <w:r>
        <w:t xml:space="preserve">Total Material Carbon Footprint: 7.35 kg CO2e/unit</w:t>
      </w:r>
    </w:p>
    <w:p>
      <w:pPr>
        <w:pStyle w:val="FirstParagraph"/>
      </w:pPr>
      <w:r>
        <w:rPr>
          <w:bCs/>
          <w:b/>
        </w:rPr>
        <w:t xml:space="preserve">b. Transportation to Factory:</w:t>
      </w:r>
    </w:p>
    <w:p>
      <w:pPr>
        <w:numPr>
          <w:ilvl w:val="0"/>
          <w:numId w:val="1012"/>
        </w:numPr>
        <w:pStyle w:val="Compact"/>
      </w:pPr>
      <w:r>
        <w:t xml:space="preserve">Product Weight (illustrative, based on BOM): (0.5+0.2+1.0+0.1+0.3) = 2.1 kg/unit</w:t>
      </w:r>
    </w:p>
    <w:p>
      <w:pPr>
        <w:numPr>
          <w:ilvl w:val="0"/>
          <w:numId w:val="1012"/>
        </w:numPr>
        <w:pStyle w:val="Compact"/>
      </w:pPr>
      <w:r>
        <w:t xml:space="preserve">Ocean Freight (Europe to China):</w:t>
      </w:r>
    </w:p>
    <w:p>
      <w:pPr>
        <w:numPr>
          <w:ilvl w:val="1"/>
          <w:numId w:val="1013"/>
        </w:numPr>
        <w:pStyle w:val="Compact"/>
      </w:pPr>
      <w:r>
        <w:t xml:space="preserve">Distance: 15,000 km</w:t>
      </w:r>
    </w:p>
    <w:p>
      <w:pPr>
        <w:numPr>
          <w:ilvl w:val="1"/>
          <w:numId w:val="1013"/>
        </w:numPr>
        <w:pStyle w:val="Compact"/>
      </w:pPr>
      <w:r>
        <w:t xml:space="preserve">Emission Factor: 0.01 kg CO2e/tonne-km</w:t>
      </w:r>
    </w:p>
    <w:p>
      <w:pPr>
        <w:numPr>
          <w:ilvl w:val="1"/>
          <w:numId w:val="1013"/>
        </w:numPr>
        <w:pStyle w:val="Compact"/>
      </w:pPr>
      <w:r>
        <w:t xml:space="preserve">Calculation: 2.1 kg * (1/1000 tonne/kg) * 15,000 km * 0.01 kg CO2e/tonne-km = 0.315 kg CO2e/unit</w:t>
      </w:r>
    </w:p>
    <w:p>
      <w:pPr>
        <w:numPr>
          <w:ilvl w:val="0"/>
          <w:numId w:val="1012"/>
        </w:numPr>
        <w:pStyle w:val="Compact"/>
      </w:pPr>
      <w:r>
        <w:t xml:space="preserve">Road Freight (within China, illustrative for components):</w:t>
      </w:r>
    </w:p>
    <w:p>
      <w:pPr>
        <w:numPr>
          <w:ilvl w:val="1"/>
          <w:numId w:val="1014"/>
        </w:numPr>
        <w:pStyle w:val="Compact"/>
      </w:pPr>
      <w:r>
        <w:t xml:space="preserve">Distance: 500 km</w:t>
      </w:r>
    </w:p>
    <w:p>
      <w:pPr>
        <w:numPr>
          <w:ilvl w:val="1"/>
          <w:numId w:val="1014"/>
        </w:numPr>
        <w:pStyle w:val="Compact"/>
      </w:pPr>
      <w:r>
        <w:t xml:space="preserve">Emission Factor: 0.1 kg CO2e/tonne-km</w:t>
      </w:r>
    </w:p>
    <w:p>
      <w:pPr>
        <w:numPr>
          <w:ilvl w:val="1"/>
          <w:numId w:val="1014"/>
        </w:numPr>
        <w:pStyle w:val="Compact"/>
      </w:pPr>
      <w:r>
        <w:t xml:space="preserve">Calculation: 2.1 kg * (1/1000 tonne/kg) * 500 km * 0.1 kg CO2e/tonne-km = 0.105 kg CO2e/unit</w:t>
      </w:r>
    </w:p>
    <w:p>
      <w:pPr>
        <w:pStyle w:val="FirstParagraph"/>
      </w:pPr>
      <w:r>
        <w:rPr>
          <w:bCs/>
          <w:b/>
        </w:rPr>
        <w:t xml:space="preserve">Total Upstream Transport Emissions: 0.315 + 0.105 = 0.42 kg CO2e/unit</w:t>
      </w:r>
    </w:p>
    <w:p>
      <w:pPr>
        <w:pStyle w:val="BodyText"/>
      </w:pPr>
      <w:r>
        <w:rPr>
          <w:bCs/>
          <w:b/>
        </w:rPr>
        <w:t xml:space="preserve">Total Upstream (Scope 3, Category 1-4) Emissions: 7.35 kg CO2e (Materials) + 0.42 kg CO2e (Transport) = 7.77 kg CO2e/unit</w:t>
      </w:r>
    </w:p>
    <w:bookmarkEnd w:id="40"/>
    <w:bookmarkStart w:id="41" w:name="downstream-emissions-post-factory-gate"/>
    <w:p>
      <w:pPr>
        <w:pStyle w:val="Heading4"/>
      </w:pPr>
      <w:r>
        <w:t xml:space="preserve">4.3.2 Downstream Emissions (Post-Factory Gate)</w:t>
      </w:r>
    </w:p>
    <w:p>
      <w:pPr>
        <w:pStyle w:val="FirstParagraph"/>
      </w:pPr>
      <w:r>
        <w:t xml:space="preserve">This includes the use phase and end-of-life.</w:t>
      </w:r>
    </w:p>
    <w:p>
      <w:pPr>
        <w:pStyle w:val="BodyText"/>
      </w:pPr>
      <w:r>
        <w:rPr>
          <w:bCs/>
          <w:b/>
        </w:rPr>
        <w:t xml:space="preserve">a. Use Phase (Scope 3, Category 11):</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Illustrative average electricity emission factor (global mix for consumer use): 0.5 kg CO2e/kWh</w:t>
      </w:r>
    </w:p>
    <w:p>
      <w:pPr>
        <w:numPr>
          <w:ilvl w:val="0"/>
          <w:numId w:val="1015"/>
        </w:numPr>
        <w:pStyle w:val="Compact"/>
      </w:pPr>
      <w:r>
        <w:t xml:space="preserve">Calculation: 10 kWh/year * 5 years * 0.5 kg CO2e/kWh = 25.0 kg CO2e/unit</w:t>
      </w:r>
    </w:p>
    <w:p>
      <w:pPr>
        <w:pStyle w:val="FirstParagraph"/>
      </w:pPr>
      <w:r>
        <w:rPr>
          <w:bCs/>
          <w:b/>
        </w:rPr>
        <w:t xml:space="preserve">Total Use Phase Emissions: 25.0 kg CO2e/unit</w:t>
      </w:r>
    </w:p>
    <w:p>
      <w:pPr>
        <w:pStyle w:val="BodyText"/>
      </w:pPr>
      <w:r>
        <w:rPr>
          <w:bCs/>
          <w:b/>
        </w:rPr>
        <w:t xml:space="preserve">b. Last-Mile Delivery (Scope 3, Category 9 - Downstream Transportation and Distribution):</w:t>
      </w:r>
    </w:p>
    <w:p>
      <w:pPr>
        <w:numPr>
          <w:ilvl w:val="0"/>
          <w:numId w:val="1016"/>
        </w:numPr>
        <w:pStyle w:val="Compact"/>
      </w:pPr>
      <w:r>
        <w:t xml:space="preserve">Distance: 100 km (average)</w:t>
      </w:r>
    </w:p>
    <w:p>
      <w:pPr>
        <w:numPr>
          <w:ilvl w:val="0"/>
          <w:numId w:val="1016"/>
        </w:numPr>
        <w:pStyle w:val="Compact"/>
      </w:pPr>
      <w:r>
        <w:t xml:space="preserve">Emission Factor (Small Parcel Carrier): 0.3 kg CO2e/tonne-km</w:t>
      </w:r>
    </w:p>
    <w:p>
      <w:pPr>
        <w:numPr>
          <w:ilvl w:val="0"/>
          <w:numId w:val="1016"/>
        </w:numPr>
        <w:pStyle w:val="Compact"/>
      </w:pPr>
      <w:r>
        <w:t xml:space="preserve">Product Weight: 2.1 kg/unit</w:t>
      </w:r>
    </w:p>
    <w:p>
      <w:pPr>
        <w:numPr>
          <w:ilvl w:val="0"/>
          <w:numId w:val="1016"/>
        </w:numPr>
        <w:pStyle w:val="Compact"/>
      </w:pPr>
      <w:r>
        <w:t xml:space="preserve">Calculation: 2.1 kg * (1/1000 tonne/kg) * 100 km * 0.3 kg CO2e/tonne-km = 0.063 kg CO2e/unit</w:t>
      </w:r>
    </w:p>
    <w:p>
      <w:pPr>
        <w:pStyle w:val="FirstParagraph"/>
      </w:pPr>
      <w:r>
        <w:rPr>
          <w:bCs/>
          <w:b/>
        </w:rPr>
        <w:t xml:space="preserve">Total Last-Mile Delivery Emissions: 0.063 kg CO2e/unit</w:t>
      </w:r>
    </w:p>
    <w:p>
      <w:pPr>
        <w:pStyle w:val="BodyText"/>
      </w:pPr>
      <w:r>
        <w:rPr>
          <w:bCs/>
          <w:b/>
        </w:rPr>
        <w:t xml:space="preserve">c. End-of-Life Treatment (Scope 3, Category 12):</w:t>
      </w:r>
    </w:p>
    <w:p>
      <w:pPr>
        <w:numPr>
          <w:ilvl w:val="0"/>
          <w:numId w:val="1017"/>
        </w:numPr>
        <w:pStyle w:val="Compact"/>
      </w:pPr>
      <w:r>
        <w:t xml:space="preserve">Recyclability Percentage: 80%</w:t>
      </w:r>
    </w:p>
    <w:p>
      <w:pPr>
        <w:numPr>
          <w:ilvl w:val="0"/>
          <w:numId w:val="1017"/>
        </w:numPr>
        <w:pStyle w:val="Compact"/>
      </w:pPr>
      <w:r>
        <w:t xml:space="preserve">Assuming a 50% virgin material displacement credit for recycled content (illustrative, varies by material).</w:t>
      </w:r>
    </w:p>
    <w:p>
      <w:pPr>
        <w:numPr>
          <w:ilvl w:val="0"/>
          <w:numId w:val="1017"/>
        </w:numPr>
        <w:pStyle w:val="Compact"/>
      </w:pPr>
      <w:r>
        <w:t xml:space="preserve">Total Material Carbon Footprint: 7.35 kg CO2e/unit</w:t>
      </w:r>
    </w:p>
    <w:p>
      <w:pPr>
        <w:numPr>
          <w:ilvl w:val="0"/>
          <w:numId w:val="1017"/>
        </w:numPr>
        <w:pStyle w:val="Compact"/>
      </w:pPr>
      <w:r>
        <w:t xml:space="preserve">Potential Avoided Emissions (Credit): 7.35 kg CO2e * 0.80 (recyclability) * 0.50 (displacement factor) = -2.94 kg CO2e/unit (negative value indicates a credit)</w:t>
      </w:r>
    </w:p>
    <w:p>
      <w:pPr>
        <w:numPr>
          <w:ilvl w:val="0"/>
          <w:numId w:val="1017"/>
        </w:numPr>
        <w:pStyle w:val="Compact"/>
      </w:pPr>
      <w:r>
        <w:t xml:space="preserve">Remaining emissions for disposal of non-recycled part or recycling process energy: Assumed a small positive emission for processing, or if net zero, credit applied to the full system. For simplicity here, we consider the credit to represent net impact.</w:t>
      </w:r>
    </w:p>
    <w:p>
      <w:pPr>
        <w:pStyle w:val="FirstParagraph"/>
      </w:pPr>
      <w:r>
        <w:rPr>
          <w:bCs/>
          <w:b/>
        </w:rPr>
        <w:t xml:space="preserve">Total End-of-Life Emissions/Credits: -2.94 kg CO2e/unit</w:t>
      </w:r>
    </w:p>
    <w:bookmarkEnd w:id="41"/>
    <w:bookmarkEnd w:id="42"/>
    <w:bookmarkStart w:id="43" w:name="X32f7900bf1d251adcbe9f3ba1688f8396ef21e2"/>
    <w:p>
      <w:pPr>
        <w:pStyle w:val="Heading3"/>
      </w:pPr>
      <w:r>
        <w:t xml:space="preserve">4.4 Summary of Product Carbon Footprint (mthrmjypij)</w:t>
      </w:r>
    </w:p>
    <w:p>
      <w:pPr>
        <w:pStyle w:val="FirstParagraph"/>
      </w:pPr>
      <w:r>
        <w:t xml:space="preserve">The total Product Carbon Footprint for one functional unit of mthrmjypij, categorized by GHG Protocol scopes, is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(Not significant for this PCF, assumed minimal/embedded)</w:t>
            </w:r>
          </w:p>
        </w:tc>
        <w:tc>
          <w:tcPr/>
          <w:p>
            <w:pPr>
              <w:pStyle w:val="Compact"/>
              <w:jc w:val="left"/>
            </w:pPr>
            <w:r>
              <w:t xml:space="preserve">0.00</w:t>
            </w:r>
          </w:p>
        </w:tc>
        <w:tc>
          <w:tcPr/>
          <w:p>
            <w:pPr>
              <w:pStyle w:val="Compact"/>
              <w:jc w:val="left"/>
            </w:pPr>
            <w:r>
              <w:t xml:space="preserve">Direct operational emissions at plpsuprfkn\'s final production facility.</w:t>
            </w:r>
          </w:p>
        </w:tc>
      </w:tr>
      <w:tr>
        <w:tc>
          <w:tcPr/>
          <w:p>
            <w:pPr>
              <w:pStyle w:val="Compact"/>
              <w:jc w:val="left"/>
            </w:pPr>
            <w:r>
              <w:rPr>
                <w:bCs/>
                <w:b/>
              </w:rPr>
              <w:t xml:space="preserve">Scope 2: Purchased Electricity</w:t>
            </w:r>
          </w:p>
        </w:tc>
        <w:tc>
          <w:tcPr/>
          <w:p>
            <w:pPr>
              <w:pStyle w:val="Compact"/>
              <w:jc w:val="left"/>
            </w:pPr>
            <w:r>
              <w:t xml:space="preserve">Electricity for Manufacturing</w:t>
            </w:r>
          </w:p>
        </w:tc>
        <w:tc>
          <w:tcPr/>
          <w:p>
            <w:pPr>
              <w:pStyle w:val="Compact"/>
              <w:jc w:val="left"/>
            </w:pPr>
            <w:r>
              <w:t xml:space="preserve">1.075</w:t>
            </w:r>
          </w:p>
        </w:tc>
        <w:tc>
          <w:tcPr/>
          <w:p>
            <w:pPr>
              <w:pStyle w:val="Compact"/>
              <w:jc w:val="left"/>
            </w:pPr>
            <w:r>
              <w:t xml:space="preserve">Emissions from purchased electricity at final production in China.</w:t>
            </w:r>
          </w:p>
        </w:tc>
      </w:tr>
      <w:tr>
        <w:tc>
          <w:tcPr>
            <w:vMerge w:val="restart"/>
          </w:tcPr>
          <w:p>
            <w:pPr>
              <w:pStyle w:val="Compact"/>
              <w:jc w:val="left"/>
            </w:pPr>
            <w:r>
              <w:rPr>
                <w:bCs/>
                <w:b/>
              </w:rPr>
              <w:t xml:space="preserve">Scope 3: Value Chain Emissions</w:t>
            </w:r>
          </w:p>
        </w:tc>
        <w:tc>
          <w:tcPr/>
          <w:p>
            <w:pPr>
              <w:pStyle w:val="Compact"/>
              <w:jc w:val="left"/>
            </w:pPr>
            <w:r>
              <w:t xml:space="preserve">Category 1: Purchased Goods &amp; Services (Materials)</w:t>
            </w:r>
          </w:p>
        </w:tc>
        <w:tc>
          <w:tcPr/>
          <w:p>
            <w:pPr>
              <w:pStyle w:val="Compact"/>
              <w:jc w:val="left"/>
            </w:pPr>
            <w:r>
              <w:t xml:space="preserve">7.35</w:t>
            </w:r>
          </w:p>
        </w:tc>
        <w:tc>
          <w:tcPr/>
          <w:p>
            <w:pPr>
              <w:pStyle w:val="Compact"/>
              <w:jc w:val="left"/>
            </w:pPr>
            <w:r>
              <w:t xml:space="preserve">Material acquisition and pre-processing.</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0.42</w:t>
            </w:r>
          </w:p>
        </w:tc>
        <w:tc>
          <w:tcPr/>
          <w:p>
            <w:pPr>
              <w:pStyle w:val="Compact"/>
              <w:jc w:val="left"/>
            </w:pPr>
            <w:r>
              <w:t xml:space="preserve">Transport of materials and components to factory.</w:t>
            </w:r>
          </w:p>
        </w:tc>
      </w:tr>
      <w:tr>
        <w:tc>
          <w:tcPr>
            <w:gridSpan w:val="1"/>
            <w:vMerge w:val="continue"/>
          </w:tcPr>
          <w:p>
            <w:pPr/>
          </w:p>
        </w:tc>
        <w:tc>
          <w:tcPr/>
          <w:p>
            <w:pPr>
              <w:pStyle w:val="Compact"/>
              <w:jc w:val="left"/>
            </w:pPr>
            <w:r>
              <w:t xml:space="preserve">Category 9: Downstream Transportation &amp; Distribution (Last-Mile)</w:t>
            </w:r>
          </w:p>
        </w:tc>
        <w:tc>
          <w:tcPr/>
          <w:p>
            <w:pPr>
              <w:pStyle w:val="Compact"/>
              <w:jc w:val="left"/>
            </w:pPr>
            <w:r>
              <w:t xml:space="preserve">0.063</w:t>
            </w:r>
          </w:p>
        </w:tc>
        <w:tc>
          <w:tcPr/>
          <w:p>
            <w:pPr>
              <w:pStyle w:val="Compact"/>
              <w:jc w:val="left"/>
            </w:pPr>
            <w:r>
              <w:t xml:space="preserve">Last-mile delivery to customer.</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c>
          <w:tcPr/>
          <w:p>
            <w:pPr>
              <w:pStyle w:val="Compact"/>
              <w:jc w:val="left"/>
            </w:pPr>
            <w:r>
              <w:t xml:space="preserve">Energy consumption during product lifespan.</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-2.94</w:t>
            </w:r>
          </w:p>
        </w:tc>
        <w:tc>
          <w:tcPr/>
          <w:p>
            <w:pPr>
              <w:pStyle w:val="Compact"/>
              <w:jc w:val="left"/>
            </w:pPr>
            <w:r>
              <w:t xml:space="preserve">Credit for recyclability and circular programs.</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30.968 kg CO2e/unit</w:t>
            </w:r>
          </w:p>
        </w:tc>
        <w:tc>
          <w:tcPr/>
          <w:p>
            <w:pPr>
              <w:pStyle w:val="Compact"/>
              <w:jc w:val="left"/>
            </w:pPr>
            <w:r>
              <w:t xml:space="preserve">Sum of all direct and indirect emissions.</w:t>
            </w:r>
          </w:p>
        </w:tc>
      </w:tr>
    </w:tbl>
    <w:p>
      <w:r>
        <w:pict>
          <v:rect style="width:0;height:1.5pt" o:hralign="center" o:hrstd="t" o:hr="t"/>
        </w:pict>
      </w:r>
    </w:p>
    <w:bookmarkEnd w:id="43"/>
    <w:bookmarkEnd w:id="44"/>
    <w:bookmarkStart w:id="49" w:name="review-and-reporting"/>
    <w:p>
      <w:pPr>
        <w:pStyle w:val="Heading2"/>
      </w:pPr>
      <w:r>
        <w:t xml:space="preserve">5. Review and Reporting</w:t>
      </w:r>
    </w:p>
    <w:bookmarkStart w:id="45" w:name="emission-hotspots"/>
    <w:p>
      <w:pPr>
        <w:pStyle w:val="Heading3"/>
      </w:pPr>
      <w:r>
        <w:t xml:space="preserve">5.1 Emission Hotspots</w:t>
      </w:r>
    </w:p>
    <w:p>
      <w:pPr>
        <w:pStyle w:val="FirstParagraph"/>
      </w:pPr>
      <w:r>
        <w:t xml:space="preserve">Based on the calculations, the primary emission hotspots for mthrmjypij are:</w:t>
      </w:r>
    </w:p>
    <w:p>
      <w:pPr>
        <w:numPr>
          <w:ilvl w:val="0"/>
          <w:numId w:val="1018"/>
        </w:numPr>
        <w:pStyle w:val="Compact"/>
      </w:pPr>
      <w:r>
        <w:rPr>
          <w:bCs/>
          <w:b/>
        </w:rPr>
        <w:t xml:space="preserve">Use Phase (25.0 kg CO2e/unit):</w:t>
      </w:r>
      <w:r>
        <w:t xml:space="preserve"> </w:t>
      </w:r>
      <w:r>
        <w:t xml:space="preserve">This constitutes the largest portion of the footprint, highlighting the significant impact of the product\'s energy consumption during its lifespan. Efforts to reduce energy demand in use or promote renewable energy sources for users would be highly effective.</w:t>
      </w:r>
    </w:p>
    <w:p>
      <w:pPr>
        <w:numPr>
          <w:ilvl w:val="0"/>
          <w:numId w:val="1018"/>
        </w:numPr>
        <w:pStyle w:val="Compact"/>
      </w:pPr>
      <w:r>
        <w:rPr>
          <w:bCs/>
          <w:b/>
        </w:rPr>
        <w:t xml:space="preserve">Materials (7.35 kg CO2e/unit):</w:t>
      </w:r>
      <w:r>
        <w:t xml:space="preserve"> </w:t>
      </w:r>
      <w:r>
        <w:t xml:space="preserve">The embodied emissions in raw materials, particularly "Electronic Board" and "Aluminum Frame," are substantial. Material efficiency, use of recycled content, and sourcing lower-carbon alternatives are key leverage points.</w:t>
      </w:r>
    </w:p>
    <w:p>
      <w:pPr>
        <w:numPr>
          <w:ilvl w:val="0"/>
          <w:numId w:val="1018"/>
        </w:numPr>
        <w:pStyle w:val="Compact"/>
      </w:pPr>
      <w:r>
        <w:rPr>
          <w:bCs/>
          <w:b/>
        </w:rPr>
        <w:t xml:space="preserve">Purchased Electricity (1.075 kg CO2e/unit):</w:t>
      </w:r>
      <w:r>
        <w:t xml:space="preserve"> </w:t>
      </w:r>
      <w:r>
        <w:t xml:space="preserve">While smaller than use phase and materials, the electricity used in manufacturing is a direct lever for plpsuprfkn. Increasing the percentage of renewable energy (beyond the current 70% assumption) at the production facility would further reduce this impact.</w:t>
      </w:r>
    </w:p>
    <w:bookmarkEnd w:id="45"/>
    <w:bookmarkStart w:id="46"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Key limitations include:</w:t>
      </w:r>
    </w:p>
    <w:p>
      <w:pPr>
        <w:numPr>
          <w:ilvl w:val="0"/>
          <w:numId w:val="1019"/>
        </w:numPr>
        <w:pStyle w:val="Compact"/>
      </w:pPr>
      <w:r>
        <w:rPr>
          <w:bCs/>
          <w:b/>
        </w:rPr>
        <w:t xml:space="preserve">Illustrative Data:</w:t>
      </w:r>
      <w:r>
        <w:t xml:space="preserve"> </w:t>
      </w:r>
      <w:r>
        <w:t xml:space="preserve">Several parameters (e.g., specific BOM details, transport modes/distances, energy intensity, renewable energy usage, lifespan, EoL scenarios, emission factors) were provided as generic strings. Illustrative assumptions were made for calculation purposes.</w:t>
      </w:r>
    </w:p>
    <w:p>
      <w:pPr>
        <w:numPr>
          <w:ilvl w:val="0"/>
          <w:numId w:val="1019"/>
        </w:numPr>
        <w:pStyle w:val="Compact"/>
      </w:pPr>
      <w:r>
        <w:rPr>
          <w:bCs/>
          <w:b/>
        </w:rPr>
        <w:t xml:space="preserve">Scope 1 Detail:</w:t>
      </w:r>
      <w:r>
        <w:t xml:space="preserve"> </w:t>
      </w:r>
      <w:r>
        <w:t xml:space="preserve">Without specific operational data for plpsuprfkn\'s final production facility, Scope 1 emissions were assumed to be negligible or captured within other scopes.</w:t>
      </w:r>
    </w:p>
    <w:p>
      <w:pPr>
        <w:numPr>
          <w:ilvl w:val="0"/>
          <w:numId w:val="1019"/>
        </w:numPr>
        <w:pStyle w:val="Compact"/>
      </w:pPr>
      <w:r>
        <w:rPr>
          <w:bCs/>
          <w:b/>
        </w:rPr>
        <w:t xml:space="preserve">LSR Standard:</w:t>
      </w:r>
      <w:r>
        <w:t xml:space="preserve"> </w:t>
      </w:r>
      <w:r>
        <w:t xml:space="preserve">While acknowledged, a full application of the LSR Standard requires specific land-use change data for raw material sourcing, which was not available.</w:t>
      </w:r>
    </w:p>
    <w:p>
      <w:pPr>
        <w:numPr>
          <w:ilvl w:val="0"/>
          <w:numId w:val="1019"/>
        </w:numPr>
        <w:pStyle w:val="Compact"/>
      </w:pPr>
      <w:r>
        <w:rPr>
          <w:bCs/>
          <w:b/>
        </w:rPr>
        <w:t xml:space="preserve">Emission Factor Sources:</w:t>
      </w:r>
      <w:r>
        <w:t xml:space="preserve"> </w:t>
      </w:r>
      <w:r>
        <w:t xml:space="preserve">Generic industry-average emission factors were used. Primary, supplier-specific emission data would enhance accuracy significantly.</w:t>
      </w:r>
    </w:p>
    <w:p>
      <w:pPr>
        <w:pStyle w:val="FirstParagraph"/>
      </w:pPr>
      <w:r>
        <w:t xml:space="preserve">Despite these limitations, this report provides a robust indicative PCF, identifying the major contributing stages and offering a solid basis for further, more granular analysis and mitigation strategies. The commitment to 95% Scope 3 coverage ensures a holistic view of the value chain\'s impact.</w:t>
      </w:r>
    </w:p>
    <w:bookmarkEnd w:id="46"/>
    <w:bookmarkStart w:id="48" w:name="recommendations-for-reduction"/>
    <w:p>
      <w:pPr>
        <w:pStyle w:val="Heading3"/>
      </w:pPr>
      <w:r>
        <w:t xml:space="preserve">5.3 Recommendations for Reduction</w:t>
      </w:r>
    </w:p>
    <w:p>
      <w:pPr>
        <w:pStyle w:val="FirstParagraph"/>
      </w:pPr>
      <w:r>
        <w:t xml:space="preserve">To reduce the carbon footprint of mthrmjypij, plpsuprfkn should consider the following actions:</w:t>
      </w:r>
    </w:p>
    <w:p>
      <w:pPr>
        <w:numPr>
          <w:ilvl w:val="0"/>
          <w:numId w:val="1020"/>
        </w:numPr>
        <w:pStyle w:val="Compact"/>
      </w:pPr>
      <w:r>
        <w:rPr>
          <w:bCs/>
          <w:b/>
        </w:rPr>
        <w:t xml:space="preserve">Redesign for Energy Efficiency (Use Phase):</w:t>
      </w:r>
      <w:r>
        <w:t xml:space="preserve"> </w:t>
      </w:r>
      <w:r>
        <w:t xml:space="preserve">Focus on engineering solutions to minimize energy consumption during the product\'s operational lifespan.</w:t>
      </w:r>
    </w:p>
    <w:p>
      <w:pPr>
        <w:numPr>
          <w:ilvl w:val="0"/>
          <w:numId w:val="1020"/>
        </w:numPr>
        <w:pStyle w:val="Compact"/>
      </w:pPr>
      <w:r>
        <w:rPr>
          <w:bCs/>
          <w:b/>
        </w:rPr>
        <w:t xml:space="preserve">Sustainable Material Sourcing:</w:t>
      </w:r>
      <w:r>
        <w:t xml:space="preserve"> </w:t>
      </w:r>
      <w:r>
        <w:t xml:space="preserve">Prioritize materials with lower embodied carbon, increase recycled content, and explore bio-based or renewable alternatives. Engage with suppliers to obtain product-specific environmental declarations (EPDs).</w:t>
      </w:r>
    </w:p>
    <w:p>
      <w:pPr>
        <w:numPr>
          <w:ilvl w:val="0"/>
          <w:numId w:val="1020"/>
        </w:numPr>
        <w:pStyle w:val="Compact"/>
      </w:pPr>
      <w:r>
        <w:rPr>
          <w:bCs/>
          <w:b/>
        </w:rPr>
        <w:t xml:space="preserve">Increase Renewable Energy Procurement:</w:t>
      </w:r>
      <w:r>
        <w:t xml:space="preserve"> </w:t>
      </w:r>
      <w:r>
        <w:t xml:space="preserve">Further invest in or procure 100% renewable electricity for manufacturing operations in China.</w:t>
      </w:r>
    </w:p>
    <w:p>
      <w:pPr>
        <w:numPr>
          <w:ilvl w:val="0"/>
          <w:numId w:val="1020"/>
        </w:numPr>
        <w:pStyle w:val="Compact"/>
      </w:pPr>
      <w:r>
        <w:rPr>
          <w:bCs/>
          <w:b/>
        </w:rPr>
        <w:t xml:space="preserve">Optimize Logistics:</w:t>
      </w:r>
      <w:r>
        <w:t xml:space="preserve"> </w:t>
      </w:r>
      <w:r>
        <w:t xml:space="preserve">Evaluate opportunities for optimizing transport routes, modes (e.g., shifting to lower-emission modes like rail or sea where feasible), and increasing load factors for both upstream and downstream logistics.</w:t>
      </w:r>
    </w:p>
    <w:p>
      <w:pPr>
        <w:numPr>
          <w:ilvl w:val="0"/>
          <w:numId w:val="1020"/>
        </w:numPr>
        <w:pStyle w:val="Compact"/>
      </w:pPr>
      <w:r>
        <w:rPr>
          <w:bCs/>
          <w:b/>
        </w:rPr>
        <w:t xml:space="preserve">Enhance Circularity:</w:t>
      </w:r>
      <w:r>
        <w:t xml:space="preserve"> </w:t>
      </w:r>
      <w:r>
        <w:t xml:space="preserve">Strengthen existing take-back programs and explore product-as-a-service models or design for disassembly to maximize material recovery and reuse.</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mthrmjypij</dc:title>
  <dc:creator/>
  <dc:description>Detailed Product Carbon Footprint (PCF) analysis report for mthrmjypij, conducted by rxzzikqpwo for plpsuprfkn, adhering to the GHG Protocol.</dc:description>
  <dc:language>en</dc:language>
  <cp:keywords/>
  <dcterms:created xsi:type="dcterms:W3CDTF">2026-05-30T18:07:26Z</dcterms:created>
  <dcterms:modified xsi:type="dcterms:W3CDTF">2026-05-30T18:07:26Z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