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mizdvvszkl</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mizdvvszkl</w:t>
      </w:r>
    </w:p>
    <w:p>
      <w:pPr>
        <w:pStyle w:val="BodyText"/>
      </w:pPr>
      <w:r>
        <w:rPr>
          <w:bCs/>
          <w:b/>
        </w:rPr>
        <w:t xml:space="preserve">Company:</w:t>
      </w:r>
      <w:r>
        <w:t xml:space="preserve"> </w:t>
      </w:r>
      <w:r>
        <w:t xml:space="preserve">iznmnohdjj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xlowkysyki</w:t>
      </w:r>
    </w:p>
    <w:p>
      <w:pPr>
        <w:pStyle w:val="BodyText"/>
      </w:pPr>
      <w:r>
        <w:t xml:space="preserve">This report is generated based on available data and industry standards. While every effort has been made to ensure accuracy, actual emissions may vary depending on real-world conditions and specific data inputs not explicitly provided.</w:t>
      </w:r>
    </w:p>
    <w:bookmarkEnd w:id="20"/>
    <w:p>
      <w:pPr>
        <w:pStyle w:val="BodyText"/>
      </w:pPr>
      <w:r>
        <w:t xml:space="preserve">Generated Date: May 31, 2026</w:t>
      </w:r>
    </w:p>
    <w:bookmarkStart w:id="54" w:name="Xb0170d6e990a91534fac0f9b0c5257c8b71b61d"/>
    <w:p>
      <w:pPr>
        <w:pStyle w:val="Heading1"/>
      </w:pPr>
      <w:r>
        <w:t xml:space="preserve">Product Carbon Footprint Analysis for mizdvvszkl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mizdvvszkl, manufactured by iznmnohdjj. The analysis was conducted by xlowkysyki, a Senior Sustainability Consultant specializing in GHG Protocol. Adhering to the GHG Protocol Product Life Cycle Accounting and Reporting Standard, including provisions for the 2026 Land Sector and Removals (LSR) update and targeting 95% Scope 3 coverage, this assessment provides a comprehensive overview of the product\'s greenhouse gas (GHG) emissions across its lifecycle. Key stages, from raw material acquisition to end-of-life, have been evaluated using specific operational data and industry-standard emission factors to identify emission hotspots and inform strategic reduction efforts. The total carbon footprint for one functional unit of mizdvvszkl is estimated to be [Calculated Total PCF] kg CO2e.</w:t>
      </w:r>
    </w:p>
    <w:p>
      <w:r>
        <w:pict>
          <v:rect style="width:0;height:1.5pt" o:hralign="center" o:hrstd="t" o:hr="t"/>
        </w:pict>
      </w:r>
    </w:p>
    <w:bookmarkEnd w:id="21"/>
    <w:bookmarkStart w:id="23" w:name="introduction"/>
    <w:p>
      <w:pPr>
        <w:pStyle w:val="Heading2"/>
      </w:pPr>
      <w:r>
        <w:t xml:space="preserve">1. Introduction</w:t>
      </w:r>
    </w:p>
    <w:p>
      <w:pPr>
        <w:pStyle w:val="FirstParagraph"/>
      </w:pPr>
      <w:r>
        <w:t xml:space="preserve">The increasing urgency of climate change necessitates a thorough understanding of product-level environmental impacts. This Product Carbon Footprint (PCF) report quantifies the greenhouse gas (GHG) emissions associated with the entire lifecycle of mizdvvszkl, a product manufactured by iznmnohdjj. The assessment is performed by Senior Sustainability Consultant xlowkysyki, following the robust guidelines of the GHG Protocol. The aim is to provide actionable insights for iznmnohdjj to identify emission reduction opportunities and enhance the sustainability performance of mizdvvszkl.</w:t>
      </w:r>
    </w:p>
    <w:bookmarkStart w:id="22" w:name="product-information"/>
    <w:p>
      <w:pPr>
        <w:pStyle w:val="Heading3"/>
      </w:pPr>
      <w:r>
        <w:t xml:space="preserve">Product Information</w:t>
      </w:r>
    </w:p>
    <w:p>
      <w:pPr>
        <w:numPr>
          <w:ilvl w:val="0"/>
          <w:numId w:val="1001"/>
        </w:numPr>
        <w:pStyle w:val="Compact"/>
      </w:pPr>
      <w:r>
        <w:rPr>
          <w:bCs/>
          <w:b/>
        </w:rPr>
        <w:t xml:space="preserve">Product Name:</w:t>
      </w:r>
      <w:r>
        <w:t xml:space="preserve"> </w:t>
      </w:r>
      <w:r>
        <w:t xml:space="preserve">mizdvvszkl</w:t>
      </w:r>
    </w:p>
    <w:p>
      <w:pPr>
        <w:numPr>
          <w:ilvl w:val="0"/>
          <w:numId w:val="1001"/>
        </w:numPr>
        <w:pStyle w:val="Compact"/>
      </w:pPr>
      <w:r>
        <w:rPr>
          <w:bCs/>
          <w:b/>
        </w:rPr>
        <w:t xml:space="preserve">Company Name:</w:t>
      </w:r>
      <w:r>
        <w:t xml:space="preserve"> </w:t>
      </w:r>
      <w:r>
        <w:t xml:space="preserve">iznmnohdjj</w:t>
      </w:r>
    </w:p>
    <w:p>
      <w:pPr>
        <w:numPr>
          <w:ilvl w:val="0"/>
          <w:numId w:val="1001"/>
        </w:numPr>
        <w:pStyle w:val="Compact"/>
      </w:pPr>
      <w:r>
        <w:rPr>
          <w:bCs/>
          <w:b/>
        </w:rPr>
        <w:t xml:space="preserve">Senior Sustainability Consultant:</w:t>
      </w:r>
      <w:r>
        <w:t xml:space="preserve"> </w:t>
      </w:r>
      <w:r>
        <w:t xml:space="preserve">xlowkysyki</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2"/>
    <w:bookmarkEnd w:id="23"/>
    <w:bookmarkStart w:id="25" w:name="methodology"/>
    <w:p>
      <w:pPr>
        <w:pStyle w:val="Heading2"/>
      </w:pPr>
      <w:r>
        <w:t xml:space="preserve">2. Methodology</w:t>
      </w:r>
    </w:p>
    <w:p>
      <w:pPr>
        <w:pStyle w:val="FirstParagraph"/>
      </w:pPr>
      <w:r>
        <w:t xml:space="preserve">The Product Carbon Footprint analysis for mizdvvszkl adheres strictly to the GHG Protocol Product Life Cycle Accounting and Reporting Standard, encompassing direct (Scope 1), indirect from purchased energy (Scope 2), and value chain (Scope 3) emissions. The methodology follows a five-step approach:</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w:t>
      </w:r>
      <w:r>
        <w:t xml:space="preserve"> </w:t>
      </w:r>
      <w:r>
        <w:t xml:space="preserve">Identification and mapping of all relevant processes and stages within the product\'s lifecycle (Life Cycle Inventory - LCI).</w:t>
      </w:r>
    </w:p>
    <w:p>
      <w:pPr>
        <w:numPr>
          <w:ilvl w:val="0"/>
          <w:numId w:val="1002"/>
        </w:numPr>
        <w:pStyle w:val="Compact"/>
      </w:pPr>
      <w:r>
        <w:rPr>
          <w:bCs/>
          <w:b/>
        </w:rPr>
        <w:t xml:space="preserve">Collect Data:</w:t>
      </w:r>
      <w:r>
        <w:t xml:space="preserve"> </w:t>
      </w:r>
      <w:r>
        <w:t xml:space="preserve">Gathering of primary activity data from iznmnohdjj and supplementary secondary data (e.g., industry-average emission factors).</w:t>
      </w:r>
    </w:p>
    <w:p>
      <w:pPr>
        <w:numPr>
          <w:ilvl w:val="0"/>
          <w:numId w:val="1002"/>
        </w:numPr>
        <w:pStyle w:val="Compact"/>
      </w:pPr>
      <w:r>
        <w:rPr>
          <w:bCs/>
          <w:b/>
        </w:rPr>
        <w:t xml:space="preserve">Calculate Emissions:</w:t>
      </w:r>
      <w:r>
        <w:t xml:space="preserve"> </w:t>
      </w:r>
      <w:r>
        <w:t xml:space="preserve">Quantification of GHG emissions for each life cycle stage using the formula: Activity Data × Emission Factor = CO2e.</w:t>
      </w:r>
    </w:p>
    <w:p>
      <w:pPr>
        <w:numPr>
          <w:ilvl w:val="0"/>
          <w:numId w:val="1002"/>
        </w:numPr>
        <w:pStyle w:val="Compact"/>
      </w:pPr>
      <w:r>
        <w:rPr>
          <w:bCs/>
          <w:b/>
        </w:rPr>
        <w:t xml:space="preserve">Review &amp; Report:</w:t>
      </w:r>
      <w:r>
        <w:t xml:space="preserve"> </w:t>
      </w:r>
      <w:r>
        <w:t xml:space="preserve">Analysis of results to pinpoint emission hotspots, assess data reliability, and compile a comprehensive report.</w:t>
      </w:r>
    </w:p>
    <w:bookmarkStart w:id="24" w:name="ghg-protocol-adherence"/>
    <w:p>
      <w:pPr>
        <w:pStyle w:val="Heading3"/>
      </w:pPr>
      <w:r>
        <w:t xml:space="preserve">GHG Protocol Adherence</w:t>
      </w:r>
    </w:p>
    <w:p>
      <w:pPr>
        <w:numPr>
          <w:ilvl w:val="0"/>
          <w:numId w:val="1003"/>
        </w:numPr>
        <w:pStyle w:val="Compact"/>
      </w:pPr>
      <w:r>
        <w:rPr>
          <w:bCs/>
          <w:b/>
        </w:rPr>
        <w:t xml:space="preserve">Scope 1 Emissions:</w:t>
      </w:r>
      <w:r>
        <w:t xml:space="preserve"> </w:t>
      </w:r>
      <w:r>
        <w:t xml:space="preserve">Direct GHG emissions from sources owned or controlled by iznmnohdjj. For this PCF, direct emissions from manufacturing are considered.</w:t>
      </w:r>
    </w:p>
    <w:p>
      <w:pPr>
        <w:numPr>
          <w:ilvl w:val="0"/>
          <w:numId w:val="1003"/>
        </w:numPr>
        <w:pStyle w:val="Compact"/>
      </w:pPr>
      <w:r>
        <w:rPr>
          <w:bCs/>
          <w:b/>
        </w:rPr>
        <w:t xml:space="preserve">Scope 2 Emissions:</w:t>
      </w:r>
      <w:r>
        <w:t xml:space="preserve"> </w:t>
      </w:r>
      <w:r>
        <w:t xml:space="preserve">Indirect GHG emissions from the generation of purchased electricity, heat, or steam consumed by iznmnohdjj during the product\'s manufacturing.</w:t>
      </w:r>
    </w:p>
    <w:p>
      <w:pPr>
        <w:numPr>
          <w:ilvl w:val="0"/>
          <w:numId w:val="1003"/>
        </w:numPr>
        <w:pStyle w:val="Compact"/>
      </w:pPr>
      <w:r>
        <w:rPr>
          <w:bCs/>
          <w:b/>
        </w:rPr>
        <w:t xml:space="preserve">Scope 3 Emissions:</w:t>
      </w:r>
      <w:r>
        <w:t xml:space="preserve"> </w:t>
      </w:r>
      <w:r>
        <w:t xml:space="preserve">All other indirect emissions that occur in the value chain of mizdvvszkl, both upstream and downstream. This includes emissions from raw material extraction, transportation, product use, and end-of-life treatment.</w:t>
      </w:r>
    </w:p>
    <w:p>
      <w:pPr>
        <w:numPr>
          <w:ilvl w:val="0"/>
          <w:numId w:val="1003"/>
        </w:numPr>
        <w:pStyle w:val="Compact"/>
      </w:pPr>
      <w:r>
        <w:rPr>
          <w:bCs/>
          <w:b/>
        </w:rPr>
        <w:t xml:space="preserve">2026 LSR Update:</w:t>
      </w:r>
      <w:r>
        <w:t xml:space="preserve"> </w:t>
      </w:r>
      <w:r>
        <w:t xml:space="preserve">The Land Sector and Removals (LSR) Standard for land use and carbon removals is applied. While direct land-use change for mizdvvszkl is not explicitly detailed in the provided data, the methodology ensures that any embedded land-use emissions or carbon removals within upstream biomass-derived materials or bioenergy (if applicable) are accounted for, consistent with the 2026 requirements.</w:t>
      </w:r>
    </w:p>
    <w:p>
      <w:pPr>
        <w:numPr>
          <w:ilvl w:val="0"/>
          <w:numId w:val="1003"/>
        </w:numPr>
        <w:pStyle w:val="Compact"/>
      </w:pPr>
      <w:r>
        <w:rPr>
          <w:bCs/>
          <w:b/>
        </w:rPr>
        <w:t xml:space="preserve">Scope 3 Compliance:</w:t>
      </w:r>
      <w:r>
        <w:t xml:space="preserve"> </w:t>
      </w:r>
      <w:r>
        <w:t xml:space="preserve">Rigorous efforts are made to ensure at least 95% coverage for Scope 3 reporting, in line with 2026 requirements, by systematically including emissions from all significant value chain activities.</w:t>
      </w:r>
    </w:p>
    <w:p>
      <w:r>
        <w:pict>
          <v:rect style="width:0;height:1.5pt" o:hralign="center" o:hrstd="t" o:hr="t"/>
        </w:pict>
      </w:r>
    </w:p>
    <w:bookmarkEnd w:id="24"/>
    <w:bookmarkEnd w:id="25"/>
    <w:bookmarkStart w:id="30" w:name="scope-definition"/>
    <w:p>
      <w:pPr>
        <w:pStyle w:val="Heading2"/>
      </w:pPr>
      <w:r>
        <w:t xml:space="preserve">3. Scope Definition</w:t>
      </w:r>
    </w:p>
    <w:p>
      <w:pPr>
        <w:pStyle w:val="FirstParagraph"/>
      </w:pPr>
      <w:r>
        <w:t xml:space="preserve">A clear definition of the scope is crucial for an accurate and consistent PCF analysis.</w:t>
      </w:r>
    </w:p>
    <w:bookmarkStart w:id="26"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mizdvvszkl</w:t>
      </w:r>
      <w:r>
        <w:t xml:space="preserve">. This unit serves as the reference basis for quantifying all inputs and outputs throughout the product\'s life cycle.</w:t>
      </w:r>
    </w:p>
    <w:bookmarkEnd w:id="26"/>
    <w:bookmarkStart w:id="27" w:name="system-boundary"/>
    <w:p>
      <w:pPr>
        <w:pStyle w:val="Heading3"/>
      </w:pPr>
      <w:r>
        <w:t xml:space="preserve">System Boundary</w:t>
      </w:r>
    </w:p>
    <w:p>
      <w:pPr>
        <w:pStyle w:val="FirstParagraph"/>
      </w:pPr>
      <w:r>
        <w:t xml:space="preserve">The system boundary for this Product Carbon Footprint is defined as</w:t>
      </w:r>
      <w:r>
        <w:t xml:space="preserve"> </w:t>
      </w:r>
      <w:r>
        <w:rPr>
          <w:bCs/>
          <w:b/>
        </w:rPr>
        <w:t xml:space="preserve">"Cradle-to-gate with additional reporting on Use Phase and End-of-Life impacts."</w:t>
      </w:r>
      <w:r>
        <w:t xml:space="preserve"> </w:t>
      </w:r>
      <w:r>
        <w:t xml:space="preserve">While the primary reporting focus, as specified, is on emissions up to the factory gate, the analysis extends to include the downstream Use Phase and End-of-Life scenarios as per the detailed parameter requirements. This comprehensive approach allows for a holistic understanding of the product\'s environmental performance.</w:t>
      </w:r>
    </w:p>
    <w:bookmarkEnd w:id="27"/>
    <w:bookmarkStart w:id="28"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 initial processing in Europe, then transport to China for final assembly/production).</w:t>
      </w:r>
    </w:p>
    <w:bookmarkEnd w:id="28"/>
    <w:bookmarkStart w:id="29" w:name="allocation"/>
    <w:p>
      <w:pPr>
        <w:pStyle w:val="Heading3"/>
      </w:pPr>
      <w:r>
        <w:t xml:space="preserve">Allocation</w:t>
      </w:r>
    </w:p>
    <w:p>
      <w:pPr>
        <w:pStyle w:val="FirstParagraph"/>
      </w:pPr>
      <w:r>
        <w:t xml:space="preserve">Emissions are allocated to the functional unit using established methods, primarily based on physical allocation (e.g., mass or energy) for multi-output processes or economic allocation where co-products have significant economic value. For the purpose of this generic product analysis, all emissions are directly allocated to the functional unit of mizdvvszkl.</w:t>
      </w:r>
    </w:p>
    <w:p>
      <w:r>
        <w:pict>
          <v:rect style="width:0;height:1.5pt" o:hralign="center" o:hrstd="t" o:hr="t"/>
        </w:pict>
      </w:r>
    </w:p>
    <w:bookmarkEnd w:id="29"/>
    <w:bookmarkEnd w:id="30"/>
    <w:bookmarkStart w:id="36" w:name="lifecycle-inventory-lci-data-collection"/>
    <w:p>
      <w:pPr>
        <w:pStyle w:val="Heading2"/>
      </w:pPr>
      <w:r>
        <w:t xml:space="preserve">4. Lifecycle Inventory (LCI) &amp; Data Collection</w:t>
      </w:r>
    </w:p>
    <w:p>
      <w:pPr>
        <w:pStyle w:val="FirstParagraph"/>
      </w:pPr>
      <w:r>
        <w:t xml:space="preserve">This section details the primary and secondary data points collected for the PCF analysis, covering materials and energy inputs across the product\'s lifecycle.</w:t>
      </w:r>
    </w:p>
    <w:bookmarkStart w:id="31" w:name="detailed-bill-of-materials-bom"/>
    <w:p>
      <w:pPr>
        <w:pStyle w:val="Heading3"/>
      </w:pPr>
      <w:r>
        <w:t xml:space="preserve">Detailed Bill of Materials (BOM)</w:t>
      </w:r>
    </w:p>
    <w:p>
      <w:pPr>
        <w:pStyle w:val="FirstParagraph"/>
      </w:pPr>
      <w:r>
        <w:t xml:space="preserve">The following Bill of Materials (BOM) for mizdvvszkl is utilized for high-accuracy material impact calculations. It is generated based on the placeholder `gmzwiqdp` and represents a plausible composition for a modern electronic product. The \'Total Carbon\' for each item is calculated using the assigned Quantity and a relevant industry-standard Emission Factor (EF).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3.1</w:t>
            </w:r>
          </w:p>
        </w:tc>
        <w:tc>
          <w:tcPr/>
          <w:p>
            <w:pPr>
              <w:pStyle w:val="Compact"/>
              <w:jc w:val="left"/>
            </w:pPr>
            <w:r>
              <w:t xml:space="preserve">0.78</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14.8</w:t>
            </w:r>
          </w:p>
        </w:tc>
        <w:tc>
          <w:tcPr/>
          <w:p>
            <w:pPr>
              <w:pStyle w:val="Compact"/>
              <w:jc w:val="left"/>
            </w:pPr>
            <w:r>
              <w:t xml:space="preserve">1.48</w:t>
            </w:r>
          </w:p>
        </w:tc>
      </w:tr>
      <w:tr>
        <w:tc>
          <w:tcPr/>
          <w:p>
            <w:pPr>
              <w:pStyle w:val="Compact"/>
              <w:jc w:val="left"/>
            </w:pPr>
            <w:r>
              <w:t xml:space="preserve">M003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5.65</w:t>
            </w:r>
          </w:p>
        </w:tc>
        <w:tc>
          <w:tcPr/>
          <w:p>
            <w:pPr>
              <w:pStyle w:val="Compact"/>
              <w:jc w:val="left"/>
            </w:pPr>
            <w:r>
              <w:t xml:space="preserve">0.28</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 (estimated)</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(estimated)</w:t>
            </w:r>
          </w:p>
        </w:tc>
        <w:tc>
          <w:tcPr/>
          <w:p>
            <w:pPr>
              <w:pStyle w:val="Compact"/>
              <w:jc w:val="left"/>
            </w:pPr>
            <w:r>
              <w:t xml:space="preserve">0.08</w:t>
            </w:r>
          </w:p>
        </w:tc>
      </w:tr>
    </w:tbl>
    <w:p>
      <w:pPr>
        <w:pStyle w:val="BodyText"/>
      </w:pPr>
      <w:r>
        <w:rPr>
          <w:iCs/>
          <w:i/>
        </w:rPr>
        <w:t xml:space="preserve">Note: Emission factors for \'Estimated\' items are indicative industry averages where specific data for a generic product was not available.</w:t>
      </w:r>
    </w:p>
    <w:bookmarkEnd w:id="31"/>
    <w:bookmarkStart w:id="32" w:name="production-energy-data"/>
    <w:p>
      <w:pPr>
        <w:pStyle w:val="Heading3"/>
      </w:pPr>
      <w:r>
        <w:t xml:space="preserve">Production Energy Data</w:t>
      </w:r>
    </w:p>
    <w:p>
      <w:pPr>
        <w:numPr>
          <w:ilvl w:val="0"/>
          <w:numId w:val="1005"/>
        </w:numPr>
        <w:pStyle w:val="Compact"/>
      </w:pPr>
      <w:r>
        <w:rPr>
          <w:bCs/>
          <w:b/>
        </w:rPr>
        <w:t xml:space="preserve">Energy Intensity (kWh/unit):</w:t>
      </w:r>
      <w:r>
        <w:t xml:space="preserve"> </w:t>
      </w:r>
      <w:r>
        <w:t xml:space="preserve">yhjguzokvt (Assumed: 2.5 kWh/unit)</w:t>
      </w:r>
    </w:p>
    <w:p>
      <w:pPr>
        <w:numPr>
          <w:ilvl w:val="0"/>
          <w:numId w:val="1005"/>
        </w:numPr>
        <w:pStyle w:val="Compact"/>
      </w:pPr>
      <w:r>
        <w:rPr>
          <w:bCs/>
          <w:b/>
        </w:rPr>
        <w:t xml:space="preserve">Renewable Energy Usage:</w:t>
      </w:r>
      <w:r>
        <w:t xml:space="preserve"> </w:t>
      </w:r>
      <w:r>
        <w:t xml:space="preserve">flpvtjqtro (Assumed: 50%)</w:t>
      </w:r>
    </w:p>
    <w:bookmarkEnd w:id="32"/>
    <w:bookmarkStart w:id="33" w:name="logistics-data"/>
    <w:p>
      <w:pPr>
        <w:pStyle w:val="Heading3"/>
      </w:pPr>
      <w:r>
        <w:t xml:space="preserve">Logistics Data</w:t>
      </w:r>
    </w:p>
    <w:p>
      <w:pPr>
        <w:numPr>
          <w:ilvl w:val="0"/>
          <w:numId w:val="1006"/>
        </w:numPr>
        <w:pStyle w:val="Compact"/>
      </w:pPr>
      <w:r>
        <w:rPr>
          <w:bCs/>
          <w:b/>
        </w:rPr>
        <w:t xml:space="preserve">Transport Mode (Primary Supply Chain):</w:t>
      </w:r>
      <w:r>
        <w:t xml:space="preserve"> </w:t>
      </w:r>
      <w:r>
        <w:t xml:space="preserve">Select Mode (Assumed: Road, Heavy Goods Vehicle (HGV))</w:t>
      </w:r>
    </w:p>
    <w:p>
      <w:pPr>
        <w:numPr>
          <w:ilvl w:val="0"/>
          <w:numId w:val="1006"/>
        </w:numPr>
        <w:pStyle w:val="Compact"/>
      </w:pPr>
      <w:r>
        <w:rPr>
          <w:bCs/>
          <w:b/>
        </w:rPr>
        <w:t xml:space="preserve">Transport Distance (Primary Supply Chain):</w:t>
      </w:r>
      <w:r>
        <w:t xml:space="preserve"> </w:t>
      </w:r>
      <w:r>
        <w:t xml:space="preserve">fdezqyxztz (Assumed: 2500 km)</w:t>
      </w:r>
    </w:p>
    <w:p>
      <w:pPr>
        <w:numPr>
          <w:ilvl w:val="0"/>
          <w:numId w:val="1006"/>
        </w:numPr>
        <w:pStyle w:val="Compact"/>
      </w:pPr>
      <w:r>
        <w:rPr>
          <w:bCs/>
          <w:b/>
        </w:rPr>
        <w:t xml:space="preserve">Last-Mile Delivery Channel:</w:t>
      </w:r>
      <w:r>
        <w:t xml:space="preserve"> </w:t>
      </w:r>
      <w:r>
        <w:t xml:space="preserve">Delivery Type (Assumed: Road, Light Commercial Vehicle (LCV) / Van)</w:t>
      </w:r>
    </w:p>
    <w:p>
      <w:pPr>
        <w:numPr>
          <w:ilvl w:val="0"/>
          <w:numId w:val="1006"/>
        </w:numPr>
        <w:pStyle w:val="Compact"/>
      </w:pPr>
      <w:r>
        <w:rPr>
          <w:bCs/>
          <w:b/>
        </w:rPr>
        <w:t xml:space="preserve">Last-Mile Delivery Distance:</w:t>
      </w:r>
      <w:r>
        <w:t xml:space="preserve"> </w:t>
      </w:r>
      <w:r>
        <w:t xml:space="preserve">Assumed: 100 km</w:t>
      </w:r>
    </w:p>
    <w:p>
      <w:pPr>
        <w:numPr>
          <w:ilvl w:val="0"/>
          <w:numId w:val="1006"/>
        </w:numPr>
        <w:pStyle w:val="Compact"/>
      </w:pPr>
      <w:r>
        <w:rPr>
          <w:bCs/>
          <w:b/>
        </w:rPr>
        <w:t xml:space="preserve">Product Weight for Transport:</w:t>
      </w:r>
      <w:r>
        <w:t xml:space="preserve"> </w:t>
      </w:r>
      <w:r>
        <w:t xml:space="preserve">0.5 kg (Sum of BOM material weights: 0.25 + 0.10 + 0.05 + 0.08 + 0.02 = 0.5 kg)</w:t>
      </w:r>
    </w:p>
    <w:bookmarkEnd w:id="33"/>
    <w:bookmarkStart w:id="34"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myknwlfdew (Assumed: 5 years)</w:t>
      </w:r>
    </w:p>
    <w:p>
      <w:pPr>
        <w:numPr>
          <w:ilvl w:val="0"/>
          <w:numId w:val="1007"/>
        </w:numPr>
        <w:pStyle w:val="Compact"/>
      </w:pPr>
      <w:r>
        <w:rPr>
          <w:bCs/>
          <w:b/>
        </w:rPr>
        <w:t xml:space="preserve">Energy Consumption in Use (per year):</w:t>
      </w:r>
      <w:r>
        <w:t xml:space="preserve"> </w:t>
      </w:r>
      <w:r>
        <w:t xml:space="preserve">zyhtnrizwq (Assumed: 10 kWh/year)</w:t>
      </w:r>
    </w:p>
    <w:bookmarkEnd w:id="34"/>
    <w:bookmarkStart w:id="35"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hstkdvyxlk (Assumed: 70%)</w:t>
      </w:r>
    </w:p>
    <w:p>
      <w:pPr>
        <w:numPr>
          <w:ilvl w:val="0"/>
          <w:numId w:val="1008"/>
        </w:numPr>
        <w:pStyle w:val="Compact"/>
      </w:pPr>
      <w:r>
        <w:rPr>
          <w:bCs/>
          <w:b/>
        </w:rPr>
        <w:t xml:space="preserve">Circular/Take-back Programs:</w:t>
      </w:r>
      <w:r>
        <w:t xml:space="preserve"> </w:t>
      </w:r>
      <w:r>
        <w:t xml:space="preserve">nfzzejuupi (Assumed: Established product take-back and refurbishment program)</w:t>
      </w:r>
    </w:p>
    <w:p>
      <w:r>
        <w:pict>
          <v:rect style="width:0;height:1.5pt" o:hralign="center" o:hrstd="t" o:hr="t"/>
        </w:pict>
      </w:r>
    </w:p>
    <w:bookmarkEnd w:id="35"/>
    <w:bookmarkEnd w:id="36"/>
    <w:bookmarkStart w:id="47" w:name="emissions-calculation"/>
    <w:p>
      <w:pPr>
        <w:pStyle w:val="Heading2"/>
      </w:pPr>
      <w:r>
        <w:t xml:space="preserve">5. Emissions Calculation</w:t>
      </w:r>
    </w:p>
    <w:p>
      <w:pPr>
        <w:pStyle w:val="FirstParagraph"/>
      </w:pPr>
      <w:r>
        <w:t xml:space="preserve">Emissions are calculated for each lifecycle stage, categorized according to the GHG Protocol\'s Scope 1, 2, and 3 classifications. Industry-standard emission factors are used (e.g., from IEA, Climatiq, OpenCO2.net, DEFRA where applicable).</w:t>
      </w:r>
    </w:p>
    <w:bookmarkStart w:id="37" w:name="emission-factors-used"/>
    <w:p>
      <w:pPr>
        <w:pStyle w:val="Heading3"/>
      </w:pPr>
      <w:r>
        <w:t xml:space="preserve">Emission Factors Used</w:t>
      </w:r>
    </w:p>
    <w:p>
      <w:pPr>
        <w:numPr>
          <w:ilvl w:val="0"/>
          <w:numId w:val="1009"/>
        </w:numPr>
        <w:pStyle w:val="Compact"/>
      </w:pPr>
      <w:r>
        <w:rPr>
          <w:bCs/>
          <w:b/>
        </w:rPr>
        <w:t xml:space="preserve">Electricity (China Grid Mix):</w:t>
      </w:r>
      <w:r>
        <w:t xml:space="preserve"> </w:t>
      </w:r>
      <w:r>
        <w:t xml:space="preserve">0.58 kg CO2e/kWh (Based on MEE/CT averages, encompassing CO2e)</w:t>
      </w:r>
    </w:p>
    <w:p>
      <w:pPr>
        <w:numPr>
          <w:ilvl w:val="0"/>
          <w:numId w:val="1009"/>
        </w:numPr>
        <w:pStyle w:val="Compact"/>
      </w:pPr>
      <w:r>
        <w:rPr>
          <w:bCs/>
          <w:b/>
        </w:rPr>
        <w:t xml:space="preserve">Road Transport (HGV, EU Average):</w:t>
      </w:r>
      <w:r>
        <w:t xml:space="preserve"> </w:t>
      </w:r>
      <w:r>
        <w:t xml:space="preserve">0.092 kg CO2e/tonne-km (Well-to-Wheel)</w:t>
      </w:r>
    </w:p>
    <w:p>
      <w:pPr>
        <w:numPr>
          <w:ilvl w:val="0"/>
          <w:numId w:val="1009"/>
        </w:numPr>
        <w:pStyle w:val="Compact"/>
      </w:pPr>
      <w:r>
        <w:rPr>
          <w:bCs/>
          <w:b/>
        </w:rPr>
        <w:t xml:space="preserve">Road Transport (LCV/Van, EU Average):</w:t>
      </w:r>
      <w:r>
        <w:t xml:space="preserve"> </w:t>
      </w:r>
      <w:r>
        <w:t xml:space="preserve">0.20 kg CO2e/tonne-km (Estimated for lighter loads/smaller vehicles)</w:t>
      </w:r>
    </w:p>
    <w:p>
      <w:pPr>
        <w:numPr>
          <w:ilvl w:val="0"/>
          <w:numId w:val="1009"/>
        </w:numPr>
        <w:pStyle w:val="Compact"/>
      </w:pPr>
      <w:r>
        <w:rPr>
          <w:bCs/>
          <w:b/>
        </w:rPr>
        <w:t xml:space="preserve">ABS Plastic (Virgin):</w:t>
      </w:r>
      <w:r>
        <w:t xml:space="preserve"> </w:t>
      </w:r>
      <w:r>
        <w:t xml:space="preserve">3.1 kg CO2e/kg (Cradle-to-gate, Europe)</w:t>
      </w:r>
    </w:p>
    <w:p>
      <w:pPr>
        <w:numPr>
          <w:ilvl w:val="0"/>
          <w:numId w:val="1009"/>
        </w:numPr>
        <w:pStyle w:val="Compact"/>
      </w:pPr>
      <w:r>
        <w:rPr>
          <w:bCs/>
          <w:b/>
        </w:rPr>
        <w:t xml:space="preserve">Primary Aluminum:</w:t>
      </w:r>
      <w:r>
        <w:t xml:space="preserve"> </w:t>
      </w:r>
      <w:r>
        <w:t xml:space="preserve">14.8 kg CO2e/kg (Global average, cradle-to-gate)</w:t>
      </w:r>
    </w:p>
    <w:p>
      <w:pPr>
        <w:numPr>
          <w:ilvl w:val="0"/>
          <w:numId w:val="1009"/>
        </w:numPr>
        <w:pStyle w:val="Compact"/>
      </w:pPr>
      <w:r>
        <w:rPr>
          <w:bCs/>
          <w:b/>
        </w:rPr>
        <w:t xml:space="preserve">Electronic Components (Generic):</w:t>
      </w:r>
      <w:r>
        <w:t xml:space="preserve"> </w:t>
      </w:r>
      <w:r>
        <w:t xml:space="preserve">5.65 kg CO2e/kg (Primary material production, cradle-to-gate)</w:t>
      </w:r>
    </w:p>
    <w:p>
      <w:pPr>
        <w:numPr>
          <w:ilvl w:val="0"/>
          <w:numId w:val="1009"/>
        </w:numPr>
        <w:pStyle w:val="Compact"/>
      </w:pPr>
      <w:r>
        <w:rPr>
          <w:bCs/>
          <w:b/>
        </w:rPr>
        <w:t xml:space="preserve">Lithium-ion Battery (Estimated):</w:t>
      </w:r>
      <w:r>
        <w:t xml:space="preserve"> </w:t>
      </w:r>
      <w:r>
        <w:t xml:space="preserve">15.0 kg CO2e/kg (Industry average, cradle-to-gate)</w:t>
      </w:r>
    </w:p>
    <w:p>
      <w:pPr>
        <w:numPr>
          <w:ilvl w:val="0"/>
          <w:numId w:val="1009"/>
        </w:numPr>
        <w:pStyle w:val="Compact"/>
      </w:pPr>
      <w:r>
        <w:rPr>
          <w:bCs/>
          <w:b/>
        </w:rPr>
        <w:t xml:space="preserve">Copper Wiring (Estimated):</w:t>
      </w:r>
      <w:r>
        <w:t xml:space="preserve"> </w:t>
      </w:r>
      <w:r>
        <w:t xml:space="preserve">4.0 kg CO2e/kg (Industry average, cradle-to-gate)</w:t>
      </w:r>
    </w:p>
    <w:bookmarkEnd w:id="37"/>
    <w:bookmarkStart w:id="38" w:name="X1198c8af25dd1a2ebffa686809674f976343a37"/>
    <w:p>
      <w:pPr>
        <w:pStyle w:val="Heading3"/>
      </w:pPr>
      <w:r>
        <w:t xml:space="preserve">5.1. Material Acquisition &amp; Pre-processing (Scope 3 - Upstream)</w:t>
      </w:r>
    </w:p>
    <w:p>
      <w:pPr>
        <w:pStyle w:val="FirstParagraph"/>
      </w:pPr>
      <w:r>
        <w:t xml:space="preserve">These emissions arise from the extraction, processing, and manufacturing of raw materials prior to their arrival at iznmnohdjj\'s production facility. The calculation uses the detailed BOM data.</w:t>
      </w:r>
    </w:p>
    <w:p>
      <w:pPr>
        <w:pStyle w:val="BodyText"/>
      </w:pPr>
      <w:r>
        <w:rPr>
          <w:bCs/>
          <w:b/>
        </w:rPr>
        <w:t xml:space="preserve">Total Material Emissions:</w:t>
      </w:r>
    </w:p>
    <w:p>
      <w:pPr>
        <w:numPr>
          <w:ilvl w:val="0"/>
          <w:numId w:val="1010"/>
        </w:numPr>
        <w:pStyle w:val="Compact"/>
      </w:pPr>
      <w:r>
        <w:t xml:space="preserve">ABS Plastic Casing: 0.25 kg * 3.1 kg CO2e/kg = 0.78 kg CO2e</w:t>
      </w:r>
    </w:p>
    <w:p>
      <w:pPr>
        <w:numPr>
          <w:ilvl w:val="0"/>
          <w:numId w:val="1010"/>
        </w:numPr>
        <w:pStyle w:val="Compact"/>
      </w:pPr>
      <w:r>
        <w:t xml:space="preserve">Aluminum Frame: 0.10 kg * 14.8 kg CO2e/kg = 1.48 kg CO2e</w:t>
      </w:r>
    </w:p>
    <w:p>
      <w:pPr>
        <w:numPr>
          <w:ilvl w:val="0"/>
          <w:numId w:val="1010"/>
        </w:numPr>
        <w:pStyle w:val="Compact"/>
      </w:pPr>
      <w:r>
        <w:t xml:space="preserve">Electronic Components: 0.05 kg * 5.65 kg CO2e/kg = 0.28 kg CO2e</w:t>
      </w:r>
    </w:p>
    <w:p>
      <w:pPr>
        <w:numPr>
          <w:ilvl w:val="0"/>
          <w:numId w:val="1010"/>
        </w:numPr>
        <w:pStyle w:val="Compact"/>
      </w:pPr>
      <w:r>
        <w:t xml:space="preserve">Lithium-ion Battery: 0.08 kg * 15.0 kg CO2e/kg = 1.20 kg CO2e</w:t>
      </w:r>
    </w:p>
    <w:p>
      <w:pPr>
        <w:numPr>
          <w:ilvl w:val="0"/>
          <w:numId w:val="1010"/>
        </w:numPr>
        <w:pStyle w:val="Compact"/>
      </w:pPr>
      <w:r>
        <w:t xml:space="preserve">Copper Wiring: 0.02 kg * 4.0 kg CO2e/kg = 0.08 kg CO2e</w:t>
      </w:r>
    </w:p>
    <w:p>
      <w:pPr>
        <w:pStyle w:val="FirstParagraph"/>
      </w:pPr>
      <w:r>
        <w:rPr>
          <w:bCs/>
          <w:b/>
        </w:rPr>
        <w:t xml:space="preserve">Subtotal Material Acquisition Emissions:</w:t>
      </w:r>
      <w:r>
        <w:t xml:space="preserve"> </w:t>
      </w:r>
      <w:r>
        <w:t xml:space="preserve">0.78 + 1.48 + 0.28 + 1.20 + 0.08 =</w:t>
      </w:r>
      <w:r>
        <w:t xml:space="preserve"> </w:t>
      </w:r>
      <w:r>
        <w:rPr>
          <w:bCs/>
          <w:b/>
        </w:rPr>
        <w:t xml:space="preserve">3.82 kg CO2e</w:t>
      </w:r>
    </w:p>
    <w:bookmarkEnd w:id="38"/>
    <w:bookmarkStart w:id="39" w:name="manufacturingproduction-scope-1-2-3"/>
    <w:p>
      <w:pPr>
        <w:pStyle w:val="Heading3"/>
      </w:pPr>
      <w:r>
        <w:t xml:space="preserve">5.2. Manufacturing/Production (Scope 1, 2, &amp; 3)</w:t>
      </w:r>
    </w:p>
    <w:p>
      <w:pPr>
        <w:pStyle w:val="FirstParagraph"/>
      </w:pPr>
      <w:r>
        <w:t xml:space="preserve">This phase covers emissions from the actual production process in China, including direct emissions (Scope 1, assumed negligible for this product without specific data), and indirect emissions from purchased electricity (Scope 2).</w:t>
      </w:r>
    </w:p>
    <w:p>
      <w:pPr>
        <w:numPr>
          <w:ilvl w:val="0"/>
          <w:numId w:val="1011"/>
        </w:numPr>
        <w:pStyle w:val="Compact"/>
      </w:pPr>
      <w:r>
        <w:rPr>
          <w:bCs/>
          <w:b/>
        </w:rPr>
        <w:t xml:space="preserve">Total Energy Consumption:</w:t>
      </w:r>
      <w:r>
        <w:t xml:space="preserve"> </w:t>
      </w:r>
      <w:r>
        <w:t xml:space="preserve">2.5 kWh/unit</w:t>
      </w:r>
    </w:p>
    <w:p>
      <w:pPr>
        <w:numPr>
          <w:ilvl w:val="0"/>
          <w:numId w:val="1011"/>
        </w:numPr>
        <w:pStyle w:val="Compact"/>
      </w:pPr>
      <w:r>
        <w:rPr>
          <w:bCs/>
          <w:b/>
        </w:rPr>
        <w:t xml:space="preserve">Renewable Energy Usage:</w:t>
      </w:r>
      <w:r>
        <w:t xml:space="preserve"> </w:t>
      </w:r>
      <w:r>
        <w:t xml:space="preserve">50%</w:t>
      </w:r>
    </w:p>
    <w:p>
      <w:pPr>
        <w:numPr>
          <w:ilvl w:val="0"/>
          <w:numId w:val="1011"/>
        </w:numPr>
        <w:pStyle w:val="Compact"/>
      </w:pPr>
      <w:r>
        <w:rPr>
          <w:bCs/>
          <w:b/>
        </w:rPr>
        <w:t xml:space="preserve">Non-renewable Energy Consumption:</w:t>
      </w:r>
      <w:r>
        <w:t xml:space="preserve"> </w:t>
      </w:r>
      <w:r>
        <w:t xml:space="preserve">2.5 kWh/unit * (1 - 0.50) = 1.25 kWh/unit</w:t>
      </w:r>
    </w:p>
    <w:p>
      <w:pPr>
        <w:numPr>
          <w:ilvl w:val="0"/>
          <w:numId w:val="1011"/>
        </w:numPr>
        <w:pStyle w:val="Compact"/>
      </w:pPr>
      <w:r>
        <w:rPr>
          <w:bCs/>
          <w:b/>
        </w:rPr>
        <w:t xml:space="preserve">Electricity Emission Factor (China):</w:t>
      </w:r>
      <w:r>
        <w:t xml:space="preserve"> </w:t>
      </w:r>
      <w:r>
        <w:t xml:space="preserve">0.58 kg CO2e/kWh</w:t>
      </w:r>
    </w:p>
    <w:p>
      <w:pPr>
        <w:pStyle w:val="FirstParagraph"/>
      </w:pPr>
      <w:r>
        <w:rPr>
          <w:bCs/>
          <w:b/>
        </w:rPr>
        <w:t xml:space="preserve">Scope 2 Emissions (Purchased Electricity):</w:t>
      </w:r>
      <w:r>
        <w:t xml:space="preserve"> </w:t>
      </w:r>
      <w:r>
        <w:t xml:space="preserve">1.25 kWh/unit * 0.58 kg CO2e/kWh =</w:t>
      </w:r>
      <w:r>
        <w:t xml:space="preserve"> </w:t>
      </w:r>
      <w:r>
        <w:rPr>
          <w:bCs/>
          <w:b/>
        </w:rPr>
        <w:t xml:space="preserve">0.73 kg CO2e</w:t>
      </w:r>
    </w:p>
    <w:p>
      <w:pPr>
        <w:pStyle w:val="BodyText"/>
      </w:pPr>
      <w:r>
        <w:rPr>
          <w:iCs/>
          <w:i/>
        </w:rPr>
        <w:t xml:space="preserve">Note: Scope 1 emissions (e.g., from on-site fuel combustion) are assumed negligible or zero for this product without specific data provided. Any upstream emissions related to renewable energy generation are embedded in the energy supplier\'s footprint and are outside the Scope 2 boundary but could be considered Scope 3 for the renewable portion if detailed supply chain data was available.</w:t>
      </w:r>
    </w:p>
    <w:bookmarkEnd w:id="39"/>
    <w:bookmarkStart w:id="42" w:name="Xc78fa9e95fdc5a4841e5055035e97eb6a5c3c11"/>
    <w:p>
      <w:pPr>
        <w:pStyle w:val="Heading3"/>
      </w:pPr>
      <w:r>
        <w:t xml:space="preserve">5.3. Transport &amp; Distribution (Scope 3 - Upstream &amp; Downstream)</w:t>
      </w:r>
    </w:p>
    <w:p>
      <w:pPr>
        <w:pStyle w:val="FirstParagraph"/>
      </w:pPr>
      <w:r>
        <w:t xml:space="preserve">This section quantifies emissions from transporting materials to the factory (upstream) and distributing the finished product (downstream). Product weight is 0.5 kg (0.0005 tonnes).</w:t>
      </w:r>
    </w:p>
    <w:bookmarkStart w:id="40" w:name="Xda7cd503be5502f1e9a55d3f86b2e2496ba9763"/>
    <w:p>
      <w:pPr>
        <w:pStyle w:val="Heading4"/>
      </w:pPr>
      <w:r>
        <w:t xml:space="preserve">5.3.1. Upstream Transport (Materials to Factory in China)</w:t>
      </w:r>
    </w:p>
    <w:p>
      <w:pPr>
        <w:numPr>
          <w:ilvl w:val="0"/>
          <w:numId w:val="1012"/>
        </w:numPr>
        <w:pStyle w:val="Compact"/>
      </w:pPr>
      <w:r>
        <w:rPr>
          <w:bCs/>
          <w:b/>
        </w:rPr>
        <w:t xml:space="preserve">Transport Mode:</w:t>
      </w:r>
      <w:r>
        <w:t xml:space="preserve"> </w:t>
      </w:r>
      <w:r>
        <w:t xml:space="preserve">Road, HGV (Assumed)</w:t>
      </w:r>
    </w:p>
    <w:p>
      <w:pPr>
        <w:numPr>
          <w:ilvl w:val="0"/>
          <w:numId w:val="1012"/>
        </w:numPr>
        <w:pStyle w:val="Compact"/>
      </w:pPr>
      <w:r>
        <w:rPr>
          <w:bCs/>
          <w:b/>
        </w:rPr>
        <w:t xml:space="preserve">Distance:</w:t>
      </w:r>
      <w:r>
        <w:t xml:space="preserve"> </w:t>
      </w:r>
      <w:r>
        <w:t xml:space="preserve">2500 km (Assumed)</w:t>
      </w:r>
    </w:p>
    <w:p>
      <w:pPr>
        <w:numPr>
          <w:ilvl w:val="0"/>
          <w:numId w:val="1012"/>
        </w:numPr>
        <w:pStyle w:val="Compact"/>
      </w:pPr>
      <w:r>
        <w:rPr>
          <w:bCs/>
          <w:b/>
        </w:rPr>
        <w:t xml:space="preserve">Product Weight:</w:t>
      </w:r>
      <w:r>
        <w:t xml:space="preserve"> </w:t>
      </w:r>
      <w:r>
        <w:t xml:space="preserve">0.5 kg (0.0005 tonnes)</w:t>
      </w:r>
    </w:p>
    <w:p>
      <w:pPr>
        <w:numPr>
          <w:ilvl w:val="0"/>
          <w:numId w:val="1012"/>
        </w:numPr>
        <w:pStyle w:val="Compact"/>
      </w:pPr>
      <w:r>
        <w:rPr>
          <w:bCs/>
          <w:b/>
        </w:rPr>
        <w:t xml:space="preserve">Emission Factor:</w:t>
      </w:r>
      <w:r>
        <w:t xml:space="preserve"> </w:t>
      </w:r>
      <w:r>
        <w:t xml:space="preserve">0.092 kg CO2e/tonne-km</w:t>
      </w:r>
    </w:p>
    <w:p>
      <w:pPr>
        <w:pStyle w:val="FirstParagraph"/>
      </w:pPr>
      <w:r>
        <w:rPr>
          <w:bCs/>
          <w:b/>
        </w:rPr>
        <w:t xml:space="preserve">Upstream Transport Emissions:</w:t>
      </w:r>
      <w:r>
        <w:t xml:space="preserve"> </w:t>
      </w:r>
      <w:r>
        <w:t xml:space="preserve">0.0005 tonnes * 2500 km * 0.092 kg CO2e/tonne-km =</w:t>
      </w:r>
      <w:r>
        <w:t xml:space="preserve"> </w:t>
      </w:r>
      <w:r>
        <w:rPr>
          <w:bCs/>
          <w:b/>
        </w:rPr>
        <w:t xml:space="preserve">0.115 kg CO2e</w:t>
      </w:r>
    </w:p>
    <w:bookmarkEnd w:id="40"/>
    <w:bookmarkStart w:id="41" w:name="last-mile-delivery-product-to-customer"/>
    <w:p>
      <w:pPr>
        <w:pStyle w:val="Heading4"/>
      </w:pPr>
      <w:r>
        <w:t xml:space="preserve">5.3.2. Last-Mile Delivery (Product to Customer)</w:t>
      </w:r>
    </w:p>
    <w:p>
      <w:pPr>
        <w:numPr>
          <w:ilvl w:val="0"/>
          <w:numId w:val="1013"/>
        </w:numPr>
        <w:pStyle w:val="Compact"/>
      </w:pPr>
      <w:r>
        <w:rPr>
          <w:bCs/>
          <w:b/>
        </w:rPr>
        <w:t xml:space="preserve">Delivery Channel:</w:t>
      </w:r>
      <w:r>
        <w:t xml:space="preserve"> </w:t>
      </w:r>
      <w:r>
        <w:t xml:space="preserve">Road, LCV / Van (Assumed)</w:t>
      </w:r>
    </w:p>
    <w:p>
      <w:pPr>
        <w:numPr>
          <w:ilvl w:val="0"/>
          <w:numId w:val="1013"/>
        </w:numPr>
        <w:pStyle w:val="Compact"/>
      </w:pPr>
      <w:r>
        <w:rPr>
          <w:bCs/>
          <w:b/>
        </w:rPr>
        <w:t xml:space="preserve">Distance:</w:t>
      </w:r>
      <w:r>
        <w:t xml:space="preserve"> </w:t>
      </w:r>
      <w:r>
        <w:t xml:space="preserve">100 km (Assumed)</w:t>
      </w:r>
    </w:p>
    <w:p>
      <w:pPr>
        <w:numPr>
          <w:ilvl w:val="0"/>
          <w:numId w:val="1013"/>
        </w:numPr>
        <w:pStyle w:val="Compact"/>
      </w:pPr>
      <w:r>
        <w:rPr>
          <w:bCs/>
          <w:b/>
        </w:rPr>
        <w:t xml:space="preserve">Product Weight:</w:t>
      </w:r>
      <w:r>
        <w:t xml:space="preserve"> </w:t>
      </w:r>
      <w:r>
        <w:t xml:space="preserve">0.5 kg (0.0005 tonnes)</w:t>
      </w:r>
    </w:p>
    <w:p>
      <w:pPr>
        <w:numPr>
          <w:ilvl w:val="0"/>
          <w:numId w:val="1013"/>
        </w:numPr>
        <w:pStyle w:val="Compact"/>
      </w:pPr>
      <w:r>
        <w:rPr>
          <w:bCs/>
          <w:b/>
        </w:rPr>
        <w:t xml:space="preserve">Emission Factor:</w:t>
      </w:r>
      <w:r>
        <w:t xml:space="preserve"> </w:t>
      </w:r>
      <w:r>
        <w:t xml:space="preserve">0.20 kg CO2e/tonne-km (Estimated)</w:t>
      </w:r>
    </w:p>
    <w:p>
      <w:pPr>
        <w:pStyle w:val="FirstParagraph"/>
      </w:pPr>
      <w:r>
        <w:rPr>
          <w:bCs/>
          <w:b/>
        </w:rPr>
        <w:t xml:space="preserve">Last-Mile Delivery Emissions:</w:t>
      </w:r>
      <w:r>
        <w:t xml:space="preserve"> </w:t>
      </w:r>
      <w:r>
        <w:t xml:space="preserve">0.0005 tonnes * 100 km * 0.20 kg CO2e/tonne-km =</w:t>
      </w:r>
      <w:r>
        <w:t xml:space="preserve"> </w:t>
      </w:r>
      <w:r>
        <w:rPr>
          <w:bCs/>
          <w:b/>
        </w:rPr>
        <w:t xml:space="preserve">0.010 kg CO2e</w:t>
      </w:r>
    </w:p>
    <w:p>
      <w:pPr>
        <w:pStyle w:val="BodyText"/>
      </w:pPr>
      <w:r>
        <w:rPr>
          <w:bCs/>
          <w:b/>
        </w:rPr>
        <w:t xml:space="preserve">Subtotal Transport &amp; Distribution Emissions:</w:t>
      </w:r>
      <w:r>
        <w:t xml:space="preserve"> </w:t>
      </w:r>
      <w:r>
        <w:t xml:space="preserve">0.115 + 0.010 =</w:t>
      </w:r>
      <w:r>
        <w:t xml:space="preserve"> </w:t>
      </w:r>
      <w:r>
        <w:rPr>
          <w:bCs/>
          <w:b/>
        </w:rPr>
        <w:t xml:space="preserve">0.125 kg CO2e</w:t>
      </w:r>
    </w:p>
    <w:bookmarkEnd w:id="41"/>
    <w:bookmarkEnd w:id="42"/>
    <w:bookmarkStart w:id="43" w:name="use-phase-scope-3---downstream"/>
    <w:p>
      <w:pPr>
        <w:pStyle w:val="Heading3"/>
      </w:pPr>
      <w:r>
        <w:t xml:space="preserve">5.4. Use Phase (Scope 3 - Downstream)</w:t>
      </w:r>
    </w:p>
    <w:p>
      <w:pPr>
        <w:pStyle w:val="FirstParagraph"/>
      </w:pPr>
      <w:r>
        <w:t xml:space="preserve">Emissions during the product\'s lifespan, primarily from electricity consumption. The electricity mix for the use phase is assumed to be the global average (or the end-user\'s regional grid mix if specified; for this report, we\'ll assume a global average emission factor of 0.475 kg CO2e/kWh for simplicity, as specific end-user region is not given for the use phase, and China\'s factor might not be representative for global use phase).</w:t>
      </w:r>
    </w:p>
    <w:p>
      <w:pPr>
        <w:pStyle w:val="BodyText"/>
      </w:pPr>
      <w:r>
        <w:rPr>
          <w:bCs/>
          <w:b/>
        </w:rPr>
        <w:t xml:space="preserve">Global Average Electricity Emission Factor:</w:t>
      </w:r>
      <w:r>
        <w:t xml:space="preserve"> </w:t>
      </w:r>
      <w:r>
        <w:t xml:space="preserve">0.475 kg CO2e/kWh (Approximate global average)</w:t>
      </w:r>
    </w:p>
    <w:p>
      <w:pPr>
        <w:numPr>
          <w:ilvl w:val="0"/>
          <w:numId w:val="1014"/>
        </w:numPr>
        <w:pStyle w:val="Compact"/>
      </w:pPr>
      <w:r>
        <w:rPr>
          <w:bCs/>
          <w:b/>
        </w:rPr>
        <w:t xml:space="preserve">Product Lifespan:</w:t>
      </w:r>
      <w:r>
        <w:t xml:space="preserve"> </w:t>
      </w:r>
      <w:r>
        <w:t xml:space="preserve">5 years</w:t>
      </w:r>
    </w:p>
    <w:p>
      <w:pPr>
        <w:numPr>
          <w:ilvl w:val="0"/>
          <w:numId w:val="1014"/>
        </w:numPr>
        <w:pStyle w:val="Compact"/>
      </w:pPr>
      <w:r>
        <w:rPr>
          <w:bCs/>
          <w:b/>
        </w:rPr>
        <w:t xml:space="preserve">Energy Consumption in Use:</w:t>
      </w:r>
      <w:r>
        <w:t xml:space="preserve"> </w:t>
      </w:r>
      <w:r>
        <w:t xml:space="preserve">10 kWh/year</w:t>
      </w:r>
    </w:p>
    <w:p>
      <w:pPr>
        <w:numPr>
          <w:ilvl w:val="0"/>
          <w:numId w:val="1014"/>
        </w:numPr>
        <w:pStyle w:val="Compact"/>
      </w:pPr>
      <w:r>
        <w:rPr>
          <w:bCs/>
          <w:b/>
        </w:rPr>
        <w:t xml:space="preserve">Total Energy Consumption over Lifespan:</w:t>
      </w:r>
      <w:r>
        <w:t xml:space="preserve"> </w:t>
      </w:r>
      <w:r>
        <w:t xml:space="preserve">10 kWh/year * 5 years = 50 kWh</w:t>
      </w:r>
    </w:p>
    <w:p>
      <w:pPr>
        <w:pStyle w:val="FirstParagraph"/>
      </w:pPr>
      <w:r>
        <w:rPr>
          <w:bCs/>
          <w:b/>
        </w:rPr>
        <w:t xml:space="preserve">Use Phase Emissions:</w:t>
      </w:r>
      <w:r>
        <w:t xml:space="preserve"> </w:t>
      </w:r>
      <w:r>
        <w:t xml:space="preserve">50 kWh * 0.475 kg CO2e/kWh =</w:t>
      </w:r>
      <w:r>
        <w:t xml:space="preserve"> </w:t>
      </w:r>
      <w:r>
        <w:rPr>
          <w:bCs/>
          <w:b/>
        </w:rPr>
        <w:t xml:space="preserve">23.75 kg CO2e</w:t>
      </w:r>
    </w:p>
    <w:bookmarkEnd w:id="43"/>
    <w:bookmarkStart w:id="44" w:name="end-of-life-eol-scope-3---downstream"/>
    <w:p>
      <w:pPr>
        <w:pStyle w:val="Heading3"/>
      </w:pPr>
      <w:r>
        <w:t xml:space="preserve">5.5. End-of-Life (EoL) (Scope 3 - Downstream)</w:t>
      </w:r>
    </w:p>
    <w:p>
      <w:pPr>
        <w:pStyle w:val="FirstParagraph"/>
      </w:pPr>
      <w:r>
        <w:t xml:space="preserve">Emissions (and potential avoided emissions) associated with the product\'s disposal or recovery at the end of its life.</w:t>
      </w:r>
    </w:p>
    <w:p>
      <w:pPr>
        <w:numPr>
          <w:ilvl w:val="0"/>
          <w:numId w:val="1015"/>
        </w:numPr>
        <w:pStyle w:val="Compact"/>
      </w:pPr>
      <w:r>
        <w:rPr>
          <w:bCs/>
          <w:b/>
        </w:rPr>
        <w:t xml:space="preserve">Recyclability Percentage:</w:t>
      </w:r>
      <w:r>
        <w:t xml:space="preserve"> </w:t>
      </w:r>
      <w:r>
        <w:t xml:space="preserve">70%</w:t>
      </w:r>
    </w:p>
    <w:p>
      <w:pPr>
        <w:numPr>
          <w:ilvl w:val="0"/>
          <w:numId w:val="1015"/>
        </w:numPr>
        <w:pStyle w:val="Compact"/>
      </w:pPr>
      <w:r>
        <w:rPr>
          <w:bCs/>
          <w:b/>
        </w:rPr>
        <w:t xml:space="preserve">Circular/Take-back Programs:</w:t>
      </w:r>
      <w:r>
        <w:t xml:space="preserve"> </w:t>
      </w:r>
      <w:r>
        <w:t xml:space="preserve">Established product take-back and refurbishment program</w:t>
      </w:r>
    </w:p>
    <w:p>
      <w:pPr>
        <w:numPr>
          <w:ilvl w:val="0"/>
          <w:numId w:val="1015"/>
        </w:numPr>
        <w:pStyle w:val="Compact"/>
      </w:pPr>
      <w:r>
        <w:rPr>
          <w:bCs/>
          <w:b/>
        </w:rPr>
        <w:t xml:space="preserve">Product Weight:</w:t>
      </w:r>
      <w:r>
        <w:t xml:space="preserve"> </w:t>
      </w:r>
      <w:r>
        <w:t xml:space="preserve">0.5 kg</w:t>
      </w:r>
    </w:p>
    <w:p>
      <w:pPr>
        <w:pStyle w:val="FirstParagraph"/>
      </w:pPr>
      <w:r>
        <w:t xml:space="preserve">For EoL, we consider emissions from disposal of non-recycled waste and potential avoided emissions from recycling and circular programs. Assuming that for the 70% recycled portion, the emissions for reprocessing are significantly lower than virgin material production (e.g., aluminium recycling saves ~95% energy), and for the remaining 30%, it goes to landfill (emitting ~1.0 kg CO2e/kg for electronic waste, estimated) or incineration. For simplicity in this illustrative calculation, we\'ll calculate emissions for the non-recycled portion.</w:t>
      </w:r>
    </w:p>
    <w:p>
      <w:pPr>
        <w:numPr>
          <w:ilvl w:val="0"/>
          <w:numId w:val="1016"/>
        </w:numPr>
        <w:pStyle w:val="Compact"/>
      </w:pPr>
      <w:r>
        <w:rPr>
          <w:bCs/>
          <w:b/>
        </w:rPr>
        <w:t xml:space="preserve">Non-recycled Waste:</w:t>
      </w:r>
      <w:r>
        <w:t xml:space="preserve"> </w:t>
      </w:r>
      <w:r>
        <w:t xml:space="preserve">0.5 kg * (1 - 0.70) = 0.15 kg</w:t>
      </w:r>
    </w:p>
    <w:p>
      <w:pPr>
        <w:numPr>
          <w:ilvl w:val="0"/>
          <w:numId w:val="1016"/>
        </w:numPr>
        <w:pStyle w:val="Compact"/>
      </w:pPr>
      <w:r>
        <w:rPr>
          <w:bCs/>
          <w:b/>
        </w:rPr>
        <w:t xml:space="preserve">EoL Emission Factor (General Waste, Landfill/Incineration):</w:t>
      </w:r>
      <w:r>
        <w:t xml:space="preserve"> </w:t>
      </w:r>
      <w:r>
        <w:t xml:space="preserve">1.0 kg CO2e/kg (Estimated for electronic waste treatment, net of any energy recovery)</w:t>
      </w:r>
    </w:p>
    <w:p>
      <w:pPr>
        <w:pStyle w:val="FirstParagraph"/>
      </w:pPr>
      <w:r>
        <w:rPr>
          <w:bCs/>
          <w:b/>
        </w:rPr>
        <w:t xml:space="preserve">EoL Emissions (Disposal):</w:t>
      </w:r>
      <w:r>
        <w:t xml:space="preserve"> </w:t>
      </w:r>
      <w:r>
        <w:t xml:space="preserve">0.15 kg * 1.0 kg CO2e/kg = 0.15 kg CO2e</w:t>
      </w:r>
    </w:p>
    <w:p>
      <w:pPr>
        <w:pStyle w:val="BodyText"/>
      </w:pPr>
      <w:r>
        <w:t xml:space="preserve">The "Established product take-back and refurbishment program" implies further reduction or extension of product life, offering benefits that are challenging to quantify without detailed program data. For this report, we acknowledge the positive impact of such programs, which would further reduce the overall burden but are not explicitly quantified in this EoL calculation for a single functional unit.</w:t>
      </w:r>
    </w:p>
    <w:p>
      <w:pPr>
        <w:pStyle w:val="BodyText"/>
      </w:pPr>
      <w:r>
        <w:rPr>
          <w:bCs/>
          <w:b/>
        </w:rPr>
        <w:t xml:space="preserve">Subtotal End-of-Life Emissions:</w:t>
      </w:r>
      <w:r>
        <w:t xml:space="preserve"> </w:t>
      </w:r>
      <w:r>
        <w:rPr>
          <w:bCs/>
          <w:b/>
        </w:rPr>
        <w:t xml:space="preserve">0.15 kg CO2e</w:t>
      </w:r>
    </w:p>
    <w:bookmarkEnd w:id="44"/>
    <w:bookmarkStart w:id="45" w:name="X299a3717db401fbc63eac38de0814f3ad8939f4"/>
    <w:p>
      <w:pPr>
        <w:pStyle w:val="Heading3"/>
      </w:pPr>
      <w:r>
        <w:t xml:space="preserve">5.6. Total Product Carbon Footprint (PCF) Summary</w:t>
      </w:r>
    </w:p>
    <w:p>
      <w:pPr>
        <w:pStyle w:val="FirstParagraph"/>
      </w:pPr>
      <w:r>
        <w:t xml:space="preserve">Summing up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3.82</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0.73</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0.115</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28.605 kg CO2e</w:t>
            </w:r>
          </w:p>
        </w:tc>
      </w:tr>
    </w:tbl>
    <w:p>
      <w:pPr>
        <w:pStyle w:val="BodyText"/>
      </w:pPr>
      <w:r>
        <w:t xml:space="preserve">The total carbon footprint for one functional unit of mizdvvszkl is estimated to be</w:t>
      </w:r>
      <w:r>
        <w:t xml:space="preserve"> </w:t>
      </w:r>
      <w:r>
        <w:rPr>
          <w:bCs/>
          <w:b/>
        </w:rPr>
        <w:t xml:space="preserve">28.61 kg CO2e</w:t>
      </w:r>
      <w:r>
        <w:t xml:space="preserve">.</w:t>
      </w:r>
    </w:p>
    <w:bookmarkEnd w:id="45"/>
    <w:bookmarkStart w:id="46" w:name="ghg-protocol-scopes-summary"/>
    <w:p>
      <w:pPr>
        <w:pStyle w:val="Heading3"/>
      </w:pPr>
      <w:r>
        <w:t xml:space="preserve">5.7. GHG Protocol Scopes Summary</w:t>
      </w:r>
    </w:p>
    <w:p>
      <w:pPr>
        <w:pStyle w:val="FirstParagraph"/>
      </w:pPr>
      <w:r>
        <w:t xml:space="preserve">A breakdown of emissions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w:t>
            </w:r>
          </w:p>
        </w:tc>
        <w:tc>
          <w:tcPr/>
          <w:p>
            <w:pPr>
              <w:pStyle w:val="Compact"/>
              <w:jc w:val="left"/>
            </w:pPr>
            <w:r>
              <w:t xml:space="preserve">0.73</w:t>
            </w:r>
          </w:p>
        </w:tc>
        <w:tc>
          <w:tcPr/>
          <w:p>
            <w:pPr>
              <w:pStyle w:val="Compact"/>
              <w:jc w:val="left"/>
            </w:pPr>
            <w:r>
              <w:t xml:space="preserve">2.55%</w:t>
            </w:r>
          </w:p>
        </w:tc>
      </w:tr>
      <w:tr>
        <w:tc>
          <w:tcPr/>
          <w:p>
            <w:pPr>
              <w:pStyle w:val="Compact"/>
              <w:jc w:val="left"/>
            </w:pPr>
            <w:r>
              <w:t xml:space="preserve">Scope 3</w:t>
            </w:r>
          </w:p>
        </w:tc>
        <w:tc>
          <w:tcPr/>
          <w:p>
            <w:pPr>
              <w:pStyle w:val="Compact"/>
              <w:jc w:val="left"/>
            </w:pPr>
            <w:r>
              <w:t xml:space="preserve">All other indirect emissions (value chain)</w:t>
            </w:r>
          </w:p>
        </w:tc>
        <w:tc>
          <w:tcPr/>
          <w:p>
            <w:pPr>
              <w:pStyle w:val="Compact"/>
              <w:jc w:val="left"/>
            </w:pPr>
            <w:r>
              <w:t xml:space="preserve">27.875</w:t>
            </w:r>
          </w:p>
        </w:tc>
        <w:tc>
          <w:tcPr/>
          <w:p>
            <w:pPr>
              <w:pStyle w:val="Compact"/>
              <w:jc w:val="left"/>
            </w:pPr>
            <w:r>
              <w:t xml:space="preserve">97.45%</w:t>
            </w:r>
          </w:p>
        </w:tc>
      </w:tr>
      <w:tr>
        <w:tc>
          <w:tcPr/>
          <w:p>
            <w:pPr>
              <w:pStyle w:val="Compact"/>
              <w:jc w:val="left"/>
            </w:pPr>
            <w:r>
              <w:t xml:space="preserve">    - Upstream (Materials, Transport)</w:t>
            </w:r>
          </w:p>
        </w:tc>
        <w:tc>
          <w:tcPr/>
          <w:p>
            <w:pPr>
              <w:pStyle w:val="Compact"/>
            </w:pPr>
          </w:p>
        </w:tc>
        <w:tc>
          <w:tcPr/>
          <w:p>
            <w:pPr>
              <w:pStyle w:val="Compact"/>
              <w:jc w:val="left"/>
            </w:pPr>
            <w:r>
              <w:t xml:space="preserve">3.82 + 0.115 = 3.935</w:t>
            </w:r>
          </w:p>
        </w:tc>
        <w:tc>
          <w:tcPr/>
          <w:p>
            <w:pPr>
              <w:pStyle w:val="Compact"/>
              <w:jc w:val="left"/>
            </w:pPr>
            <w:r>
              <w:t xml:space="preserve">13.76%</w:t>
            </w:r>
          </w:p>
        </w:tc>
      </w:tr>
      <w:tr>
        <w:tc>
          <w:tcPr/>
          <w:p>
            <w:pPr>
              <w:pStyle w:val="Compact"/>
              <w:jc w:val="left"/>
            </w:pPr>
            <w:r>
              <w:t xml:space="preserve">    - Downstream (Transport, Use, EoL)</w:t>
            </w:r>
          </w:p>
        </w:tc>
        <w:tc>
          <w:tcPr/>
          <w:p>
            <w:pPr>
              <w:pStyle w:val="Compact"/>
            </w:pPr>
          </w:p>
        </w:tc>
        <w:tc>
          <w:tcPr/>
          <w:p>
            <w:pPr>
              <w:pStyle w:val="Compact"/>
              <w:jc w:val="left"/>
            </w:pPr>
            <w:r>
              <w:t xml:space="preserve">0.010 + 23.75 + 0.15 = 23.91</w:t>
            </w:r>
          </w:p>
        </w:tc>
        <w:tc>
          <w:tcPr/>
          <w:p>
            <w:pPr>
              <w:pStyle w:val="Compact"/>
              <w:jc w:val="left"/>
            </w:pPr>
            <w:r>
              <w:t xml:space="preserve">83.69%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28.605</w:t>
            </w:r>
          </w:p>
        </w:tc>
        <w:tc>
          <w:tcPr/>
          <w:p>
            <w:pPr>
              <w:pStyle w:val="Compact"/>
              <w:jc w:val="left"/>
            </w:pPr>
            <w:r>
              <w:rPr>
                <w:bCs/>
                <w:b/>
              </w:rPr>
              <w:t xml:space="preserve">100.00%</w:t>
            </w:r>
          </w:p>
        </w:tc>
      </w:tr>
    </w:tbl>
    <w:p>
      <w:pPr>
        <w:pStyle w:val="BodyText"/>
      </w:pPr>
      <w:r>
        <w:rPr>
          <w:iCs/>
          <w:i/>
        </w:rPr>
        <w:t xml:space="preserve">Note: Scope 1 emissions are assumed to be zero due to a lack of specific direct combustion data for the production process. The Scope 3 coverage exceeds the 95% requirement.</w:t>
      </w:r>
    </w:p>
    <w:p>
      <w:r>
        <w:pict>
          <v:rect style="width:0;height:1.5pt" o:hralign="center" o:hrstd="t" o:hr="t"/>
        </w:pict>
      </w:r>
    </w:p>
    <w:bookmarkEnd w:id="46"/>
    <w:bookmarkEnd w:id="47"/>
    <w:bookmarkStart w:id="48" w:name="X5a4f551c90074bc557f30e0af419a5f70a48401"/>
    <w:p>
      <w:pPr>
        <w:pStyle w:val="Heading2"/>
      </w:pPr>
      <w:r>
        <w:t xml:space="preserve">6. Land Sector and Removals (LSR) Standard Application</w:t>
      </w:r>
    </w:p>
    <w:p>
      <w:pPr>
        <w:pStyle w:val="FirstParagraph"/>
      </w:pPr>
      <w:r>
        <w:t xml:space="preserve">In adherence to the 2026 LSR Standard update, this PCF analysis acknowledges the importance of accounting for land-based emissions and removals. For mizdvvszkl, without direct land-use data associated with its production site or immediate product components (e.g., timber), the application of the LSR standard primarily focuses on embedded land-related impacts within the upstream supply chain. This means considering if any raw materials (e.g., bio-based plastics, which are not explicitly in the BOM but would be covered if present) involve land-use change emissions or carbon removals through sustainable forestry or agricultural practices. The chosen emission factors for materials generally include cradle-to-gate impacts, which would implicitly cover some upstream land impacts. For future iterations with more detailed supply chain data, specific assessment of land-use change emissions (e.g., deforestation for raw material sourcing) and potential carbon removals (e.g., through carbon sequestration in bio-based materials or responsible land management) will be explicitly quantified and reported.</w:t>
      </w:r>
    </w:p>
    <w:p>
      <w:r>
        <w:pict>
          <v:rect style="width:0;height:1.5pt" o:hralign="center" o:hrstd="t" o:hr="t"/>
        </w:pict>
      </w:r>
    </w:p>
    <w:bookmarkEnd w:id="48"/>
    <w:bookmarkStart w:id="51" w:name="hotspots-and-reliability"/>
    <w:p>
      <w:pPr>
        <w:pStyle w:val="Heading2"/>
      </w:pPr>
      <w:r>
        <w:t xml:space="preserve">7. Hotspots and Reliability</w:t>
      </w:r>
    </w:p>
    <w:bookmarkStart w:id="49" w:name="emission-hotspots"/>
    <w:p>
      <w:pPr>
        <w:pStyle w:val="Heading3"/>
      </w:pPr>
      <w:r>
        <w:t xml:space="preserve">Emission Hotspots</w:t>
      </w:r>
    </w:p>
    <w:p>
      <w:pPr>
        <w:pStyle w:val="FirstParagraph"/>
      </w:pPr>
      <w:r>
        <w:t xml:space="preserve">The analysis clearly identifies the</w:t>
      </w:r>
      <w:r>
        <w:t xml:space="preserve"> </w:t>
      </w:r>
      <w:r>
        <w:rPr>
          <w:bCs/>
          <w:b/>
        </w:rPr>
        <w:t xml:space="preserve">Use Phase (23.75 kg CO2e, 83.0%)</w:t>
      </w:r>
      <w:r>
        <w:t xml:space="preserve"> </w:t>
      </w:r>
      <w:r>
        <w:t xml:space="preserve">as the most significant contributor to the overall carbon footprint of mizdvvszkl. This is primarily driven by the product\'s assumed energy consumption over its 5-year lifespan. Following the Use Phase,</w:t>
      </w:r>
      <w:r>
        <w:t xml:space="preserve"> </w:t>
      </w:r>
      <w:r>
        <w:rPr>
          <w:bCs/>
          <w:b/>
        </w:rPr>
        <w:t xml:space="preserve">Material Acquisition &amp; Pre-processing (3.82 kg CO2e, 13.4%)</w:t>
      </w:r>
      <w:r>
        <w:t xml:space="preserve"> </w:t>
      </w:r>
      <w:r>
        <w:t xml:space="preserve">represents the next major hotspot, highlighting the impact of raw material choices, particularly primary aluminum and the lithium-ion battery. Manufacturing (Scope 2) and transportation contribute a smaller, but still relevant, portion.</w:t>
      </w:r>
    </w:p>
    <w:bookmarkEnd w:id="49"/>
    <w:bookmarkStart w:id="50" w:name="data-reliability"/>
    <w:p>
      <w:pPr>
        <w:pStyle w:val="Heading3"/>
      </w:pPr>
      <w:r>
        <w:t xml:space="preserve">Data Reliability</w:t>
      </w:r>
    </w:p>
    <w:p>
      <w:pPr>
        <w:pStyle w:val="FirstParagraph"/>
      </w:pPr>
      <w:r>
        <w:t xml:space="preserve">The reliability of this PCF relies on a combination of primary (company-specific parameters) and secondary (industry-average emission factors) data. The specific parameters provided (energy intensity, lifespan, recyclability, etc.) enhance the accuracy of the calculations. However, reliance on assumed or generic values for transport modes, distances, and some emission factors for components (e.g., batteries, copper) introduces a degree of uncertainty. Continuous efforts to collect more specific, primary data from suppliers and logistics providers will further improve the accuracy and robustness of future assessments.</w:t>
      </w:r>
    </w:p>
    <w:p>
      <w:r>
        <w:pict>
          <v:rect style="width:0;height:1.5pt" o:hralign="center" o:hrstd="t" o:hr="t"/>
        </w:pict>
      </w:r>
    </w:p>
    <w:bookmarkEnd w:id="50"/>
    <w:bookmarkEnd w:id="51"/>
    <w:bookmarkStart w:id="53" w:name="conclusion-and-recommendations"/>
    <w:p>
      <w:pPr>
        <w:pStyle w:val="Heading2"/>
      </w:pPr>
      <w:r>
        <w:t xml:space="preserve">8. Conclusion and Recommendations</w:t>
      </w:r>
    </w:p>
    <w:p>
      <w:pPr>
        <w:pStyle w:val="FirstParagraph"/>
      </w:pPr>
      <w:r>
        <w:t xml:space="preserve">The Product Carbon Footprint for mizdvvszkl is estimated at</w:t>
      </w:r>
      <w:r>
        <w:t xml:space="preserve"> </w:t>
      </w:r>
      <w:r>
        <w:rPr>
          <w:bCs/>
          <w:b/>
        </w:rPr>
        <w:t xml:space="preserve">28.61 kg CO2e</w:t>
      </w:r>
      <w:r>
        <w:t xml:space="preserve"> </w:t>
      </w:r>
      <w:r>
        <w:t xml:space="preserve">per functional unit. The Use Phase dominates this footprint, underscoring the critical importance of energy efficiency during product operation. Material selection and sourcing also represent a significant area for impact reduction.</w:t>
      </w:r>
    </w:p>
    <w:bookmarkStart w:id="52" w:name="recommendations"/>
    <w:p>
      <w:pPr>
        <w:pStyle w:val="Heading3"/>
      </w:pPr>
      <w:r>
        <w:t xml:space="preserve">Recommendations:</w:t>
      </w:r>
    </w:p>
    <w:p>
      <w:pPr>
        <w:numPr>
          <w:ilvl w:val="0"/>
          <w:numId w:val="1017"/>
        </w:numPr>
        <w:pStyle w:val="Compact"/>
      </w:pPr>
      <w:r>
        <w:rPr>
          <w:bCs/>
          <w:b/>
        </w:rPr>
        <w:t xml:space="preserve">Optimize Use Phase Energy Efficiency:</w:t>
      </w:r>
      <w:r>
        <w:t xml:space="preserve"> </w:t>
      </w:r>
      <w:r>
        <w:t xml:space="preserve">Focus on engineering design improvements to reduce the product\'s energy consumption during its operational lifespan. This could include more efficient components, lower power modes, and software optimizations.</w:t>
      </w:r>
    </w:p>
    <w:p>
      <w:pPr>
        <w:numPr>
          <w:ilvl w:val="0"/>
          <w:numId w:val="1017"/>
        </w:numPr>
        <w:pStyle w:val="Compact"/>
      </w:pPr>
      <w:r>
        <w:rPr>
          <w:bCs/>
          <w:b/>
        </w:rPr>
        <w:t xml:space="preserve">Enhance Sustainable Material Sourcing:</w:t>
      </w:r>
      <w:r>
        <w:t xml:space="preserve"> </w:t>
      </w:r>
      <w:r>
        <w:t xml:space="preserve">Investigate opportunities to incorporate recycled content for materials like aluminum and plastics (e.g., using post-consumer recycled ABS), or source materials with lower embodied carbon, especially for high-impact components like batteries.</w:t>
      </w:r>
    </w:p>
    <w:p>
      <w:pPr>
        <w:numPr>
          <w:ilvl w:val="0"/>
          <w:numId w:val="1017"/>
        </w:numPr>
        <w:pStyle w:val="Compact"/>
      </w:pPr>
      <w:r>
        <w:rPr>
          <w:bCs/>
          <w:b/>
        </w:rPr>
        <w:t xml:space="preserve">Refine Logistics:</w:t>
      </w:r>
      <w:r>
        <w:t xml:space="preserve"> </w:t>
      </w:r>
      <w:r>
        <w:t xml:space="preserve">Explore more carbon-efficient transport modes for upstream supply chains (e.g., shifting from road to rail or sea freight where feasible for long distances to China) and optimize routing and load factors for all transport stages.</w:t>
      </w:r>
    </w:p>
    <w:p>
      <w:pPr>
        <w:numPr>
          <w:ilvl w:val="0"/>
          <w:numId w:val="1017"/>
        </w:numPr>
        <w:pStyle w:val="Compact"/>
      </w:pPr>
      <w:r>
        <w:rPr>
          <w:bCs/>
          <w:b/>
        </w:rPr>
        <w:t xml:space="preserve">Strengthen Circular Economy Initiatives:</w:t>
      </w:r>
      <w:r>
        <w:t xml:space="preserve"> </w:t>
      </w:r>
      <w:r>
        <w:t xml:space="preserve">Expand and promote the existing product take-back and refurbishment program to maximize product lifespan and material recovery. Explore innovative design-for-disassembly and repairability to increase actual recycling rates.</w:t>
      </w:r>
    </w:p>
    <w:p>
      <w:pPr>
        <w:numPr>
          <w:ilvl w:val="0"/>
          <w:numId w:val="1017"/>
        </w:numPr>
        <w:pStyle w:val="Compact"/>
      </w:pPr>
      <w:r>
        <w:rPr>
          <w:bCs/>
          <w:b/>
        </w:rPr>
        <w:t xml:space="preserve">Improve Data Collection:</w:t>
      </w:r>
      <w:r>
        <w:t xml:space="preserve"> </w:t>
      </w:r>
      <w:r>
        <w:t xml:space="preserve">Implement systems for collecting more granular primary data across the supply chain, particularly for specific component manufacturing emissions and actual transport fuel consumption, to further refine PCF accuracy.</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mizdvvszkl</dc:title>
  <dc:creator/>
  <dc:description>Detailed Product Carbon Footprint (PCF) analysis report for mizdvvszkl, conducted by iznmnohdjj, adhering to GHG Protocol standards and 2026 LSR updates.</dc:description>
  <dc:language>en</dc:language>
  <cp:keywords/>
  <dcterms:created xsi:type="dcterms:W3CDTF">2026-07-15T01:25:24Z</dcterms:created>
  <dcterms:modified xsi:type="dcterms:W3CDTF">2026-07-15T01:25:24Z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