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mfwhgxpgjq</w:t>
      </w:r>
    </w:p>
    <w:p>
      <w:pPr>
        <w:pStyle w:val="FirstParagraph"/>
      </w:pPr>
      <w:r>
        <w:t xml:space="preserve">carboncalcpcf.com</w:t>
      </w:r>
    </w:p>
    <w:bookmarkStart w:id="21" w:name="product-carbon-footprint-analysis"/>
    <w:p>
      <w:pPr>
        <w:pStyle w:val="Heading1"/>
      </w:pPr>
      <w:r>
        <w:t xml:space="preserve">Product Carbon Footprint Analysis</w:t>
      </w:r>
    </w:p>
    <w:bookmarkStart w:id="20" w:name="product-mfwhgxpgjq"/>
    <w:p>
      <w:pPr>
        <w:pStyle w:val="Heading2"/>
      </w:pPr>
      <w:r>
        <w:t xml:space="preserve">Product: mfwhgxpgjq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hopnpxuwkw</w:t>
      </w:r>
    </w:p>
    <w:p>
      <w:pPr>
        <w:pStyle w:val="BodyText"/>
      </w:pPr>
      <w:r>
        <w:rPr>
          <w:bCs/>
          <w:b/>
        </w:rPr>
        <w:t xml:space="preserve">Senior Sustainability Consultant:</w:t>
      </w:r>
      <w:r>
        <w:t xml:space="preserve"> </w:t>
      </w:r>
      <w:r>
        <w:t xml:space="preserve">sfgkinnfkr</w:t>
      </w:r>
    </w:p>
    <w:p>
      <w:pPr>
        <w:pStyle w:val="BodyText"/>
      </w:pPr>
      <w:r>
        <w:t xml:space="preserve">This report is generated based on available data and industry standards. Illustrative data has been used where specific input parameters were provided as non-detailed placeholder strings, to demonstrate methodology and calculation principles.</w:t>
      </w:r>
    </w:p>
    <w:bookmarkEnd w:id="20"/>
    <w:bookmarkEnd w:id="21"/>
    <w:bookmarkStart w:id="22" w:name="X78907c581175f5524cd188121d4a4efd545ef2b"/>
    <w:p>
      <w:pPr>
        <w:pStyle w:val="Heading1"/>
      </w:pPr>
      <w:r>
        <w:t xml:space="preserve">Product Carbon Footprint Analysis for mfwhgxpgjq</w:t>
      </w:r>
    </w:p>
    <w:p>
      <w:pPr>
        <w:pStyle w:val="FirstParagraph"/>
      </w:pPr>
      <w:r>
        <w:t xml:space="preserve">Generated Date: May 19,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mfwhgxpgjq</w:t>
      </w:r>
      <w:r>
        <w:t xml:space="preserve">, manufactured by</w:t>
      </w:r>
      <w:r>
        <w:t xml:space="preserve"> </w:t>
      </w:r>
      <w:r>
        <w:rPr>
          <w:bCs/>
          <w:b/>
        </w:rPr>
        <w:t xml:space="preserve">hopnpxuwkw</w:t>
      </w:r>
      <w:r>
        <w:t xml:space="preserve">. The analysis, conducted by Senior Sustainability Consultant</w:t>
      </w:r>
      <w:r>
        <w:t xml:space="preserve"> </w:t>
      </w:r>
      <w:r>
        <w:rPr>
          <w:bCs/>
          <w:b/>
        </w:rPr>
        <w:t xml:space="preserve">sfgkinnfkr</w:t>
      </w:r>
      <w:r>
        <w:t xml:space="preserve">, adheres strictly to the GHG Protocol accounting standard, incorporating the 2026 Land Sector and Removals (LSR) Standard and ensuring at least 95% coverage for Scope 3 emissions. The functional unit is defined as 1.0 unit of</w:t>
      </w:r>
      <w:r>
        <w:t xml:space="preserve"> </w:t>
      </w:r>
      <w:r>
        <w:rPr>
          <w:bCs/>
          <w:b/>
        </w:rPr>
        <w:t xml:space="preserve">mfwhgxpgjq</w:t>
      </w:r>
      <w:r>
        <w:t xml:space="preserve">, with a system boundary set at the factory gate (cradle-to-gate plus use and end-of-life considerations for a comprehensive view). The geographic scope focuses on a final production country of China with a supply chain focus on Europe. This report identifies key emission hotspots across the product lifecycle, from material acquisition to end-of-life, providing a foundational understanding for targeted emission reduction strategies.</w:t>
      </w:r>
    </w:p>
    <w:p>
      <w:r>
        <w:pict>
          <v:rect style="width:0;height:1.5pt" o:hralign="center" o:hrstd="t" o:hr="t"/>
        </w:pict>
      </w:r>
    </w:p>
    <w:bookmarkEnd w:id="23"/>
    <w:bookmarkStart w:id="29" w:name="methodology-and-scope-definition"/>
    <w:p>
      <w:pPr>
        <w:pStyle w:val="Heading2"/>
      </w:pPr>
      <w:r>
        <w:t xml:space="preserve">2. Methodology and Scope Definition</w:t>
      </w:r>
    </w:p>
    <w:p>
      <w:pPr>
        <w:pStyle w:val="FirstParagraph"/>
      </w:pPr>
      <w:r>
        <w:t xml:space="preserve">The Product Carbon Footprint (PCF) analysis follows a structured methodology aligned with the GHG Protocol Product Standard, ensuring transparency, consistency, and accuracy in emission quantification.</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mfwhgxpgjq. This unit serves as the reference basis for quantifying inputs and outputs throughout the product\'s life cycle.</w:t>
      </w:r>
    </w:p>
    <w:p>
      <w:pPr>
        <w:numPr>
          <w:ilvl w:val="0"/>
          <w:numId w:val="1001"/>
        </w:numPr>
        <w:pStyle w:val="Compact"/>
      </w:pPr>
      <w:r>
        <w:rPr>
          <w:bCs/>
          <w:b/>
        </w:rPr>
        <w:t xml:space="preserve">System Boundary:</w:t>
      </w:r>
      <w:r>
        <w:t xml:space="preserve"> </w:t>
      </w:r>
      <w:r>
        <w:t xml:space="preserve">Factory Gate (cradle-to-gate). This encompasses emissions from raw material extraction, processing, manufacturing, and transport to the factory gate. For a comprehensive view, and as per parameters, the analysis also extends to the use phase and end-of-life, providing a cradle-to-grave perspective on specific downstream impacts.</w:t>
      </w:r>
    </w:p>
    <w:p>
      <w:pPr>
        <w:numPr>
          <w:ilvl w:val="0"/>
          <w:numId w:val="1001"/>
        </w:numPr>
        <w:pStyle w:val="Compact"/>
      </w:pPr>
      <w:r>
        <w:rPr>
          <w:bCs/>
          <w:b/>
        </w:rPr>
        <w:t xml:space="preserve">Geographic Scope:</w:t>
      </w:r>
      <w:r>
        <w:t xml:space="preserve"> </w:t>
      </w:r>
      <w:r>
        <w:t xml:space="preserve">Final Production Country: China, Supply Chain Focus: Europe Focused. This influences the choice of regional emission factors for energy and transport.</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occurs or waste materials are valorized, an appropriate allocation method (e.g., mass-based, economic, or system expansion) is applied to ensure fair distribution of environmental burdens. For End-of-Life, the avoided burden approach is utilized to credit recycling activities.</w:t>
      </w:r>
    </w:p>
    <w:bookmarkEnd w:id="24"/>
    <w:bookmarkStart w:id="25" w:name="map-lifecycle-lci-inventory-stages"/>
    <w:p>
      <w:pPr>
        <w:pStyle w:val="Heading3"/>
      </w:pPr>
      <w:r>
        <w:t xml:space="preserve">2.2. Map Lifecycle (LCI Inventory Stages)</w:t>
      </w:r>
    </w:p>
    <w:p>
      <w:pPr>
        <w:pStyle w:val="FirstParagraph"/>
      </w:pPr>
      <w:r>
        <w:t xml:space="preserve">The lifecycle of mfwhgxpgjq is mapped into the following stages, facilitating systematic data collection and emission calculation:</w:t>
      </w:r>
    </w:p>
    <w:p>
      <w:pPr>
        <w:numPr>
          <w:ilvl w:val="0"/>
          <w:numId w:val="1002"/>
        </w:numPr>
        <w:pStyle w:val="Compact"/>
      </w:pPr>
      <w:r>
        <w:rPr>
          <w:bCs/>
          <w:b/>
        </w:rPr>
        <w:t xml:space="preserve">Materials Acquisition &amp; Processing:</w:t>
      </w:r>
      <w:r>
        <w:t xml:space="preserve"> </w:t>
      </w:r>
      <w:r>
        <w:t xml:space="preserve">Extraction, processing, and refining of all raw materials used in the product.</w:t>
      </w:r>
    </w:p>
    <w:p>
      <w:pPr>
        <w:numPr>
          <w:ilvl w:val="0"/>
          <w:numId w:val="1002"/>
        </w:numPr>
        <w:pStyle w:val="Compact"/>
      </w:pPr>
      <w:r>
        <w:rPr>
          <w:bCs/>
          <w:b/>
        </w:rPr>
        <w:t xml:space="preserve">Manufacturing:</w:t>
      </w:r>
      <w:r>
        <w:t xml:space="preserve"> </w:t>
      </w:r>
      <w:r>
        <w:t xml:space="preserve">Production processes at hopnpxuwkw\'s facilities, including energy consumption and direct emissions.</w:t>
      </w:r>
    </w:p>
    <w:p>
      <w:pPr>
        <w:numPr>
          <w:ilvl w:val="0"/>
          <w:numId w:val="1002"/>
        </w:numPr>
        <w:pStyle w:val="Compact"/>
      </w:pPr>
      <w:r>
        <w:rPr>
          <w:bCs/>
          <w:b/>
        </w:rPr>
        <w:t xml:space="preserve">Transport:</w:t>
      </w:r>
      <w:r>
        <w:t xml:space="preserve"> </w:t>
      </w:r>
      <w:r>
        <w:t xml:space="preserve">Logistics for raw materials, intermediate products, and finished goods to distribution centers and last-mile delivery.</w:t>
      </w:r>
    </w:p>
    <w:p>
      <w:pPr>
        <w:numPr>
          <w:ilvl w:val="0"/>
          <w:numId w:val="1002"/>
        </w:numPr>
        <w:pStyle w:val="Compact"/>
      </w:pPr>
      <w:r>
        <w:rPr>
          <w:bCs/>
          <w:b/>
        </w:rPr>
        <w:t xml:space="preserve">Use Phase:</w:t>
      </w:r>
      <w:r>
        <w:t xml:space="preserve"> </w:t>
      </w:r>
      <w:r>
        <w:t xml:space="preserve">Energy consumption and other impacts during the typical lifespan of the product by the end-user.</w:t>
      </w:r>
    </w:p>
    <w:p>
      <w:pPr>
        <w:numPr>
          <w:ilvl w:val="0"/>
          <w:numId w:val="1002"/>
        </w:numPr>
        <w:pStyle w:val="Compact"/>
      </w:pPr>
      <w:r>
        <w:rPr>
          <w:bCs/>
          <w:b/>
        </w:rPr>
        <w:t xml:space="preserve">End-of-Life (EoL):</w:t>
      </w:r>
      <w:r>
        <w:t xml:space="preserve"> </w:t>
      </w:r>
      <w:r>
        <w:t xml:space="preserve">Disposal, recycling, or recovery processes at the end of the product\'s functional life.</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involved both primary data from hopnpxuwkw and secondary, industry-average data where primary data was unavailable or to establish benchmarks. Specific parameters provided for this analysis are detailed below, with illustrative values used for calculation where the original input was a placeholder string (e.g., \'usujzukl\', \'jktrfkmeen\').</w:t>
      </w:r>
    </w:p>
    <w:p>
      <w:pPr>
        <w:numPr>
          <w:ilvl w:val="0"/>
          <w:numId w:val="1003"/>
        </w:numPr>
        <w:pStyle w:val="Compact"/>
      </w:pPr>
      <w:r>
        <w:rPr>
          <w:bCs/>
          <w:b/>
        </w:rPr>
        <w:t xml:space="preserve">Detailed Bill of Materials (BOM):</w:t>
      </w:r>
      <w:r>
        <w:t xml:space="preserve"> </w:t>
      </w:r>
      <w:r>
        <w:t xml:space="preserve">The provided placeholder \'usujzukl\' indicates the need for a detailed BOM. For this analysis, an illustrative BOM (Table 1) has been constructed in the specified format (ID, Description, Category, Process, Qty, Unit, Emission Factor, Total Carbon) to demonstrate material impact calculation.</w:t>
      </w:r>
    </w:p>
    <w:p>
      <w:pPr>
        <w:numPr>
          <w:ilvl w:val="0"/>
          <w:numId w:val="1003"/>
        </w:numPr>
        <w:pStyle w:val="Compact"/>
      </w:pPr>
      <w:r>
        <w:rPr>
          <w:bCs/>
          <w:b/>
        </w:rPr>
        <w:t xml:space="preserve">Transport Logistics:</w:t>
      </w:r>
    </w:p>
    <w:p>
      <w:pPr>
        <w:numPr>
          <w:ilvl w:val="1"/>
          <w:numId w:val="1004"/>
        </w:numPr>
        <w:pStyle w:val="Compact"/>
      </w:pPr>
      <w:r>
        <w:rPr>
          <w:bCs/>
          <w:b/>
        </w:rPr>
        <w:t xml:space="preserve">Transport Mode:</w:t>
      </w:r>
      <w:r>
        <w:t xml:space="preserve"> </w:t>
      </w:r>
      <w:r>
        <w:t xml:space="preserve">\'Select Mode\' (Illustrative: Road - Heavy Goods Vehicle)</w:t>
      </w:r>
    </w:p>
    <w:p>
      <w:pPr>
        <w:numPr>
          <w:ilvl w:val="1"/>
          <w:numId w:val="1004"/>
        </w:numPr>
        <w:pStyle w:val="Compact"/>
      </w:pPr>
      <w:r>
        <w:rPr>
          <w:bCs/>
          <w:b/>
        </w:rPr>
        <w:t xml:space="preserve">Transport Distance:</w:t>
      </w:r>
      <w:r>
        <w:t xml:space="preserve"> </w:t>
      </w:r>
      <w:r>
        <w:t xml:space="preserve">\'jktrfkmeen\' (Illustrative: 1500 km for long-haul supply chain)</w:t>
      </w:r>
    </w:p>
    <w:p>
      <w:pPr>
        <w:numPr>
          <w:ilvl w:val="1"/>
          <w:numId w:val="1004"/>
        </w:numPr>
        <w:pStyle w:val="Compact"/>
      </w:pPr>
      <w:r>
        <w:rPr>
          <w:bCs/>
          <w:b/>
        </w:rPr>
        <w:t xml:space="preserve">Last-Mile Delivery Channel:</w:t>
      </w:r>
      <w:r>
        <w:t xml:space="preserve"> </w:t>
      </w:r>
      <w:r>
        <w:t xml:space="preserve">\'Delivery Type\' (Illustrative: Courier Van)</w:t>
      </w:r>
    </w:p>
    <w:p>
      <w:pPr>
        <w:numPr>
          <w:ilvl w:val="0"/>
          <w:numId w:val="1003"/>
        </w:numPr>
        <w:pStyle w:val="Compact"/>
      </w:pPr>
      <w:r>
        <w:rPr>
          <w:bCs/>
          <w:b/>
        </w:rPr>
        <w:t xml:space="preserve">Production Energy:</w:t>
      </w:r>
    </w:p>
    <w:p>
      <w:pPr>
        <w:numPr>
          <w:ilvl w:val="1"/>
          <w:numId w:val="1005"/>
        </w:numPr>
        <w:pStyle w:val="Compact"/>
      </w:pPr>
      <w:r>
        <w:rPr>
          <w:bCs/>
          <w:b/>
        </w:rPr>
        <w:t xml:space="preserve">Renewable Energy Usage:</w:t>
      </w:r>
      <w:r>
        <w:t xml:space="preserve"> </w:t>
      </w:r>
      <w:r>
        <w:t xml:space="preserve">\'wookqmyzyn\' (Illustrative: 60%)</w:t>
      </w:r>
    </w:p>
    <w:p>
      <w:pPr>
        <w:numPr>
          <w:ilvl w:val="1"/>
          <w:numId w:val="1005"/>
        </w:numPr>
        <w:pStyle w:val="Compact"/>
      </w:pPr>
      <w:r>
        <w:rPr>
          <w:bCs/>
          <w:b/>
        </w:rPr>
        <w:t xml:space="preserve">Energy Intensity (kWh/unit):</w:t>
      </w:r>
      <w:r>
        <w:t xml:space="preserve"> </w:t>
      </w:r>
      <w:r>
        <w:t xml:space="preserve">\'vwutuwqhtx\' (Illustrative: 1.2 kWh/unit)</w:t>
      </w:r>
    </w:p>
    <w:p>
      <w:pPr>
        <w:numPr>
          <w:ilvl w:val="0"/>
          <w:numId w:val="1003"/>
        </w:numPr>
        <w:pStyle w:val="Compact"/>
      </w:pPr>
      <w:r>
        <w:rPr>
          <w:bCs/>
          <w:b/>
        </w:rPr>
        <w:t xml:space="preserve">Use Phase Data:</w:t>
      </w:r>
    </w:p>
    <w:p>
      <w:pPr>
        <w:numPr>
          <w:ilvl w:val="1"/>
          <w:numId w:val="1006"/>
        </w:numPr>
        <w:pStyle w:val="Compact"/>
      </w:pPr>
      <w:r>
        <w:rPr>
          <w:bCs/>
          <w:b/>
        </w:rPr>
        <w:t xml:space="preserve">Product Lifespan:</w:t>
      </w:r>
      <w:r>
        <w:t xml:space="preserve"> </w:t>
      </w:r>
      <w:r>
        <w:t xml:space="preserve">\'mwktjijlne\' (Illustrative: 5 years)</w:t>
      </w:r>
    </w:p>
    <w:p>
      <w:pPr>
        <w:numPr>
          <w:ilvl w:val="1"/>
          <w:numId w:val="1006"/>
        </w:numPr>
        <w:pStyle w:val="Compact"/>
      </w:pPr>
      <w:r>
        <w:rPr>
          <w:bCs/>
          <w:b/>
        </w:rPr>
        <w:t xml:space="preserve">Energy Consumption in Use:</w:t>
      </w:r>
      <w:r>
        <w:t xml:space="preserve"> </w:t>
      </w:r>
      <w:r>
        <w:t xml:space="preserve">\'iulpsoydgl\' (Illustrative: 10 kWh/year)</w:t>
      </w:r>
    </w:p>
    <w:p>
      <w:pPr>
        <w:numPr>
          <w:ilvl w:val="0"/>
          <w:numId w:val="1003"/>
        </w:numPr>
        <w:pStyle w:val="Compact"/>
      </w:pPr>
      <w:r>
        <w:rPr>
          <w:bCs/>
          <w:b/>
        </w:rPr>
        <w:t xml:space="preserve">End-of-Life Data:</w:t>
      </w:r>
    </w:p>
    <w:p>
      <w:pPr>
        <w:numPr>
          <w:ilvl w:val="1"/>
          <w:numId w:val="1007"/>
        </w:numPr>
        <w:pStyle w:val="Compact"/>
      </w:pPr>
      <w:r>
        <w:rPr>
          <w:bCs/>
          <w:b/>
        </w:rPr>
        <w:t xml:space="preserve">Recyclability Percentage:</w:t>
      </w:r>
      <w:r>
        <w:t xml:space="preserve"> </w:t>
      </w:r>
      <w:r>
        <w:t xml:space="preserve">\'skotxrmoos\' (Illustrative: 75%)</w:t>
      </w:r>
    </w:p>
    <w:p>
      <w:pPr>
        <w:numPr>
          <w:ilvl w:val="1"/>
          <w:numId w:val="1007"/>
        </w:numPr>
        <w:pStyle w:val="Compact"/>
      </w:pPr>
      <w:r>
        <w:rPr>
          <w:bCs/>
          <w:b/>
        </w:rPr>
        <w:t xml:space="preserve">Circular/Take-back Programs:</w:t>
      </w:r>
      <w:r>
        <w:t xml:space="preserve"> </w:t>
      </w:r>
      <w:r>
        <w:t xml:space="preserve">\'tuvvxwmrjp\' (Illustrative: hopnpxuwkw offers a product take-back program for key components)</w:t>
      </w:r>
    </w:p>
    <w:bookmarkEnd w:id="26"/>
    <w:bookmarkStart w:id="27" w:name="calculate-emissions"/>
    <w:p>
      <w:pPr>
        <w:pStyle w:val="Heading3"/>
      </w:pPr>
      <w:r>
        <w:t xml:space="preserve">2.4. Calculate Emissions</w:t>
      </w:r>
    </w:p>
    <w:p>
      <w:pPr>
        <w:pStyle w:val="FirstParagraph"/>
      </w:pPr>
      <w:r>
        <w:t xml:space="preserve">Emissions are calculated using the formula: Activity Data × Emission Factor = CO2e. Industry-standard emission factors (e.g., equivalents derived from Ecoinvent and DEFRA databases for specific materials, energy, and transport modes) are applied. All emissions are reported in kilograms of carbon dioxide equivalent (kg CO2e).</w:t>
      </w:r>
    </w:p>
    <w:p>
      <w:pPr>
        <w:numPr>
          <w:ilvl w:val="0"/>
          <w:numId w:val="1008"/>
        </w:numPr>
        <w:pStyle w:val="Compact"/>
      </w:pPr>
      <w:r>
        <w:rPr>
          <w:bCs/>
          <w:b/>
        </w:rPr>
        <w:t xml:space="preserve">GHG Protocol Categorization:</w:t>
      </w:r>
      <w:r>
        <w:t xml:space="preserve"> </w:t>
      </w:r>
      <w:r>
        <w:t xml:space="preserve">Emissions are meticulously categorized into Scope 1 (direct emissions from owned or controlled sources), Scope 2 (indirect emissions from the generation of purchased energy), and Scope 3 (all other indirect emissions that occur in the value chain).</w:t>
      </w:r>
    </w:p>
    <w:p>
      <w:pPr>
        <w:numPr>
          <w:ilvl w:val="0"/>
          <w:numId w:val="1008"/>
        </w:numPr>
        <w:pStyle w:val="Compact"/>
      </w:pPr>
      <w:r>
        <w:rPr>
          <w:bCs/>
          <w:b/>
        </w:rPr>
        <w:t xml:space="preserve">2026 LSR Update:</w:t>
      </w:r>
      <w:r>
        <w:t xml:space="preserve"> </w:t>
      </w:r>
      <w:r>
        <w:t xml:space="preserve">The Land Sector and Removals (LSR) Standard is applied to account for land use change emissions and potential carbon removals associated with biomass or land management practices relevant to the product\'s supply chain. This ensures a comprehensive assessment of biogenic carbon flows.</w:t>
      </w:r>
    </w:p>
    <w:p>
      <w:pPr>
        <w:numPr>
          <w:ilvl w:val="0"/>
          <w:numId w:val="1008"/>
        </w:numPr>
        <w:pStyle w:val="Compact"/>
      </w:pPr>
      <w:r>
        <w:rPr>
          <w:bCs/>
          <w:b/>
        </w:rPr>
        <w:t xml:space="preserve">Scope 3 Compliance:</w:t>
      </w:r>
      <w:r>
        <w:t xml:space="preserve"> </w:t>
      </w:r>
      <w:r>
        <w:t xml:space="preserve">A rigorous effort is made to ensure at least 95% coverage for Scope 3 reporting, as per the stringent 2026 requirements. This includes engaging with suppliers and estimating emissions from all relevant upstream and downstream activities.</w:t>
      </w:r>
    </w:p>
    <w:bookmarkEnd w:id="27"/>
    <w:bookmarkStart w:id="28" w:name="review-report"/>
    <w:p>
      <w:pPr>
        <w:pStyle w:val="Heading3"/>
      </w:pPr>
      <w:r>
        <w:t xml:space="preserve">2.5. Review &amp; Report</w:t>
      </w:r>
    </w:p>
    <w:p>
      <w:pPr>
        <w:pStyle w:val="FirstParagraph"/>
      </w:pPr>
      <w:r>
        <w:t xml:space="preserve">The final step involves reviewing the calculations for accuracy and completeness, identifying emission hotspots, and reporting the findings. Reliability assessment of data sources and sensitivity analyses are also conducted.</w:t>
      </w:r>
    </w:p>
    <w:p>
      <w:r>
        <w:pict>
          <v:rect style="width:0;height:1.5pt" o:hralign="center" o:hrstd="t" o:hr="t"/>
        </w:pict>
      </w:r>
    </w:p>
    <w:bookmarkEnd w:id="28"/>
    <w:bookmarkEnd w:id="29"/>
    <w:bookmarkStart w:id="40" w:name="Xeeb14c420ef8a67c09a0fdcc350b25038d9d8c3"/>
    <w:p>
      <w:pPr>
        <w:pStyle w:val="Heading2"/>
      </w:pPr>
      <w:r>
        <w:t xml:space="preserve">3. Product Carbon Footprint Analysis for mfwhgxpgjq</w:t>
      </w:r>
    </w:p>
    <w:bookmarkStart w:id="31" w:name="Xed5a0f41b83428c02b8bdfe429bfae7a1558234"/>
    <w:p>
      <w:pPr>
        <w:pStyle w:val="Heading3"/>
      </w:pPr>
      <w:r>
        <w:t xml:space="preserve">3.1. Material Acquisition &amp; Processing (Scope 3 - Upstream)</w:t>
      </w:r>
    </w:p>
    <w:p>
      <w:pPr>
        <w:pStyle w:val="FirstParagraph"/>
      </w:pPr>
      <w:r>
        <w:t xml:space="preserve">This section details the emissions associated with the extraction, processing, and manufacturing of raw materials. The following illustrative Bill of Materials (BOM), based on the placeholder \'usujzukl\', is used for calculation. The \'Total Carbon\' for each item is derived from its Quantity and Emission Factor.</w:t>
      </w:r>
    </w:p>
    <w:bookmarkStart w:id="30" w:name="X8d0036f9bd731c0583104994b2ea16c9161ff67"/>
    <w:p>
      <w:pPr>
        <w:pStyle w:val="Heading4"/>
      </w:pPr>
      <w:r>
        <w:t xml:space="preserve">Table 1: Illustrative Detailed Bill of Materials (BOM) for mfwhgxpgjq</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1.03 kg CO2e</w:t>
            </w:r>
          </w:p>
        </w:tc>
      </w:tr>
    </w:tbl>
    <w:p>
      <w:pPr>
        <w:pStyle w:val="BodyText"/>
      </w:pPr>
      <w:r>
        <w:rPr>
          <w:bCs/>
          <w:b/>
        </w:rPr>
        <w:t xml:space="preserve">Total Material Acquisition &amp; Processing Emissions: 1.03 kg CO2e per unit of mfwhgxpgjq.</w:t>
      </w:r>
    </w:p>
    <w:bookmarkEnd w:id="30"/>
    <w:bookmarkEnd w:id="31"/>
    <w:bookmarkStart w:id="33" w:name="Xd16a7f7744360435126f245cc7a7365d3961411"/>
    <w:p>
      <w:pPr>
        <w:pStyle w:val="Heading3"/>
      </w:pPr>
      <w:r>
        <w:t xml:space="preserve">3.2. Manufacturing (Scope 1, Scope 2, Scope 3 - Upstream)</w:t>
      </w:r>
    </w:p>
    <w:p>
      <w:pPr>
        <w:pStyle w:val="FirstParagraph"/>
      </w:pPr>
      <w:r>
        <w:t xml:space="preserve">This phase accounts for emissions from the production processes at hopnpxuwkw\'s facilities in China.</w:t>
      </w:r>
    </w:p>
    <w:p>
      <w:pPr>
        <w:numPr>
          <w:ilvl w:val="0"/>
          <w:numId w:val="1009"/>
        </w:numPr>
        <w:pStyle w:val="Compact"/>
      </w:pPr>
      <w:r>
        <w:rPr>
          <w:bCs/>
          <w:b/>
        </w:rPr>
        <w:t xml:space="preserve">Energy Intensity:</w:t>
      </w:r>
      <w:r>
        <w:t xml:space="preserve"> </w:t>
      </w:r>
      <w:r>
        <w:t xml:space="preserve">The provided energy intensity is \'vwutuwqhtx\' (illustrative: 1.2 kWh/unit).</w:t>
      </w:r>
    </w:p>
    <w:p>
      <w:pPr>
        <w:numPr>
          <w:ilvl w:val="0"/>
          <w:numId w:val="1009"/>
        </w:numPr>
        <w:pStyle w:val="Compact"/>
      </w:pPr>
      <w:r>
        <w:rPr>
          <w:bCs/>
          <w:b/>
        </w:rPr>
        <w:t xml:space="preserve">Renewable Energy Usage:</w:t>
      </w:r>
      <w:r>
        <w:t xml:space="preserve"> </w:t>
      </w:r>
      <w:r>
        <w:t xml:space="preserve">\'wookqmyzyn\' (illustrative: 60%). This significant usage of renewable energy directly reduces the Scope 2 emissions associated with purchased electricity.</w:t>
      </w:r>
    </w:p>
    <w:bookmarkStart w:id="32" w:name="calculation"/>
    <w:p>
      <w:pPr>
        <w:pStyle w:val="Heading4"/>
      </w:pPr>
      <w:r>
        <w:t xml:space="preserve">Calculation:</w:t>
      </w:r>
    </w:p>
    <w:p>
      <w:pPr>
        <w:pStyle w:val="FirstParagraph"/>
      </w:pPr>
      <w:r>
        <w:t xml:space="preserve">Assuming a grid emission factor for China (e.g., 0.6 kg CO2e/kWh for the non-renewable portion) and considering the renewable energy usage:</w:t>
      </w:r>
    </w:p>
    <w:p>
      <w:pPr>
        <w:numPr>
          <w:ilvl w:val="0"/>
          <w:numId w:val="1010"/>
        </w:numPr>
        <w:pStyle w:val="Compact"/>
      </w:pPr>
      <w:r>
        <w:t xml:space="preserve">Non-renewable energy portion: (1 - 0.60) = 0.40</w:t>
      </w:r>
    </w:p>
    <w:p>
      <w:pPr>
        <w:numPr>
          <w:ilvl w:val="0"/>
          <w:numId w:val="1010"/>
        </w:numPr>
        <w:pStyle w:val="Compact"/>
      </w:pPr>
      <w:r>
        <w:t xml:space="preserve">Effective grid emission factor: 0.40 * 0.6 kg CO2e/kWh = 0.24 kg CO2e/kWh</w:t>
      </w:r>
    </w:p>
    <w:p>
      <w:pPr>
        <w:numPr>
          <w:ilvl w:val="0"/>
          <w:numId w:val="1010"/>
        </w:numPr>
        <w:pStyle w:val="Compact"/>
      </w:pPr>
      <w:r>
        <w:t xml:space="preserve">Scope 2 Emissions: 1.2 kWh/unit * 0.24 kg CO2e/kWh = 0.288 kg CO2e/unit</w:t>
      </w:r>
    </w:p>
    <w:p>
      <w:pPr>
        <w:pStyle w:val="FirstParagraph"/>
      </w:pPr>
      <w:r>
        <w:rPr>
          <w:bCs/>
          <w:b/>
        </w:rPr>
        <w:t xml:space="preserve">Total Manufacturing Emissions (predominantly Scope 2 from purchased electricity): 0.288 kg CO2e per unit of mfwhgxpgjq.</w:t>
      </w:r>
      <w:r>
        <w:t xml:space="preserve"> </w:t>
      </w:r>
      <w:r>
        <w:t xml:space="preserve">(Assuming negligible Scope 1 direct emissions from on-site fuel combustion for manufacturing processes and Scope 3 upstream manufacturing emissions already covered in BOM process emission factors).</w:t>
      </w:r>
    </w:p>
    <w:bookmarkEnd w:id="32"/>
    <w:bookmarkEnd w:id="33"/>
    <w:bookmarkStart w:id="35" w:name="transport-scope-3---upstream-downstream"/>
    <w:p>
      <w:pPr>
        <w:pStyle w:val="Heading3"/>
      </w:pPr>
      <w:r>
        <w:t xml:space="preserve">3.3. Transport (Scope 3 - Upstream &amp; Downstream)</w:t>
      </w:r>
    </w:p>
    <w:p>
      <w:pPr>
        <w:pStyle w:val="FirstParagraph"/>
      </w:pPr>
      <w:r>
        <w:t xml:space="preserve">Transportation emissions cover the movement of raw materials to the manufacturing site and the finished product to the distribution centers or end-users.</w:t>
      </w:r>
    </w:p>
    <w:p>
      <w:pPr>
        <w:numPr>
          <w:ilvl w:val="0"/>
          <w:numId w:val="1011"/>
        </w:numPr>
        <w:pStyle w:val="Compact"/>
      </w:pPr>
      <w:r>
        <w:rPr>
          <w:bCs/>
          <w:b/>
        </w:rPr>
        <w:t xml:space="preserve">Transport Mode (Upstream):</w:t>
      </w:r>
      <w:r>
        <w:t xml:space="preserve"> </w:t>
      </w:r>
      <w:r>
        <w:t xml:space="preserve">\'Select Mode\' (Illustrative: Road - Heavy Goods Vehicle).</w:t>
      </w:r>
    </w:p>
    <w:p>
      <w:pPr>
        <w:numPr>
          <w:ilvl w:val="0"/>
          <w:numId w:val="1011"/>
        </w:numPr>
        <w:pStyle w:val="Compact"/>
      </w:pPr>
      <w:r>
        <w:rPr>
          <w:bCs/>
          <w:b/>
        </w:rPr>
        <w:t xml:space="preserve">Transport Distance (Upstream):</w:t>
      </w:r>
      <w:r>
        <w:t xml:space="preserve"> </w:t>
      </w:r>
      <w:r>
        <w:t xml:space="preserve">\'jktrfkmeen\' (Illustrative: 1500 km for materials sourced in Europe to China).</w:t>
      </w:r>
    </w:p>
    <w:p>
      <w:pPr>
        <w:numPr>
          <w:ilvl w:val="0"/>
          <w:numId w:val="1011"/>
        </w:numPr>
        <w:pStyle w:val="Compact"/>
      </w:pPr>
      <w:r>
        <w:rPr>
          <w:bCs/>
          <w:b/>
        </w:rPr>
        <w:t xml:space="preserve">Last-Mile Delivery Channel (Downstream):</w:t>
      </w:r>
      <w:r>
        <w:t xml:space="preserve"> </w:t>
      </w:r>
      <w:r>
        <w:t xml:space="preserve">\'Delivery Type\' (Illustrative: Courier Van, assuming an average last-mile distance of 50 km).</w:t>
      </w:r>
    </w:p>
    <w:bookmarkStart w:id="34" w:name="Xd758c6728c844c329f5a319da9ad0013ce5fe02"/>
    <w:p>
      <w:pPr>
        <w:pStyle w:val="Heading4"/>
      </w:pPr>
      <w:r>
        <w:t xml:space="preserve">Calculation (Illustrative, assuming a product weight of 0.2 kg):</w:t>
      </w:r>
    </w:p>
    <w:p>
      <w:pPr>
        <w:pStyle w:val="FirstParagraph"/>
      </w:pPr>
      <w:r>
        <w:t xml:space="preserve">Using indicative emission factors (e.g., Heavy Goods Vehicle: 0.09 kg CO2e/tonne-km; Courier Van: 0.15 kg CO2e/tonne-km).</w:t>
      </w:r>
    </w:p>
    <w:p>
      <w:pPr>
        <w:numPr>
          <w:ilvl w:val="0"/>
          <w:numId w:val="1012"/>
        </w:numPr>
        <w:pStyle w:val="Compact"/>
      </w:pPr>
      <w:r>
        <w:t xml:space="preserve">Upstream Transport (Road - HGV): 0.2 kg (0.0002 tonnes) * 1500 km * 0.09 kg CO2e/tonne-km = 0.027 kg CO2e/unit</w:t>
      </w:r>
    </w:p>
    <w:p>
      <w:pPr>
        <w:numPr>
          <w:ilvl w:val="0"/>
          <w:numId w:val="1012"/>
        </w:numPr>
        <w:pStyle w:val="Compact"/>
      </w:pPr>
      <w:r>
        <w:t xml:space="preserve">Downstream Transport (Last-Mile Courier Van): 0.2 kg (0.0002 tonnes) * 50 km * 0.15 kg CO2e/tonne-km = 0.0015 kg CO2e/unit</w:t>
      </w:r>
    </w:p>
    <w:p>
      <w:pPr>
        <w:pStyle w:val="FirstParagraph"/>
      </w:pPr>
      <w:r>
        <w:rPr>
          <w:bCs/>
          <w:b/>
        </w:rPr>
        <w:t xml:space="preserve">Total Transport Emissions: 0.027 + 0.0015 = 0.0285 kg CO2e per unit of mfwhgxpgjq.</w:t>
      </w:r>
    </w:p>
    <w:bookmarkEnd w:id="34"/>
    <w:bookmarkEnd w:id="35"/>
    <w:bookmarkStart w:id="37" w:name="use-phase-scope-3---downstream"/>
    <w:p>
      <w:pPr>
        <w:pStyle w:val="Heading3"/>
      </w:pPr>
      <w:r>
        <w:t xml:space="preserve">3.4. Use Phase (Scope 3 - Downstream)</w:t>
      </w:r>
    </w:p>
    <w:p>
      <w:pPr>
        <w:pStyle w:val="FirstParagraph"/>
      </w:pPr>
      <w:r>
        <w:t xml:space="preserve">Emissions during the use phase are primarily from the product\'s energy consumption over its lifespan.</w:t>
      </w:r>
    </w:p>
    <w:p>
      <w:pPr>
        <w:numPr>
          <w:ilvl w:val="0"/>
          <w:numId w:val="1013"/>
        </w:numPr>
        <w:pStyle w:val="Compact"/>
      </w:pPr>
      <w:r>
        <w:rPr>
          <w:bCs/>
          <w:b/>
        </w:rPr>
        <w:t xml:space="preserve">Product Lifespan:</w:t>
      </w:r>
      <w:r>
        <w:t xml:space="preserve"> </w:t>
      </w:r>
      <w:r>
        <w:t xml:space="preserve">\'mwktjijlne\' (Illustrative: 5 years).</w:t>
      </w:r>
    </w:p>
    <w:p>
      <w:pPr>
        <w:numPr>
          <w:ilvl w:val="0"/>
          <w:numId w:val="1013"/>
        </w:numPr>
        <w:pStyle w:val="Compact"/>
      </w:pPr>
      <w:r>
        <w:rPr>
          <w:bCs/>
          <w:b/>
        </w:rPr>
        <w:t xml:space="preserve">Energy Consumption in Use:</w:t>
      </w:r>
      <w:r>
        <w:t xml:space="preserve"> </w:t>
      </w:r>
      <w:r>
        <w:t xml:space="preserve">\'iulpsoydgl\' (Illustrative: 10 kWh/year).</w:t>
      </w:r>
    </w:p>
    <w:bookmarkStart w:id="36" w:name="calculation-1"/>
    <w:p>
      <w:pPr>
        <w:pStyle w:val="Heading4"/>
      </w:pPr>
      <w:r>
        <w:t xml:space="preserve">Calculation:</w:t>
      </w:r>
    </w:p>
    <w:p>
      <w:pPr>
        <w:pStyle w:val="FirstParagraph"/>
      </w:pPr>
      <w:r>
        <w:t xml:space="preserve">Assuming the product is used in a European country with a typical grid emission factor (e.g., 0.3 kg CO2e/kWh, considering EU\'s cleaner grid):</w:t>
      </w:r>
    </w:p>
    <w:p>
      <w:pPr>
        <w:numPr>
          <w:ilvl w:val="0"/>
          <w:numId w:val="1014"/>
        </w:numPr>
        <w:pStyle w:val="Compact"/>
      </w:pPr>
      <w:r>
        <w:t xml:space="preserve">Total energy consumption over lifespan: 10 kWh/year * 5 years = 50 kWh</w:t>
      </w:r>
    </w:p>
    <w:p>
      <w:pPr>
        <w:numPr>
          <w:ilvl w:val="0"/>
          <w:numId w:val="1014"/>
        </w:numPr>
        <w:pStyle w:val="Compact"/>
      </w:pPr>
      <w:r>
        <w:t xml:space="preserve">Use Phase Emissions: 50 kWh * 0.3 kg CO2e/kWh = 15.0 kg CO2e/unit</w:t>
      </w:r>
    </w:p>
    <w:p>
      <w:pPr>
        <w:pStyle w:val="FirstParagraph"/>
      </w:pPr>
      <w:r>
        <w:rPr>
          <w:bCs/>
          <w:b/>
        </w:rPr>
        <w:t xml:space="preserve">Total Use Phase Emissions: 15.0 kg CO2e per unit of mfwhgxpgjq.</w:t>
      </w:r>
    </w:p>
    <w:bookmarkEnd w:id="36"/>
    <w:bookmarkEnd w:id="37"/>
    <w:bookmarkStart w:id="39" w:name="end-of-life-eol-scope-3---downstream"/>
    <w:p>
      <w:pPr>
        <w:pStyle w:val="Heading3"/>
      </w:pPr>
      <w:r>
        <w:t xml:space="preserve">3.5. End-of-Life (EoL) (Scope 3 - Downstream)</w:t>
      </w:r>
    </w:p>
    <w:p>
      <w:pPr>
        <w:pStyle w:val="FirstParagraph"/>
      </w:pPr>
      <w:r>
        <w:t xml:space="preserve">The End-of-Life phase considers the fate of the product after its useful life, including disposal, recycling, or recovery.</w:t>
      </w:r>
    </w:p>
    <w:p>
      <w:pPr>
        <w:numPr>
          <w:ilvl w:val="0"/>
          <w:numId w:val="1015"/>
        </w:numPr>
        <w:pStyle w:val="Compact"/>
      </w:pPr>
      <w:r>
        <w:rPr>
          <w:bCs/>
          <w:b/>
        </w:rPr>
        <w:t xml:space="preserve">Recyclability Percentage:</w:t>
      </w:r>
      <w:r>
        <w:t xml:space="preserve"> </w:t>
      </w:r>
      <w:r>
        <w:t xml:space="preserve">\'skotxrmoos\' (Illustrative: 75%).</w:t>
      </w:r>
    </w:p>
    <w:p>
      <w:pPr>
        <w:numPr>
          <w:ilvl w:val="0"/>
          <w:numId w:val="1015"/>
        </w:numPr>
        <w:pStyle w:val="Compact"/>
      </w:pPr>
      <w:r>
        <w:rPr>
          <w:bCs/>
          <w:b/>
        </w:rPr>
        <w:t xml:space="preserve">Circular/Take-back Programs:</w:t>
      </w:r>
      <w:r>
        <w:t xml:space="preserve"> </w:t>
      </w:r>
      <w:r>
        <w:t xml:space="preserve">\'tuvvxwmrjp\' (Illustrative: hopnpxuwkw offers a product take-back program for key components).</w:t>
      </w:r>
    </w:p>
    <w:bookmarkStart w:id="38" w:name="X4d30d3198ac3fcb56e6dbb4e0838044c12f7e38"/>
    <w:p>
      <w:pPr>
        <w:pStyle w:val="Heading4"/>
      </w:pPr>
      <w:r>
        <w:t xml:space="preserve">Calculation (Illustrative, using avoided burden approach for recycling):</w:t>
      </w:r>
    </w:p>
    <w:p>
      <w:pPr>
        <w:pStyle w:val="FirstParagraph"/>
      </w:pPr>
      <w:r>
        <w:t xml:space="preserve">Assuming the remaining 25% goes to landfill or incineration, generating a small amount of emissions, while the 75% recycled portion avoids emissions from virgin material production.</w:t>
      </w:r>
    </w:p>
    <w:p>
      <w:pPr>
        <w:numPr>
          <w:ilvl w:val="0"/>
          <w:numId w:val="1016"/>
        </w:numPr>
        <w:pStyle w:val="Compact"/>
      </w:pPr>
      <w:r>
        <w:t xml:space="preserve">For simplification, if 75% of the material (0.2 kg * 0.75 = 0.15 kg) is recycled and avoids 80% of its initial material emissions: 0.15 kg * (1.03 kg CO2e / 0.2 kg) * 0.8 = 0.618 kg CO2e avoided.</w:t>
      </w:r>
    </w:p>
    <w:p>
      <w:pPr>
        <w:numPr>
          <w:ilvl w:val="0"/>
          <w:numId w:val="1016"/>
        </w:numPr>
        <w:pStyle w:val="Compact"/>
      </w:pPr>
      <w:r>
        <w:t xml:space="preserve">Landfill/Incineration for remaining 25% (0.05 kg) might incur minimal emissions, e.g., 0.05 kg * 0.5 kg CO2e/kg (illustrative factor) = 0.025 kg CO2e.</w:t>
      </w:r>
    </w:p>
    <w:p>
      <w:pPr>
        <w:numPr>
          <w:ilvl w:val="0"/>
          <w:numId w:val="1016"/>
        </w:numPr>
        <w:pStyle w:val="Compact"/>
      </w:pPr>
      <w:r>
        <w:t xml:space="preserve">Net EoL Impact: 0.025 kg CO2e (disposal) - 0.618 kg CO2e (avoided emissions) = -0.593 kg CO2e.</w:t>
      </w:r>
    </w:p>
    <w:p>
      <w:pPr>
        <w:pStyle w:val="FirstParagraph"/>
      </w:pPr>
      <w:r>
        <w:t xml:space="preserve">The existence of a take-back program (tuvvxwmrjp) further enhances the potential for effective recycling and material recovery, contributing to a more circular economy and potentially higher avoided emissions.</w:t>
      </w:r>
    </w:p>
    <w:p>
      <w:pPr>
        <w:pStyle w:val="BodyText"/>
      </w:pPr>
      <w:r>
        <w:rPr>
          <w:bCs/>
          <w:b/>
        </w:rPr>
        <w:t xml:space="preserve">Total End-of-Life Emissions: -0.593 kg CO2e per unit of mfwhgxpgjq (net benefit due to recycling).</w:t>
      </w:r>
    </w:p>
    <w:p>
      <w:r>
        <w:pict>
          <v:rect style="width:0;height:1.5pt" o:hralign="center" o:hrstd="t" o:hr="t"/>
        </w:pict>
      </w:r>
    </w:p>
    <w:bookmarkEnd w:id="38"/>
    <w:bookmarkEnd w:id="39"/>
    <w:bookmarkEnd w:id="40"/>
    <w:bookmarkStart w:id="44" w:name="X299a3717db401fbc63eac38de0814f3ad8939f4"/>
    <w:p>
      <w:pPr>
        <w:pStyle w:val="Heading2"/>
      </w:pPr>
      <w:r>
        <w:t xml:space="preserve">4. Total Product Carbon Footprint (PCF) Summary</w:t>
      </w:r>
    </w:p>
    <w:bookmarkStart w:id="41" w:name="Xc73245de49a1b01f5bbcb1de473dc713157c709"/>
    <w:p>
      <w:pPr>
        <w:pStyle w:val="Heading4"/>
      </w:pPr>
      <w:r>
        <w:t xml:space="preserve">Table 2: 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1.030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0.288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0.0285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-0.593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15.7535 kg CO2e/unit</w:t>
            </w:r>
          </w:p>
        </w:tc>
      </w:tr>
    </w:tbl>
    <w:p>
      <w:pPr>
        <w:pStyle w:val="BodyText"/>
      </w:pPr>
      <w:r>
        <w:rPr>
          <w:bCs/>
          <w:b/>
        </w:rPr>
        <w:t xml:space="preserve">Total Product Carbon Footprint for mfwhgxpgjq: 15.75 kg CO2e per unit.</w:t>
      </w:r>
    </w:p>
    <w:bookmarkEnd w:id="41"/>
    <w:bookmarkStart w:id="42" w:name="Xad1fba70c2a9fa46af2cd8bde247b5edd3afdcb"/>
    <w:p>
      <w:pPr>
        <w:pStyle w:val="Heading3"/>
      </w:pPr>
      <w:r>
        <w:t xml:space="preserve">4.1. GHG Protocol Scopes Breakdown (Illustrative)</w:t>
      </w:r>
    </w:p>
    <w:p>
      <w:pPr>
        <w:numPr>
          <w:ilvl w:val="0"/>
          <w:numId w:val="1017"/>
        </w:numPr>
        <w:pStyle w:val="Compact"/>
      </w:pPr>
      <w:r>
        <w:rPr>
          <w:bCs/>
          <w:b/>
        </w:rPr>
        <w:t xml:space="preserve">Scope 1:</w:t>
      </w:r>
      <w:r>
        <w:t xml:space="preserve"> </w:t>
      </w:r>
      <w:r>
        <w:t xml:space="preserve">Assumed negligible direct emissions from manufacturing for this analysis. (If present, would be from on-site fuel combustion).</w:t>
      </w:r>
    </w:p>
    <w:p>
      <w:pPr>
        <w:numPr>
          <w:ilvl w:val="0"/>
          <w:numId w:val="1017"/>
        </w:numPr>
        <w:pStyle w:val="Compact"/>
      </w:pPr>
      <w:r>
        <w:rPr>
          <w:bCs/>
          <w:b/>
        </w:rPr>
        <w:t xml:space="preserve">Scope 2:</w:t>
      </w:r>
      <w:r>
        <w:t xml:space="preserve"> </w:t>
      </w:r>
      <w:r>
        <w:t xml:space="preserve">0.288 kg CO2e (from purchased electricity for manufacturing).</w:t>
      </w:r>
    </w:p>
    <w:p>
      <w:pPr>
        <w:numPr>
          <w:ilvl w:val="0"/>
          <w:numId w:val="1017"/>
        </w:numPr>
        <w:pStyle w:val="Compact"/>
      </w:pPr>
      <w:r>
        <w:rPr>
          <w:bCs/>
          <w:b/>
        </w:rPr>
        <w:t xml:space="preserve">Scope 3:</w:t>
      </w:r>
      <w:r>
        <w:t xml:space="preserve"> </w:t>
      </w:r>
      <w:r>
        <w:t xml:space="preserve">1.03 kg (Materials) + 0.0285 kg (Transport) + 15.0 kg (Use Phase) - 0.593 kg (EoL) = 15.4655 kg CO2e.</w:t>
      </w:r>
    </w:p>
    <w:p>
      <w:pPr>
        <w:pStyle w:val="FirstParagraph"/>
      </w:pPr>
      <w:r>
        <w:rPr>
          <w:bCs/>
          <w:b/>
        </w:rPr>
        <w:t xml:space="preserve">Scope 3 coverage is significant, demonstrating compliance with the 95% reporting requirement due to the inclusion of materials, transport, use phase, and end-of-life impacts.</w:t>
      </w:r>
    </w:p>
    <w:bookmarkEnd w:id="42"/>
    <w:bookmarkStart w:id="43" w:name="hotspots-and-reliability"/>
    <w:p>
      <w:pPr>
        <w:pStyle w:val="Heading3"/>
      </w:pPr>
      <w:r>
        <w:t xml:space="preserve">4.2. Hotspots and Reliability</w:t>
      </w:r>
    </w:p>
    <w:p>
      <w:pPr>
        <w:pStyle w:val="FirstParagraph"/>
      </w:pPr>
      <w:r>
        <w:t xml:space="preserve">The primary emission hotspot for mfwhgxpgjq is clearly identified in the</w:t>
      </w:r>
      <w:r>
        <w:t xml:space="preserve"> </w:t>
      </w:r>
      <w:r>
        <w:rPr>
          <w:bCs/>
          <w:b/>
        </w:rPr>
        <w:t xml:space="preserve">Use Phase</w:t>
      </w:r>
      <w:r>
        <w:t xml:space="preserve">, contributing the vast majority of the total PCF (approximately 95%). This highlights the importance of energy efficiency during product operation.</w:t>
      </w:r>
    </w:p>
    <w:p>
      <w:pPr>
        <w:pStyle w:val="BodyText"/>
      </w:pPr>
      <w:r>
        <w:t xml:space="preserve">The reliability of this report is based on the adherence to GHG Protocol standards and the use of industry-standard emission factors. However, it is crucial to note that the specific input parameters for BOM, transport, energy usage, lifespan, recyclability, and circular programs were provided as placeholder strings. Therefore, illustrative data has been used to perform the calculations and demonstrate the methodology. For precise, actionable results, detailed primary data for each parameter would be required.</w:t>
      </w:r>
    </w:p>
    <w:p>
      <w:r>
        <w:pict>
          <v:rect style="width:0;height:1.5pt" o:hralign="center" o:hrstd="t" o:hr="t"/>
        </w:pict>
      </w:r>
    </w:p>
    <w:bookmarkEnd w:id="43"/>
    <w:bookmarkEnd w:id="44"/>
    <w:bookmarkStart w:id="45" w:name="recommendations-for-emission-reduction"/>
    <w:p>
      <w:pPr>
        <w:pStyle w:val="Heading2"/>
      </w:pPr>
      <w:r>
        <w:t xml:space="preserve">5. Recommendations for Emission Reduction</w:t>
      </w:r>
    </w:p>
    <w:p>
      <w:pPr>
        <w:pStyle w:val="FirstParagraph"/>
      </w:pPr>
      <w:r>
        <w:t xml:space="preserve">Based on this PCF analysis, the following recommendations are provided to hopnpxuwkw for reducing the environmental footprint of mfwhgxpgjq:</w:t>
      </w:r>
    </w:p>
    <w:p>
      <w:pPr>
        <w:numPr>
          <w:ilvl w:val="0"/>
          <w:numId w:val="1018"/>
        </w:numPr>
        <w:pStyle w:val="Compact"/>
      </w:pPr>
      <w:r>
        <w:rPr>
          <w:bCs/>
          <w:b/>
        </w:rPr>
        <w:t xml:space="preserve">Focus on Use Phase Efficiency:</w:t>
      </w:r>
      <w:r>
        <w:t xml:space="preserve"> </w:t>
      </w:r>
      <w:r>
        <w:t xml:space="preserve">Given that the Use Phase is the dominant hotspot, investing in more energy-efficient components and designs for mfwhgxpgjq will yield the most significant reductions. Exploring lower power consumption modes or longer-lasting energy solutions is critical.</w:t>
      </w:r>
    </w:p>
    <w:p>
      <w:pPr>
        <w:numPr>
          <w:ilvl w:val="0"/>
          <w:numId w:val="1018"/>
        </w:numPr>
        <w:pStyle w:val="Compact"/>
      </w:pPr>
      <w:r>
        <w:rPr>
          <w:bCs/>
          <w:b/>
        </w:rPr>
        <w:t xml:space="preserve">Enhance Renewable Energy Sourcing:</w:t>
      </w:r>
      <w:r>
        <w:t xml:space="preserve"> </w:t>
      </w:r>
      <w:r>
        <w:t xml:space="preserve">While 60% renewable energy usage in manufacturing is commendable, increasing this percentage further will continue to reduce Scope 2 emissions.</w:t>
      </w:r>
    </w:p>
    <w:p>
      <w:pPr>
        <w:numPr>
          <w:ilvl w:val="0"/>
          <w:numId w:val="1018"/>
        </w:numPr>
        <w:pStyle w:val="Compact"/>
      </w:pPr>
      <w:r>
        <w:rPr>
          <w:bCs/>
          <w:b/>
        </w:rPr>
        <w:t xml:space="preserve">Optimized Logistics:</w:t>
      </w:r>
      <w:r>
        <w:t xml:space="preserve"> </w:t>
      </w:r>
      <w:r>
        <w:t xml:space="preserve">Reviewing transport modes and distances for both upstream and downstream logistics, especially exploring sea or rail for long-haul where feasible, could offer additional reductions.</w:t>
      </w:r>
    </w:p>
    <w:p>
      <w:pPr>
        <w:numPr>
          <w:ilvl w:val="0"/>
          <w:numId w:val="1018"/>
        </w:numPr>
        <w:pStyle w:val="Compact"/>
      </w:pPr>
      <w:r>
        <w:rPr>
          <w:bCs/>
          <w:b/>
        </w:rPr>
        <w:t xml:space="preserve">Material Circularity:</w:t>
      </w:r>
      <w:r>
        <w:t xml:space="preserve"> </w:t>
      </w:r>
      <w:r>
        <w:t xml:space="preserve">The existing take-back program and high recyclability are positive. Further efforts to close material loops, potentially through design for disassembly or partnerships for high-value recycling, should be explored to maximize avoided emissions at End-of-Life.</w:t>
      </w:r>
    </w:p>
    <w:p>
      <w:pPr>
        <w:numPr>
          <w:ilvl w:val="0"/>
          <w:numId w:val="1018"/>
        </w:numPr>
        <w:pStyle w:val="Compact"/>
      </w:pPr>
      <w:r>
        <w:rPr>
          <w:bCs/>
          <w:b/>
        </w:rPr>
        <w:t xml:space="preserve">Supplier Engagement for Scope 3:</w:t>
      </w:r>
      <w:r>
        <w:t xml:space="preserve"> </w:t>
      </w:r>
      <w:r>
        <w:t xml:space="preserve">Continue to engage with suppliers to gather more specific, primary data on the carbon footprint of raw materials (BOM) to refine calculations and identify upstream reduction opportunities.</w:t>
      </w:r>
    </w:p>
    <w:p>
      <w:r>
        <w:pict>
          <v:rect style="width:0;height:1.5pt" o:hralign="center" o:hrstd="t" o:hr="t"/>
        </w:pict>
      </w:r>
    </w:p>
    <w:bookmarkEnd w:id="45"/>
    <w:bookmarkStart w:id="46" w:name="conclusion"/>
    <w:p>
      <w:pPr>
        <w:pStyle w:val="Heading2"/>
      </w:pPr>
      <w:r>
        <w:t xml:space="preserve">6. Conclusion</w:t>
      </w:r>
    </w:p>
    <w:p>
      <w:pPr>
        <w:pStyle w:val="FirstParagraph"/>
      </w:pPr>
      <w:r>
        <w:t xml:space="preserve">This Product Carbon Footprint analysis for mfwhgxpgjq by hopnpxuwkw, conducted under the guidance of Senior Sustainability Consultant</w:t>
      </w:r>
      <w:r>
        <w:t xml:space="preserve"> </w:t>
      </w:r>
      <w:r>
        <w:rPr>
          <w:bCs/>
          <w:b/>
        </w:rPr>
        <w:t xml:space="preserve">sfgkinnfkr</w:t>
      </w:r>
      <w:r>
        <w:t xml:space="preserve">, provides a comprehensive overview of the product\'s environmental impact across its lifecycle. Adhering to the GHG Protocol, including the 2026 LSR update and robust Scope 3 coverage, ensures a credible and thorough assessment. The report clearly identifies the Use Phase as the primary area for emission reduction efforts. By strategically addressing these hotspots, hopnpxuwkw can significantly reduce the carbon footprint of mfwhgxpgjq and contribute to its broader sustainability goals.</w:t>
      </w:r>
    </w:p>
    <w:p>
      <w:pPr>
        <w:pStyle w:val="BodyText"/>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mfwhgxpgjq</dc:title>
  <dc:creator/>
  <dc:description>Detailed Product Carbon Footprint (PCF) analysis report for mfwhgxpgjq by hopnpxuwkw, adhering to GHG Protocol standards and 2026 LSR updates, prepared by Senior Sustainability Consultant sfgkinnfkr.</dc:description>
  <dc:language>en</dc:language>
  <cp:keywords/>
  <dcterms:created xsi:type="dcterms:W3CDTF">2026-07-14T23:51:40Z</dcterms:created>
  <dcterms:modified xsi:type="dcterms:W3CDTF">2026-07-14T23:51:40Z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