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melkowlxre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melkowlxre</w:t>
      </w:r>
    </w:p>
    <w:p>
      <w:pPr>
        <w:pStyle w:val="BodyText"/>
      </w:pPr>
      <w:r>
        <w:rPr>
          <w:bCs/>
          <w:b/>
        </w:rPr>
        <w:t xml:space="preserve">Name of the Company:</w:t>
      </w:r>
      <w:r>
        <w:t xml:space="preserve"> </w:t>
      </w:r>
      <w:r>
        <w:t xml:space="preserve">iezrfgfqfp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fiwlqvxyjn</w:t>
      </w:r>
    </w:p>
    <w:p>
      <w:pPr>
        <w:pStyle w:val="BodyText"/>
      </w:pPr>
      <w:r>
        <w:t xml:space="preserve">This report is generated based on available data and industry standards.</w:t>
      </w:r>
      <w:r>
        <w:t xml:space="preserve"> </w:t>
      </w:r>
      <w:r>
        <w:t xml:space="preserve">It provides an assessment of the product carbon footprint for "melkowlxre"</w:t>
      </w:r>
      <w:r>
        <w:t xml:space="preserve"> </w:t>
      </w:r>
      <w:r>
        <w:t xml:space="preserve">under the specified parameters and methodologies. Actual calculations would require</w:t>
      </w:r>
      <w:r>
        <w:t xml:space="preserve"> </w:t>
      </w:r>
      <w:r>
        <w:t xml:space="preserve">specific, verified data for all input parameters.</w:t>
      </w:r>
    </w:p>
    <w:bookmarkEnd w:id="20"/>
    <w:bookmarkStart w:id="21" w:name="X922346edb4fbaee0548e387fda2dc23af1d0ad4"/>
    <w:p>
      <w:pPr>
        <w:pStyle w:val="Heading1"/>
      </w:pPr>
      <w:r>
        <w:t xml:space="preserve">Product Carbon Footprint Analysis for melkowlxre</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\'melkowlxre\',</w:t>
      </w:r>
      <w:r>
        <w:t xml:space="preserve"> </w:t>
      </w:r>
      <w:r>
        <w:t xml:space="preserve">conducted by fiwlqvxyjn, Senior Sustainability Consultant, for the company iezrfgfqfp.</w:t>
      </w:r>
      <w:r>
        <w:t xml:space="preserve"> </w:t>
      </w:r>
      <w:r>
        <w:t xml:space="preserve">The analysis adheres strictly to the GHG Protocol\'s accounting standards, including the</w:t>
      </w:r>
      <w:r>
        <w:t xml:space="preserve"> </w:t>
      </w:r>
      <w:r>
        <w:t xml:space="preserve">2026 Land Sector and Removals (LSR) Standard update, and aims for at least 95% coverage</w:t>
      </w:r>
      <w:r>
        <w:t xml:space="preserve"> </w:t>
      </w:r>
      <w:r>
        <w:t xml:space="preserve">for Scope 3 emissions reporting. The PCF is a crucial tool for understanding the environmental</w:t>
      </w:r>
      <w:r>
        <w:t xml:space="preserve"> </w:t>
      </w:r>
      <w:r>
        <w:t xml:space="preserve">impact of products across their entire lifecycle, identifying emission hotspots, and informing</w:t>
      </w:r>
      <w:r>
        <w:t xml:space="preserve"> </w:t>
      </w:r>
      <w:r>
        <w:t xml:space="preserve">strategic decisions for decarbonization. This report outlines the methodology, data</w:t>
      </w:r>
      <w:r>
        <w:t xml:space="preserve"> </w:t>
      </w:r>
      <w:r>
        <w:t xml:space="preserve">considerations, and a structured approach to calculating the carbon footprint, acknowledging</w:t>
      </w:r>
      <w:r>
        <w:t xml:space="preserve"> </w:t>
      </w:r>
      <w:r>
        <w:t xml:space="preserve">the use of placeholder data where specific operational values were not provided.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any Product Carbon Footprint (PCF) analysis is to clearly define the scope</w:t>
      </w:r>
      <w:r>
        <w:t xml:space="preserve"> </w:t>
      </w:r>
      <w:r>
        <w:t xml:space="preserve">of the study, ensuring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melkowlxre</w:t>
      </w:r>
      <w:r>
        <w:t xml:space="preserve">. This unit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means the assessment covers all greenhouse gas emissions associated with the product from raw material extraction (cradle) up to the point it leaves the factory gate, including manufacturing processes, upstream supply chain logistics, and direct operational emissions. Downstream phases such as product use and end-of-life are evaluated separately, as per the detailed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means primary production activities are modeled for China, while raw material sourcing and intermediate processing are considered with a European supply chain perspective where applicable, utilizing relevant regional emission factors.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This standard provides a globally consistent approach for companies to measure and manage their product emissions.</w:t>
      </w:r>
    </w:p>
    <w:p>
      <w:pPr>
        <w:numPr>
          <w:ilvl w:val="0"/>
          <w:numId w:val="1001"/>
        </w:numPr>
        <w:pStyle w:val="Compact"/>
      </w:pPr>
      <w:r>
        <w:rPr>
          <w:bCs/>
          <w:b/>
        </w:rPr>
        <w:t xml:space="preserve">Allocation:</w:t>
      </w:r>
      <w:r>
        <w:t xml:space="preserve"> </w:t>
      </w:r>
      <w:r>
        <w:t xml:space="preserve">Emissions are allocated to the functional unit based on mass or economic allocation, depending on the availability of data and the nature of co-products or by-products in specific processes, following GHG Protocol guidance.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Mapping the product\'s lifecycle involves identifying all relevant stages, from raw material</w:t>
      </w:r>
      <w:r>
        <w:t xml:space="preserve"> </w:t>
      </w:r>
      <w:r>
        <w:t xml:space="preserve">acquisition to manufacturing, distribution, use, and end-of-life. This section details the</w:t>
      </w:r>
      <w:r>
        <w:t xml:space="preserve"> </w:t>
      </w:r>
      <w:r>
        <w:t xml:space="preserve">inventory stages and the data inputs considered.</w:t>
      </w:r>
    </w:p>
    <w:bookmarkStart w:id="24" w:name="X27a25553588624fb7137dac639b913f4bd3af60"/>
    <w:p>
      <w:pPr>
        <w:pStyle w:val="Heading3"/>
      </w:pPr>
      <w:r>
        <w:t xml:space="preserve">2.1. Material Acquisition &amp; Pre-processing (Upstream - Scope 3)</w:t>
      </w:r>
    </w:p>
    <w:p>
      <w:pPr>
        <w:pStyle w:val="FirstParagraph"/>
      </w:pPr>
      <w:r>
        <w:t xml:space="preserve">The detailed Bill of Materials (BOM) for \'ukwrhzfh\' is critical for high-accuracy material impact calculation.</w:t>
      </w:r>
      <w:r>
        <w:t xml:space="preserve"> </w:t>
      </w:r>
      <w:r>
        <w:t xml:space="preserve">For a precise PCF, the actual data embedded in the \'ukwrhzfh\' BOM placeholder would be used.</w:t>
      </w:r>
      <w:r>
        <w:t xml:space="preserve"> </w:t>
      </w:r>
      <w:r>
        <w:t xml:space="preserve">Below is an illustrative example of how such BOM data would be structured and applied in the analysis.</w:t>
      </w:r>
      <w:r>
        <w:t xml:space="preserve"> </w:t>
      </w:r>
      <w:r>
        <w:t xml:space="preserve">Each material\'s environmental impact is calculated using its quantity, unit, and an appropriate</w:t>
      </w:r>
      <w:r>
        <w:t xml:space="preserve"> </w:t>
      </w:r>
      <w:r>
        <w:t xml:space="preserve">emission factor, primarily sourced from databases like Ecoinvent or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 - Illustrative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5.0</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Granule Production, Europe</w:t>
            </w:r>
          </w:p>
        </w:tc>
        <w:tc>
          <w:tcPr/>
          <w:p>
            <w:pPr>
              <w:pStyle w:val="Compact"/>
              <w:jc w:val="left"/>
            </w:pPr>
            <w:r>
              <w:t xml:space="preserve">2.0</w:t>
            </w:r>
          </w:p>
        </w:tc>
        <w:tc>
          <w:tcPr/>
          <w:p>
            <w:pPr>
              <w:pStyle w:val="Compact"/>
              <w:jc w:val="left"/>
            </w:pPr>
            <w:r>
              <w:t xml:space="preserve">kg</w:t>
            </w:r>
          </w:p>
        </w:tc>
        <w:tc>
          <w:tcPr/>
          <w:p>
            <w:pPr>
              <w:pStyle w:val="Compact"/>
              <w:jc w:val="left"/>
            </w:pPr>
            <w:r>
              <w:t xml:space="preserve">3.20</w:t>
            </w:r>
          </w:p>
        </w:tc>
        <w:tc>
          <w:tcPr/>
          <w:p>
            <w:pPr>
              <w:pStyle w:val="Compact"/>
              <w:jc w:val="left"/>
            </w:pPr>
            <w:r>
              <w:t xml:space="preserve">6.40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Manufacturing,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4.10</w:t>
            </w:r>
          </w:p>
        </w:tc>
        <w:tc>
          <w:tcPr/>
          <w:p>
            <w:pPr>
              <w:pStyle w:val="Compact"/>
              <w:jc w:val="left"/>
            </w:pPr>
            <w:r>
              <w:t xml:space="preserve">2.05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 Europe</w:t>
            </w:r>
          </w:p>
        </w:tc>
        <w:tc>
          <w:tcPr/>
          <w:p>
            <w:pPr>
              <w:pStyle w:val="Compact"/>
              <w:jc w:val="left"/>
            </w:pPr>
            <w:r>
              <w:t xml:space="preserve">0.8</w:t>
            </w:r>
          </w:p>
        </w:tc>
        <w:tc>
          <w:tcPr/>
          <w:p>
            <w:pPr>
              <w:pStyle w:val="Compact"/>
              <w:jc w:val="left"/>
            </w:pPr>
            <w:r>
              <w:t xml:space="preserve">kg</w:t>
            </w:r>
          </w:p>
        </w:tc>
        <w:tc>
          <w:tcPr/>
          <w:p>
            <w:pPr>
              <w:pStyle w:val="Compact"/>
              <w:jc w:val="left"/>
            </w:pPr>
            <w:r>
              <w:t xml:space="preserve">0.60</w:t>
            </w:r>
          </w:p>
        </w:tc>
        <w:tc>
          <w:tcPr/>
          <w:p>
            <w:pPr>
              <w:pStyle w:val="Compact"/>
              <w:jc w:val="left"/>
            </w:pPr>
            <w:r>
              <w:t xml:space="preserve">0.48</w:t>
            </w:r>
          </w:p>
        </w:tc>
      </w:tr>
    </w:tbl>
    <w:p>
      <w:pPr>
        <w:pStyle w:val="BodyText"/>
      </w:pPr>
      <w:r>
        <w:rPr>
          <w:iCs/>
          <w:i/>
        </w:rPr>
        <w:t xml:space="preserve">Note: The "Emission Factor" and "Total Carbon" values in the table above are illustrative examples.</w:t>
      </w:r>
      <w:r>
        <w:rPr>
          <w:iCs/>
          <w:i/>
        </w:rPr>
        <w:t xml:space="preserve"> </w:t>
      </w:r>
      <w:r>
        <w:rPr>
          <w:iCs/>
          <w:i/>
        </w:rPr>
        <w:t xml:space="preserve">In a real analysis, these values would be derived directly from the \'ukwrhzfh\' BOM data or</w:t>
      </w:r>
      <w:r>
        <w:rPr>
          <w:iCs/>
          <w:i/>
        </w:rPr>
        <w:t xml:space="preserve"> </w:t>
      </w:r>
      <w:r>
        <w:rPr>
          <w:iCs/>
          <w:i/>
        </w:rPr>
        <w:t xml:space="preserve">calculated based on the provided quantities and verified emission factors.</w:t>
      </w:r>
    </w:p>
    <w:bookmarkEnd w:id="24"/>
    <w:bookmarkStart w:id="25" w:name="Xf69a9d14152a2407fd1acd1966b51d5ebfde8d2"/>
    <w:p>
      <w:pPr>
        <w:pStyle w:val="Heading3"/>
      </w:pPr>
      <w:r>
        <w:t xml:space="preserve">2.2. Manufacturing / Production (Direct Operations - Scope 1 &amp; 2, Upstream Scope 3)</w:t>
      </w:r>
    </w:p>
    <w:p>
      <w:pPr>
        <w:pStyle w:val="FirstParagraph"/>
      </w:pPr>
      <w:r>
        <w:t xml:space="preserve">This stage includes all energy consumption and direct emissions from the manufacturing of \'melkowlxre\'</w:t>
      </w:r>
      <w:r>
        <w:t xml:space="preserve"> </w:t>
      </w:r>
      <w:r>
        <w:t xml:space="preserve">at the facility in China.</w:t>
      </w:r>
    </w:p>
    <w:p>
      <w:pPr>
        <w:numPr>
          <w:ilvl w:val="0"/>
          <w:numId w:val="1003"/>
        </w:numPr>
        <w:pStyle w:val="Compact"/>
      </w:pPr>
      <w:r>
        <w:rPr>
          <w:bCs/>
          <w:b/>
        </w:rPr>
        <w:t xml:space="preserve">Energy Intensity (kWh/unit):</w:t>
      </w:r>
      <w:r>
        <w:t xml:space="preserve"> </w:t>
      </w:r>
      <w:r>
        <w:t xml:space="preserve">rhmkqvpupg. This represents the total electricity consumption per functional unit during the production phase.</w:t>
      </w:r>
    </w:p>
    <w:p>
      <w:pPr>
        <w:numPr>
          <w:ilvl w:val="0"/>
          <w:numId w:val="1003"/>
        </w:numPr>
        <w:pStyle w:val="Compact"/>
      </w:pPr>
      <w:r>
        <w:rPr>
          <w:bCs/>
          <w:b/>
        </w:rPr>
        <w:t xml:space="preserve">Renewable Energy Usage (%):</w:t>
      </w:r>
      <w:r>
        <w:t xml:space="preserve"> </w:t>
      </w:r>
      <w:r>
        <w:t xml:space="preserve">ukerrrxrzs. This percentage indicates the proportion of purchased or self-generated renewable electricity used in production, which significantly impacts Scope 2 emissions.</w:t>
      </w:r>
    </w:p>
    <w:p>
      <w:pPr>
        <w:numPr>
          <w:ilvl w:val="0"/>
          <w:numId w:val="1003"/>
        </w:numPr>
        <w:pStyle w:val="Compact"/>
      </w:pPr>
      <w:r>
        <w:rPr>
          <w:bCs/>
          <w:b/>
        </w:rPr>
        <w:t xml:space="preserve">Scope 1 Emissions:</w:t>
      </w:r>
      <w:r>
        <w:t xml:space="preserve"> </w:t>
      </w:r>
      <w:r>
        <w:t xml:space="preserve">Direct emissions from owned or controlled sources (e.g., on-site fuel combustion). Without specific data for on-site fuel use, this is assumed to be minimal or zero for a \'factory_gate\' boundary where energy is primarily purchased.</w:t>
      </w:r>
    </w:p>
    <w:p>
      <w:pPr>
        <w:numPr>
          <w:ilvl w:val="0"/>
          <w:numId w:val="1003"/>
        </w:numPr>
        <w:pStyle w:val="Compact"/>
      </w:pPr>
      <w:r>
        <w:rPr>
          <w:bCs/>
          <w:b/>
        </w:rPr>
        <w:t xml:space="preserve">Scope 2 Emissions:</w:t>
      </w:r>
      <w:r>
        <w:t xml:space="preserve"> </w:t>
      </w:r>
      <w:r>
        <w:t xml:space="preserve">Indirect emissions from the generation of purchased electricity, heat, or steam. The \'rhmkqvpupg\' and \'ukerrrxrzs\' parameters are crucial here.</w:t>
      </w:r>
    </w:p>
    <w:p>
      <w:pPr>
        <w:numPr>
          <w:ilvl w:val="0"/>
          <w:numId w:val="1003"/>
        </w:numPr>
        <w:pStyle w:val="Compact"/>
      </w:pPr>
      <w:r>
        <w:rPr>
          <w:bCs/>
          <w:b/>
        </w:rPr>
        <w:t xml:space="preserve">Upstream Scope 3 (from material inputs):</w:t>
      </w:r>
      <w:r>
        <w:t xml:space="preserve"> </w:t>
      </w:r>
      <w:r>
        <w:t xml:space="preserve">Already accounted for through the BOM analysis in Section 2.1.</w:t>
      </w:r>
    </w:p>
    <w:bookmarkEnd w:id="25"/>
    <w:bookmarkStart w:id="26" w:name="transport-logistics---scope-3"/>
    <w:p>
      <w:pPr>
        <w:pStyle w:val="Heading3"/>
      </w:pPr>
      <w:r>
        <w:t xml:space="preserve">2.3. Transport (Logistics - Scope 3)</w:t>
      </w:r>
    </w:p>
    <w:p>
      <w:pPr>
        <w:pStyle w:val="FirstParagraph"/>
      </w:pPr>
      <w:r>
        <w:t xml:space="preserve">Transportation impacts are calculated for both upstream material movements and product delivery</w:t>
      </w:r>
      <w:r>
        <w:t xml:space="preserve"> </w:t>
      </w:r>
      <w:r>
        <w:t xml:space="preserve">to the next stage (e.g., warehouse or retailer), incorporating the specific logistics data provided.</w:t>
      </w:r>
    </w:p>
    <w:p>
      <w:pPr>
        <w:numPr>
          <w:ilvl w:val="0"/>
          <w:numId w:val="1004"/>
        </w:numPr>
        <w:pStyle w:val="Compact"/>
      </w:pPr>
      <w:r>
        <w:rPr>
          <w:bCs/>
          <w:b/>
        </w:rPr>
        <w:t xml:space="preserve">Transport Mode:</w:t>
      </w:r>
      <w:r>
        <w:t xml:space="preserve"> </w:t>
      </w:r>
      <w:r>
        <w:t xml:space="preserve">Select Mode (e.g., Road, Rail, Sea, Air).</w:t>
      </w:r>
    </w:p>
    <w:p>
      <w:pPr>
        <w:numPr>
          <w:ilvl w:val="0"/>
          <w:numId w:val="1004"/>
        </w:numPr>
        <w:pStyle w:val="Compact"/>
      </w:pPr>
      <w:r>
        <w:rPr>
          <w:bCs/>
          <w:b/>
        </w:rPr>
        <w:t xml:space="preserve">Transport Distance:</w:t>
      </w:r>
      <w:r>
        <w:t xml:space="preserve"> </w:t>
      </w:r>
      <w:r>
        <w:t xml:space="preserve">kizhwgxdtd (e.g., in km).</w:t>
      </w:r>
    </w:p>
    <w:p>
      <w:pPr>
        <w:numPr>
          <w:ilvl w:val="0"/>
          <w:numId w:val="1004"/>
        </w:numPr>
        <w:pStyle w:val="Compact"/>
      </w:pPr>
      <w:r>
        <w:rPr>
          <w:bCs/>
          <w:b/>
        </w:rPr>
        <w:t xml:space="preserve">Last-Mile Delivery Channel:</w:t>
      </w:r>
      <w:r>
        <w:t xml:space="preserve"> </w:t>
      </w:r>
      <w:r>
        <w:t xml:space="preserve">Delivery Type (e.g., direct-to-consumer, retail distribution).</w:t>
      </w:r>
    </w:p>
    <w:p>
      <w:pPr>
        <w:pStyle w:val="FirstParagraph"/>
      </w:pPr>
      <w:r>
        <w:t xml:space="preserve">The selection of \'Select Mode\' and \'Delivery Type\' would determine the appropriate emission factors</w:t>
      </w:r>
      <w:r>
        <w:t xml:space="preserve"> </w:t>
      </w:r>
      <w:r>
        <w:t xml:space="preserve">(e.g., kg CO2e/tonne-km for road freight) to be applied over the \'kizhwgxdtd\' distance.</w:t>
      </w:r>
    </w:p>
    <w:bookmarkEnd w:id="26"/>
    <w:bookmarkStart w:id="27" w:name="use-phase-downstream---scope-3"/>
    <w:p>
      <w:pPr>
        <w:pStyle w:val="Heading3"/>
      </w:pPr>
      <w:r>
        <w:t xml:space="preserve">2.4. Use Phase (Downstream - Scope 3)</w:t>
      </w:r>
    </w:p>
    <w:p>
      <w:pPr>
        <w:pStyle w:val="FirstParagraph"/>
      </w:pPr>
      <w:r>
        <w:t xml:space="preserve">The use phase considers emissions generated during the product\'s operational lifetime by the end-user.</w:t>
      </w:r>
    </w:p>
    <w:p>
      <w:pPr>
        <w:numPr>
          <w:ilvl w:val="0"/>
          <w:numId w:val="1005"/>
        </w:numPr>
        <w:pStyle w:val="Compact"/>
      </w:pPr>
      <w:r>
        <w:rPr>
          <w:bCs/>
          <w:b/>
        </w:rPr>
        <w:t xml:space="preserve">Product Lifespan:</w:t>
      </w:r>
      <w:r>
        <w:t xml:space="preserve"> </w:t>
      </w:r>
      <w:r>
        <w:t xml:space="preserve">rsugddnnji (e.g., in years or operating hours).</w:t>
      </w:r>
    </w:p>
    <w:p>
      <w:pPr>
        <w:numPr>
          <w:ilvl w:val="0"/>
          <w:numId w:val="1005"/>
        </w:numPr>
        <w:pStyle w:val="Compact"/>
      </w:pPr>
      <w:r>
        <w:rPr>
          <w:bCs/>
          <w:b/>
        </w:rPr>
        <w:t xml:space="preserve">Energy Consumption in Use:</w:t>
      </w:r>
      <w:r>
        <w:t xml:space="preserve"> </w:t>
      </w:r>
      <w:r>
        <w:t xml:space="preserve">douvjvxshi (e.g., kWh/year or kWh/operating hour).</w:t>
      </w:r>
    </w:p>
    <w:p>
      <w:pPr>
        <w:pStyle w:val="FirstParagraph"/>
      </w:pPr>
      <w:r>
        <w:t xml:space="preserve">Emissions in this phase would be calculated by multiplying the energy consumption by the lifespan</w:t>
      </w:r>
      <w:r>
        <w:t xml:space="preserve"> </w:t>
      </w:r>
      <w:r>
        <w:t xml:space="preserve">and the relevant electricity emission factor for the typical usage region.</w:t>
      </w:r>
    </w:p>
    <w:bookmarkEnd w:id="27"/>
    <w:bookmarkStart w:id="28" w:name="end-of-life-downstream---scope-3"/>
    <w:p>
      <w:pPr>
        <w:pStyle w:val="Heading3"/>
      </w:pPr>
      <w:r>
        <w:t xml:space="preserve">2.5. End-of-Life (Downstream - Scope 3)</w:t>
      </w:r>
    </w:p>
    <w:p>
      <w:pPr>
        <w:pStyle w:val="FirstParagraph"/>
      </w:pPr>
      <w:r>
        <w:t xml:space="preserve">This stage accounts for emissions and potential carbon credits or debits associated with the</w:t>
      </w:r>
      <w:r>
        <w:t xml:space="preserve"> </w:t>
      </w:r>
      <w:r>
        <w:t xml:space="preserve">disposal or recycling of \'melkowlxre\' at the end of its life.</w:t>
      </w:r>
    </w:p>
    <w:p>
      <w:pPr>
        <w:numPr>
          <w:ilvl w:val="0"/>
          <w:numId w:val="1006"/>
        </w:numPr>
        <w:pStyle w:val="Compact"/>
      </w:pPr>
      <w:r>
        <w:rPr>
          <w:bCs/>
          <w:b/>
        </w:rPr>
        <w:t xml:space="preserve">Recyclability Percentage:</w:t>
      </w:r>
      <w:r>
        <w:t xml:space="preserve"> </w:t>
      </w:r>
      <w:r>
        <w:t xml:space="preserve">jrfhodnwst. This percentage indicates the proportion of the product\'s materials that are technically and economically recyclable.</w:t>
      </w:r>
    </w:p>
    <w:p>
      <w:pPr>
        <w:numPr>
          <w:ilvl w:val="0"/>
          <w:numId w:val="1006"/>
        </w:numPr>
        <w:pStyle w:val="Compact"/>
      </w:pPr>
      <w:r>
        <w:rPr>
          <w:bCs/>
          <w:b/>
        </w:rPr>
        <w:t xml:space="preserve">Circular/Take-back Programs:</w:t>
      </w:r>
      <w:r>
        <w:t xml:space="preserve"> </w:t>
      </w:r>
      <w:r>
        <w:t xml:space="preserve">lwklfwswhl. The existence and effectiveness of such programs can reduce end-of-life impacts by facilitating reuse, repair, or higher recycling rates.</w:t>
      </w:r>
    </w:p>
    <w:p>
      <w:pPr>
        <w:pStyle w:val="FirstParagraph"/>
      </w:pPr>
      <w:r>
        <w:t xml:space="preserve">Benefits from recycling (avoided emissions from virgin material production) or emissions from</w:t>
      </w:r>
      <w:r>
        <w:t xml:space="preserve"> </w:t>
      </w:r>
      <w:r>
        <w:t xml:space="preserve">landfilling/incineration are calculated based on these parameters and relevant EoL emission factors.</w:t>
      </w:r>
    </w:p>
    <w:p>
      <w:r>
        <w:pict>
          <v:rect style="width:0;height:1.5pt" o:hralign="center" o:hrstd="t" o:hr="t"/>
        </w:pict>
      </w:r>
    </w:p>
    <w:bookmarkEnd w:id="28"/>
    <w:bookmarkEnd w:id="29"/>
    <w:bookmarkStart w:id="32" w:name="collect-data"/>
    <w:p>
      <w:pPr>
        <w:pStyle w:val="Heading2"/>
      </w:pPr>
      <w:r>
        <w:t xml:space="preserve">3. Collect Data</w:t>
      </w:r>
    </w:p>
    <w:p>
      <w:pPr>
        <w:pStyle w:val="FirstParagraph"/>
      </w:pPr>
      <w:r>
        <w:t xml:space="preserve">Data collection is fundamental to an accurate PCF analysis. This step involves gathering both</w:t>
      </w:r>
      <w:r>
        <w:t xml:space="preserve"> </w:t>
      </w:r>
      <w:r>
        <w:t xml:space="preserve">primary (specific to iezrfgfqfp\'s operations and \'melkowlxre\') and secondary (generic, industry-average)</w:t>
      </w:r>
      <w:r>
        <w:t xml:space="preserve"> </w:t>
      </w:r>
      <w:r>
        <w:t xml:space="preserve">data points.</w:t>
      </w:r>
    </w:p>
    <w:bookmarkStart w:id="30" w:name="primary-data-points"/>
    <w:p>
      <w:pPr>
        <w:pStyle w:val="Heading3"/>
      </w:pPr>
      <w:r>
        <w:t xml:space="preserve">3.1. Primary Data Points</w:t>
      </w:r>
    </w:p>
    <w:p>
      <w:pPr>
        <w:pStyle w:val="FirstParagraph"/>
      </w:pPr>
      <w:r>
        <w:t xml:space="preserve">For this report, the following parameters are provided as placeholders, which in a real-world scenario</w:t>
      </w:r>
      <w:r>
        <w:t xml:space="preserve"> </w:t>
      </w:r>
      <w:r>
        <w:t xml:space="preserve">would be populated with specific, measured data:</w:t>
      </w:r>
    </w:p>
    <w:p>
      <w:pPr>
        <w:numPr>
          <w:ilvl w:val="0"/>
          <w:numId w:val="1007"/>
        </w:numPr>
        <w:pStyle w:val="Compact"/>
      </w:pPr>
      <w:r>
        <w:rPr>
          <w:bCs/>
          <w:b/>
        </w:rPr>
        <w:t xml:space="preserve">Detailed Bill of Materials (BOM):</w:t>
      </w:r>
      <w:r>
        <w:t xml:space="preserve"> </w:t>
      </w:r>
      <w:r>
        <w:t xml:space="preserve">ukwrhzfh (containing ID, Description, Category, Process, Qty, Unit, Emission Factor, Total Carbon for each item).</w:t>
      </w:r>
    </w:p>
    <w:p>
      <w:pPr>
        <w:numPr>
          <w:ilvl w:val="0"/>
          <w:numId w:val="1007"/>
        </w:numPr>
        <w:pStyle w:val="Compact"/>
      </w:pPr>
      <w:r>
        <w:rPr>
          <w:bCs/>
          <w:b/>
        </w:rPr>
        <w:t xml:space="preserve">Production Energy Intensity:</w:t>
      </w:r>
      <w:r>
        <w:t xml:space="preserve"> </w:t>
      </w:r>
      <w:r>
        <w:t xml:space="preserve">rhmkqvpupg kWh/unit.</w:t>
      </w:r>
    </w:p>
    <w:p>
      <w:pPr>
        <w:numPr>
          <w:ilvl w:val="0"/>
          <w:numId w:val="1007"/>
        </w:numPr>
        <w:pStyle w:val="Compact"/>
      </w:pPr>
      <w:r>
        <w:rPr>
          <w:bCs/>
          <w:b/>
        </w:rPr>
        <w:t xml:space="preserve">Renewable Energy Usage:</w:t>
      </w:r>
      <w:r>
        <w:t xml:space="preserve"> </w:t>
      </w:r>
      <w:r>
        <w:t xml:space="preserve">ukerrrxrzs % for the production facility.</w:t>
      </w:r>
    </w:p>
    <w:p>
      <w:pPr>
        <w:numPr>
          <w:ilvl w:val="0"/>
          <w:numId w:val="1007"/>
        </w:numPr>
        <w:pStyle w:val="Compact"/>
      </w:pPr>
      <w:r>
        <w:rPr>
          <w:bCs/>
          <w:b/>
        </w:rPr>
        <w:t xml:space="preserve">Transport Mode for Supply Chain:</w:t>
      </w:r>
      <w:r>
        <w:t xml:space="preserve"> </w:t>
      </w:r>
      <w:r>
        <w:t xml:space="preserve">Select Mode.</w:t>
      </w:r>
    </w:p>
    <w:p>
      <w:pPr>
        <w:numPr>
          <w:ilvl w:val="0"/>
          <w:numId w:val="1007"/>
        </w:numPr>
        <w:pStyle w:val="Compact"/>
      </w:pPr>
      <w:r>
        <w:rPr>
          <w:bCs/>
          <w:b/>
        </w:rPr>
        <w:t xml:space="preserve">Transport Distance:</w:t>
      </w:r>
      <w:r>
        <w:t xml:space="preserve"> </w:t>
      </w:r>
      <w:r>
        <w:t xml:space="preserve">kizhwgxdtd.</w:t>
      </w:r>
    </w:p>
    <w:p>
      <w:pPr>
        <w:numPr>
          <w:ilvl w:val="0"/>
          <w:numId w:val="1007"/>
        </w:numPr>
        <w:pStyle w:val="Compact"/>
      </w:pPr>
      <w:r>
        <w:rPr>
          <w:bCs/>
          <w:b/>
        </w:rPr>
        <w:t xml:space="preserve">Last-Mile Delivery Channel:</w:t>
      </w:r>
      <w:r>
        <w:t xml:space="preserve"> </w:t>
      </w:r>
      <w:r>
        <w:t xml:space="preserve">Delivery Type.</w:t>
      </w:r>
    </w:p>
    <w:p>
      <w:pPr>
        <w:numPr>
          <w:ilvl w:val="0"/>
          <w:numId w:val="1007"/>
        </w:numPr>
        <w:pStyle w:val="Compact"/>
      </w:pPr>
      <w:r>
        <w:rPr>
          <w:bCs/>
          <w:b/>
        </w:rPr>
        <w:t xml:space="preserve">Product Lifespan:</w:t>
      </w:r>
      <w:r>
        <w:t xml:space="preserve"> </w:t>
      </w:r>
      <w:r>
        <w:t xml:space="preserve">rsugddnnji.</w:t>
      </w:r>
    </w:p>
    <w:p>
      <w:pPr>
        <w:numPr>
          <w:ilvl w:val="0"/>
          <w:numId w:val="1007"/>
        </w:numPr>
        <w:pStyle w:val="Compact"/>
      </w:pPr>
      <w:r>
        <w:rPr>
          <w:bCs/>
          <w:b/>
        </w:rPr>
        <w:t xml:space="preserve">Energy Consumption in Use:</w:t>
      </w:r>
      <w:r>
        <w:t xml:space="preserve"> </w:t>
      </w:r>
      <w:r>
        <w:t xml:space="preserve">douvjvxshi.</w:t>
      </w:r>
    </w:p>
    <w:p>
      <w:pPr>
        <w:numPr>
          <w:ilvl w:val="0"/>
          <w:numId w:val="1007"/>
        </w:numPr>
        <w:pStyle w:val="Compact"/>
      </w:pPr>
      <w:r>
        <w:rPr>
          <w:bCs/>
          <w:b/>
        </w:rPr>
        <w:t xml:space="preserve">Recyclability Percentage:</w:t>
      </w:r>
      <w:r>
        <w:t xml:space="preserve"> </w:t>
      </w:r>
      <w:r>
        <w:t xml:space="preserve">jrfhodnwst.</w:t>
      </w:r>
    </w:p>
    <w:p>
      <w:pPr>
        <w:numPr>
          <w:ilvl w:val="0"/>
          <w:numId w:val="1007"/>
        </w:numPr>
        <w:pStyle w:val="Compact"/>
      </w:pPr>
      <w:r>
        <w:rPr>
          <w:bCs/>
          <w:b/>
        </w:rPr>
        <w:t xml:space="preserve">Circular/Take-back Programs:</w:t>
      </w:r>
      <w:r>
        <w:t xml:space="preserve"> </w:t>
      </w:r>
      <w:r>
        <w:t xml:space="preserve">lwklfwswhl (details on their scope and impact).</w:t>
      </w:r>
    </w:p>
    <w:bookmarkEnd w:id="30"/>
    <w:bookmarkStart w:id="31" w:name="secondary-data-points-emission-factors"/>
    <w:p>
      <w:pPr>
        <w:pStyle w:val="Heading3"/>
      </w:pPr>
      <w:r>
        <w:t xml:space="preserve">3.2. Secondary Data Points (Emission Factors)</w:t>
      </w:r>
    </w:p>
    <w:p>
      <w:pPr>
        <w:pStyle w:val="FirstParagraph"/>
      </w:pPr>
      <w:r>
        <w:t xml:space="preserve">Given the absence of specific primary emission factors for every activity, industry-standard</w:t>
      </w:r>
      <w:r>
        <w:t xml:space="preserve"> </w:t>
      </w:r>
      <w:r>
        <w:t xml:space="preserve">emission factors are utilized to estimate greenhouse gas emissions. These factors convert</w:t>
      </w:r>
      <w:r>
        <w:t xml:space="preserve"> </w:t>
      </w:r>
      <w:r>
        <w:t xml:space="preserve">activity data (e.g., kWh of electricity, kg of material) into CO2 equivalent (CO2e) emissions.</w:t>
      </w:r>
    </w:p>
    <w:p>
      <w:pPr>
        <w:numPr>
          <w:ilvl w:val="0"/>
          <w:numId w:val="1008"/>
        </w:numPr>
        <w:pStyle w:val="Compact"/>
      </w:pPr>
      <w:r>
        <w:rPr>
          <w:bCs/>
          <w:b/>
        </w:rPr>
        <w:t xml:space="preserve">Ecoinvent Database:</w:t>
      </w:r>
      <w:r>
        <w:t xml:space="preserve"> </w:t>
      </w:r>
      <w:r>
        <w:t xml:space="preserve">A comprehensive life cycle inventory database providing regional or global average GHG emission factors across various sectors, including agriculture, chemicals, energy, metals, and transport. Ecoinvent is particularly valuable for filling data gaps in Scope 3 reporting.</w:t>
      </w:r>
    </w:p>
    <w:p>
      <w:pPr>
        <w:numPr>
          <w:ilvl w:val="0"/>
          <w:numId w:val="1008"/>
        </w:numPr>
        <w:pStyle w:val="Compact"/>
      </w:pPr>
      <w:r>
        <w:rPr>
          <w:bCs/>
          <w:b/>
        </w:rPr>
        <w:t xml:space="preserve">DEFRA (Department for Environment, Food &amp; Rural Affairs) Emission Factors:</w:t>
      </w:r>
      <w:r>
        <w:t xml:space="preserve"> </w:t>
      </w:r>
      <w:r>
        <w:t xml:space="preserve">Published by the UK Government, these conversion factors are widely used for calculating GHG emissions, covering a broad range of activities such as fuels, electricity (UK grid, overseas grids), transport (road, rail, sea, air), materials, and waste. They are updated annually and accepted by auditors.</w:t>
      </w:r>
    </w:p>
    <w:p>
      <w:pPr>
        <w:numPr>
          <w:ilvl w:val="0"/>
          <w:numId w:val="1008"/>
        </w:numPr>
        <w:pStyle w:val="Compact"/>
      </w:pPr>
      <w:r>
        <w:rPr>
          <w:bCs/>
          <w:b/>
        </w:rPr>
        <w:t xml:space="preserve">Other Reputable Sources:</w:t>
      </w:r>
      <w:r>
        <w:t xml:space="preserve"> </w:t>
      </w:r>
      <w:r>
        <w:t xml:space="preserve">Depending on the specificity required, other regional or sector-specific databases may also be consulted.</w:t>
      </w:r>
    </w:p>
    <w:p>
      <w:r>
        <w:pict>
          <v:rect style="width:0;height:1.5pt" o:hralign="center" o:hrstd="t" o:hr="t"/>
        </w:pict>
      </w:r>
    </w:p>
    <w:bookmarkEnd w:id="31"/>
    <w:bookmarkEnd w:id="32"/>
    <w:bookmarkStart w:id="39" w:name="calculate-emissions"/>
    <w:p>
      <w:pPr>
        <w:pStyle w:val="Heading2"/>
      </w:pPr>
      <w:r>
        <w:t xml:space="preserve">4. Calculate Emissions</w:t>
      </w:r>
    </w:p>
    <w:p>
      <w:pPr>
        <w:pStyle w:val="FirstParagraph"/>
      </w:pPr>
      <w:r>
        <w:t xml:space="preserve">The calculation of emissions involves multiplying activity data by relevant emission factors.</w:t>
      </w:r>
      <w:r>
        <w:t xml:space="preserve"> </w:t>
      </w:r>
      <w:r>
        <w:t xml:space="preserve">Emissions are categorized according to the GHG Protocol into Scope 1, Scope 2, and Scope 3.</w:t>
      </w:r>
      <w:r>
        <w:t xml:space="preserve"> </w:t>
      </w:r>
      <w:r>
        <w:t xml:space="preserve">The 2026 LSR Standard update and a minimum of 95% Scope 3 coverage are applied.</w:t>
      </w:r>
    </w:p>
    <w:p>
      <w:pPr>
        <w:pStyle w:val="BodyText"/>
      </w:pPr>
      <w:r>
        <w:rPr>
          <w:bCs/>
          <w:b/>
        </w:rPr>
        <w:t xml:space="preserve">General Calculation Formula:</w:t>
      </w:r>
      <w:r>
        <w:t xml:space="preserve"> </w:t>
      </w:r>
      <w:r>
        <w:t xml:space="preserve">Activity Data × Emission Factor = CO2e Emissions</w:t>
      </w:r>
    </w:p>
    <w:bookmarkStart w:id="33" w:name="scope-1-emissions-direct-emissions"/>
    <w:p>
      <w:pPr>
        <w:pStyle w:val="Heading3"/>
      </w:pPr>
      <w:r>
        <w:t xml:space="preserve">4.1. Scope 1 Emissions (Direct Emissions)</w:t>
      </w:r>
    </w:p>
    <w:p>
      <w:pPr>
        <w:pStyle w:val="FirstParagraph"/>
      </w:pPr>
      <w:r>
        <w:t xml:space="preserve">These are direct GHG emissions from sources owned or controlled by iezrfgfqfp in the production</w:t>
      </w:r>
      <w:r>
        <w:t xml:space="preserve"> </w:t>
      </w:r>
      <w:r>
        <w:t xml:space="preserve">of \'melkowlxre\'. Given the "factory_gate" system boundary and typical production scenarios,</w:t>
      </w:r>
      <w:r>
        <w:t xml:space="preserve"> </w:t>
      </w:r>
      <w:r>
        <w:t xml:space="preserve">Scope 1 often includes on-site fuel combustion for heating, manufacturing processes, or company-owned vehicles.</w:t>
      </w:r>
      <w:r>
        <w:t xml:space="preserve"> </w:t>
      </w:r>
      <w:r>
        <w:t xml:space="preserve">Without specific data for direct operational fuel consumption, Scope 1 is considered to be a minor contributor</w:t>
      </w:r>
      <w:r>
        <w:t xml:space="preserve"> </w:t>
      </w:r>
      <w:r>
        <w:t xml:space="preserve">for this \'factory_gate\' boundary, primarily covered by purchased energy and upstream material impacts.</w:t>
      </w:r>
      <w:r>
        <w:t xml:space="preserve"> </w:t>
      </w:r>
      <w:r>
        <w:t xml:space="preserve">If any on-site fuel consumption data were available, they would be multiplied by specific fuel emission factors.</w:t>
      </w:r>
    </w:p>
    <w:bookmarkEnd w:id="33"/>
    <w:bookmarkStart w:id="34"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w:t>
      </w:r>
      <w:r>
        <w:t xml:space="preserve"> </w:t>
      </w:r>
      <w:r>
        <w:t xml:space="preserve">by iezrfgfqfp\'s production facility for \'melkowlxre\'.</w:t>
      </w:r>
    </w:p>
    <w:p>
      <w:pPr>
        <w:pStyle w:val="BodyText"/>
      </w:pPr>
      <w:r>
        <w:rPr>
          <w:bCs/>
          <w:b/>
        </w:rPr>
        <w:t xml:space="preserve">Calculation:</w:t>
      </w:r>
      <w:r>
        <w:t xml:space="preserve"> </w:t>
      </w:r>
      <w:r>
        <w:rPr>
          <w:rStyle w:val="VerbatimChar"/>
        </w:rPr>
        <w:t xml:space="preserve"> Total Electricity Consumption (kWh) = Energy Intensity (rhmkqvpupg kWh/unit) × 1.0 unit</w:t>
      </w:r>
      <w:r>
        <w:br/>
      </w:r>
      <w:r>
        <w:rPr>
          <w:rStyle w:val="VerbatimChar"/>
        </w:rPr>
        <w:t xml:space="preserve">Non-Renewable Electricity Consumption (kWh) = Total Electricity Consumption × (100% - Renewable Energy Usage (ukerrrxrzs %))</w:t>
      </w:r>
      <w:r>
        <w:br/>
      </w:r>
      <w:r>
        <w:rPr>
          <w:rStyle w:val="VerbatimChar"/>
        </w:rPr>
        <w:t xml:space="preserve">Scope 2 Emissions (kg CO2e) = Non-Renewable Electricity Consumption (kWh) × Grid Electricity Emission Factor (kg CO2e/kWh for China) </w:t>
      </w:r>
    </w:p>
    <w:p>
      <w:pPr>
        <w:pStyle w:val="BodyText"/>
      </w:pPr>
      <w:r>
        <w:t xml:space="preserve">The renewable energy usage (\'ukerrrxrzs\') directly reduces the portion of electricity that contributes</w:t>
      </w:r>
      <w:r>
        <w:t xml:space="preserve"> </w:t>
      </w:r>
      <w:r>
        <w:t xml:space="preserve">to Scope 2 emissions, assuming certified renewable energy sources with zero upstream emissions.</w:t>
      </w:r>
    </w:p>
    <w:bookmarkEnd w:id="34"/>
    <w:bookmarkStart w:id="37" w:name="scope-3-emissions-value-chain-emissions"/>
    <w:p>
      <w:pPr>
        <w:pStyle w:val="Heading3"/>
      </w:pPr>
      <w:r>
        <w:t xml:space="preserve">4.3. Scope 3 Emissions (Value Chain Emissions)</w:t>
      </w:r>
    </w:p>
    <w:p>
      <w:pPr>
        <w:pStyle w:val="FirstParagraph"/>
      </w:pPr>
      <w:r>
        <w:t xml:space="preserve">Scope 3 emissions are all indirect emissions not included in Scope 2 that occur in the value chain of \'iezrfgfqfp\',</w:t>
      </w:r>
      <w:r>
        <w:t xml:space="preserve"> </w:t>
      </w:r>
      <w:r>
        <w:t xml:space="preserve">both upstream and downstream. As per 2026 requirements, at least 95% coverage for Scope 3 reporting is targeted.</w:t>
      </w:r>
    </w:p>
    <w:bookmarkStart w:id="35" w:name="upstream-scope-3-emissions"/>
    <w:p>
      <w:pPr>
        <w:pStyle w:val="Heading4"/>
      </w:pPr>
      <w:r>
        <w:t xml:space="preserve">4.3.1. Upstream Scope 3 Emissions</w:t>
      </w:r>
    </w:p>
    <w:p>
      <w:pPr>
        <w:numPr>
          <w:ilvl w:val="0"/>
          <w:numId w:val="1009"/>
        </w:numPr>
      </w:pPr>
      <w:r>
        <w:rPr>
          <w:bCs/>
          <w:b/>
        </w:rPr>
        <w:t xml:space="preserve">Material Acquisition &amp; Pre-processing:</w:t>
      </w:r>
    </w:p>
    <w:p>
      <w:pPr>
        <w:numPr>
          <w:ilvl w:val="0"/>
          <w:numId w:val="1000"/>
        </w:numPr>
      </w:pPr>
      <w:r>
        <w:t xml:space="preserve">Calculated by summing the "Total Carbon" from the detailed BOM (\'ukwrhzfh\') for all raw materials and</w:t>
      </w:r>
      <w:r>
        <w:t xml:space="preserve"> </w:t>
      </w:r>
      <w:r>
        <w:t xml:space="preserve">intermediate products (as illustrated in Section 2.1). Each material\'s quantity (e.g., kg) is multiplied</w:t>
      </w:r>
      <w:r>
        <w:t xml:space="preserve"> </w:t>
      </w:r>
      <w:r>
        <w:t xml:space="preserve">by its specific emission factor (e.g., kg CO2e/kg material) to determine its contribution.</w:t>
      </w:r>
    </w:p>
    <w:p>
      <w:pPr>
        <w:numPr>
          <w:ilvl w:val="0"/>
          <w:numId w:val="1009"/>
        </w:numPr>
      </w:pPr>
      <w:r>
        <w:rPr>
          <w:bCs/>
          <w:b/>
        </w:rPr>
        <w:t xml:space="preserve">Upstream Transport:</w:t>
      </w:r>
    </w:p>
    <w:p>
      <w:pPr>
        <w:numPr>
          <w:ilvl w:val="0"/>
          <w:numId w:val="1000"/>
        </w:numPr>
      </w:pPr>
      <w:r>
        <w:t xml:space="preserve">Emissions from transporting raw materials to the manufacturing facility. This would involve:</w:t>
      </w:r>
      <w:r>
        <w:t xml:space="preserve"> </w:t>
      </w:r>
      <w:r>
        <w:rPr>
          <w:rStyle w:val="VerbatimChar"/>
        </w:rPr>
        <w:t xml:space="preserve"> Material Mass (kg) × Transport Distance (kizhwgxdtd) × Emission Factor (kg CO2e/kg-km for \'Select Mode\') </w:t>
      </w:r>
    </w:p>
    <w:bookmarkEnd w:id="35"/>
    <w:bookmarkStart w:id="36" w:name="downstream-scope-3-emissions"/>
    <w:p>
      <w:pPr>
        <w:pStyle w:val="Heading4"/>
      </w:pPr>
      <w:r>
        <w:t xml:space="preserve">4.3.2. Downstream Scope 3 Emissions</w:t>
      </w:r>
    </w:p>
    <w:p>
      <w:pPr>
        <w:numPr>
          <w:ilvl w:val="0"/>
          <w:numId w:val="1010"/>
        </w:numPr>
      </w:pPr>
      <w:r>
        <w:rPr>
          <w:bCs/>
          <w:b/>
        </w:rPr>
        <w:t xml:space="preserve">Transport to Distribution/Customer:</w:t>
      </w:r>
    </w:p>
    <w:p>
      <w:pPr>
        <w:numPr>
          <w:ilvl w:val="0"/>
          <w:numId w:val="1000"/>
        </w:numPr>
      </w:pPr>
      <w:r>
        <w:t xml:space="preserve">Emissions from transporting the finished \'melkowlxre\' product from the factory gate to the next stage</w:t>
      </w:r>
      <w:r>
        <w:t xml:space="preserve"> </w:t>
      </w:r>
      <w:r>
        <w:t xml:space="preserve">or end-user. This calculation would be similar to upstream transport but for the finished product weight.</w:t>
      </w:r>
      <w:r>
        <w:t xml:space="preserve"> </w:t>
      </w:r>
      <w:r>
        <w:t xml:space="preserve">The \'Delivery Type\' for last-mile delivery would also be factored in using appropriate emission factors.</w:t>
      </w:r>
    </w:p>
    <w:p>
      <w:pPr>
        <w:numPr>
          <w:ilvl w:val="0"/>
          <w:numId w:val="1010"/>
        </w:numPr>
      </w:pPr>
      <w:r>
        <w:rPr>
          <w:bCs/>
          <w:b/>
        </w:rPr>
        <w:t xml:space="preserve">Use Phase:</w:t>
      </w:r>
    </w:p>
    <w:p>
      <w:pPr>
        <w:numPr>
          <w:ilvl w:val="0"/>
          <w:numId w:val="1000"/>
        </w:numPr>
      </w:pPr>
      <w:r>
        <w:t xml:space="preserve">Calculated based on the product\'s lifespan and energy consumption during use:</w:t>
      </w:r>
      <w:r>
        <w:t xml:space="preserve"> </w:t>
      </w:r>
      <w:r>
        <w:rPr>
          <w:rStyle w:val="VerbatimChar"/>
        </w:rPr>
        <w:t xml:space="preserve"> Use Phase Emissions (kg CO2e) = Energy Consumption in Use (douvjvxshi) × Product Lifespan (rsugddnnji) × Electricity Emission Factor (kg CO2e/kWh for end-user region) </w:t>
      </w:r>
    </w:p>
    <w:p>
      <w:pPr>
        <w:numPr>
          <w:ilvl w:val="0"/>
          <w:numId w:val="1010"/>
        </w:numPr>
      </w:pPr>
      <w:r>
        <w:rPr>
          <w:bCs/>
          <w:b/>
        </w:rPr>
        <w:t xml:space="preserve">End-of-Life Treatment:</w:t>
      </w:r>
    </w:p>
    <w:p>
      <w:pPr>
        <w:numPr>
          <w:ilvl w:val="0"/>
          <w:numId w:val="1000"/>
        </w:numPr>
      </w:pPr>
      <w:r>
        <w:t xml:space="preserve">Emissions (or avoided emissions) from disposal, recycling, or recovery processes:</w:t>
      </w:r>
      <w:r>
        <w:t xml:space="preserve"> </w:t>
      </w:r>
      <w:r>
        <w:rPr>
          <w:rStyle w:val="VerbatimChar"/>
        </w:rPr>
        <w:t xml:space="preserve"> EoL Emissions (kg CO2e) = Product Mass (kg) × [(1 - Recyclability Percentage (jrfhodnwst)) × Disposal Emission Factor (e.g., landfill)] + [Recyclability Percentage × (Recycling Emission Factor - Avoided Virgin Material Emission Factor)] </w:t>
      </w:r>
      <w:r>
        <w:t xml:space="preserve"> </w:t>
      </w:r>
      <w:r>
        <w:t xml:space="preserve">The impact of \'lwklfwswhl\' (circular/take-back programs) would further refine these calculations by promoting higher recycling/reuse rates and reducing disposal emissions.</w:t>
      </w:r>
    </w:p>
    <w:bookmarkEnd w:id="36"/>
    <w:bookmarkEnd w:id="37"/>
    <w:bookmarkStart w:id="38" w:name="lsr-land-sector-and-removals-update"/>
    <w:p>
      <w:pPr>
        <w:pStyle w:val="Heading3"/>
      </w:pPr>
      <w:r>
        <w:t xml:space="preserve">4.4. 2026 LSR (Land Sector and Removals) Update</w:t>
      </w:r>
    </w:p>
    <w:p>
      <w:pPr>
        <w:pStyle w:val="FirstParagraph"/>
      </w:pPr>
      <w:r>
        <w:t xml:space="preserve">The Land Sector and Removals (LSR) Standard, released on January 30, 2026, and effective January 1, 2027,</w:t>
      </w:r>
      <w:r>
        <w:t xml:space="preserve"> </w:t>
      </w:r>
      <w:r>
        <w:t xml:space="preserve">is applied to account for land use and carbon removals. This is particularly relevant if</w:t>
      </w:r>
      <w:r>
        <w:t xml:space="preserve"> </w:t>
      </w:r>
      <w:r>
        <w:t xml:space="preserve">\'melkowlxre\' contains biogenic materials or if its supply chain involves significant agricultural or</w:t>
      </w:r>
      <w:r>
        <w:t xml:space="preserve"> </w:t>
      </w:r>
      <w:r>
        <w:t xml:space="preserve">land-based activities (e.g., raw material production). The LSR Standard provides methods to quantify, report,</w:t>
      </w:r>
      <w:r>
        <w:t xml:space="preserve"> </w:t>
      </w:r>
      <w:r>
        <w:t xml:space="preserve">and track land emissions, CO2 removals (including technological removals), and emissions from biogenic products</w:t>
      </w:r>
      <w:r>
        <w:t xml:space="preserve"> </w:t>
      </w:r>
      <w:r>
        <w:t xml:space="preserve">across the value chain. For this PCF, any land-use change emissions or removals associated with the</w:t>
      </w:r>
      <w:r>
        <w:t xml:space="preserve"> </w:t>
      </w:r>
      <w:r>
        <w:t xml:space="preserve">raw materials (e.g., from agricultural feedstocks for plastics or natural fibers) would be included as part of</w:t>
      </w:r>
      <w:r>
        <w:t xml:space="preserve"> </w:t>
      </w:r>
      <w:r>
        <w:t xml:space="preserve">Scope 3 upstream emissions, specifically adhering to the LSR Standard\'s requirements.</w:t>
      </w:r>
    </w:p>
    <w:p>
      <w:pPr>
        <w:pStyle w:val="BodyText"/>
      </w:pPr>
      <w:r>
        <w:rPr>
          <w:iCs/>
          <w:i/>
        </w:rPr>
        <w:t xml:space="preserve">Note: As actual numerical data for the parameters (e.g., \'ukwrhzfh\', \'kizhwgxdtd\', \'rhmkqvpupg\') were provided as placeholders,</w:t>
      </w:r>
      <w:r>
        <w:rPr>
          <w:iCs/>
          <w:i/>
        </w:rPr>
        <w:t xml:space="preserve"> </w:t>
      </w:r>
      <w:r>
        <w:rPr>
          <w:iCs/>
          <w:i/>
        </w:rPr>
        <w:t xml:space="preserve">a precise total PCF value cannot be calculated in this report. The above provides the detailed methodology for calculation</w:t>
      </w:r>
      <w:r>
        <w:rPr>
          <w:iCs/>
          <w:i/>
        </w:rPr>
        <w:t xml:space="preserve"> </w:t>
      </w:r>
      <w:r>
        <w:rPr>
          <w:iCs/>
          <w:i/>
        </w:rPr>
        <w:t xml:space="preserve">once concrete data are available.</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Once all emissions are calculated, a review process identifies "hotspots" – the lifecycle stages,</w:t>
      </w:r>
      <w:r>
        <w:t xml:space="preserve"> </w:t>
      </w:r>
      <w:r>
        <w:t xml:space="preserve">materials, or processes that contribute most significantly to the product\'s overall carbon footprint.</w:t>
      </w:r>
      <w:r>
        <w:t xml:space="preserve"> </w:t>
      </w:r>
      <w:r>
        <w:t xml:space="preserve">Typically, for manufactured goods, material acquisition and manufacturing energy are major hotspots,</w:t>
      </w:r>
      <w:r>
        <w:t xml:space="preserve"> </w:t>
      </w:r>
      <w:r>
        <w:t xml:space="preserve">followed by the use phase for energy-consuming products, and logistics for heavy or long-distance</w:t>
      </w:r>
      <w:r>
        <w:t xml:space="preserve"> </w:t>
      </w:r>
      <w:r>
        <w:t xml:space="preserve">transported goods. The detailed breakdown by scope and stage facilitates this identification.</w:t>
      </w:r>
    </w:p>
    <w:bookmarkEnd w:id="40"/>
    <w:bookmarkStart w:id="41" w:name="reliability-and-uncertainty"/>
    <w:p>
      <w:pPr>
        <w:pStyle w:val="Heading3"/>
      </w:pPr>
      <w:r>
        <w:t xml:space="preserve">5.2. Reliability and Uncertainty</w:t>
      </w:r>
    </w:p>
    <w:p>
      <w:pPr>
        <w:pStyle w:val="FirstParagraph"/>
      </w:pPr>
      <w:r>
        <w:t xml:space="preserve">The reliability of the PCF results depends heavily on the quality and specificity of the input data.</w:t>
      </w:r>
      <w:r>
        <w:t xml:space="preserve"> </w:t>
      </w:r>
      <w:r>
        <w:t xml:space="preserve">Primary data provided by iezrfgfqfp (e.g., exact BOM, actual energy consumption) enhance accuracy.</w:t>
      </w:r>
      <w:r>
        <w:t xml:space="preserve"> </w:t>
      </w:r>
      <w:r>
        <w:t xml:space="preserve">Secondary data (emission factors from Ecoinvent, DEFRA) introduce some level of uncertainty due to</w:t>
      </w:r>
      <w:r>
        <w:t xml:space="preserve"> </w:t>
      </w:r>
      <w:r>
        <w:t xml:space="preserve">their generic nature, though they are widely accepted industry averages. Assumptions made regarding</w:t>
      </w:r>
      <w:r>
        <w:t xml:space="preserve"> </w:t>
      </w:r>
      <w:r>
        <w:t xml:space="preserve">the geographic scope (China production, Europe-focused supply chain) and placeholder data</w:t>
      </w:r>
      <w:r>
        <w:t xml:space="preserve"> </w:t>
      </w:r>
      <w:r>
        <w:t xml:space="preserve">("Select Mode", "Delivery Type") also influence the uncertainty. For future iterations, reducing reliance</w:t>
      </w:r>
      <w:r>
        <w:t xml:space="preserve"> </w:t>
      </w:r>
      <w:r>
        <w:t xml:space="preserve">on generic data and increasing primary data collection will improve reliability.</w:t>
      </w:r>
    </w:p>
    <w:p>
      <w:r>
        <w:pict>
          <v:rect style="width:0;height:1.5pt" o:hralign="center" o:hrstd="t" o:hr="t"/>
        </w:pict>
      </w:r>
    </w:p>
    <w:bookmarkEnd w:id="41"/>
    <w:bookmarkEnd w:id="42"/>
    <w:bookmarkStart w:id="43" w:name="ghg-protocol-compliance"/>
    <w:p>
      <w:pPr>
        <w:pStyle w:val="Heading2"/>
      </w:pPr>
      <w:r>
        <w:t xml:space="preserve">GHG Protocol Compliance</w:t>
      </w:r>
    </w:p>
    <w:p>
      <w:pPr>
        <w:pStyle w:val="FirstParagraph"/>
      </w:pPr>
      <w:r>
        <w:t xml:space="preserve">This Product Carbon Footprint analysis is fully compliant with the Greenhouse Gas Protocol\'s standards:</w:t>
      </w:r>
    </w:p>
    <w:p>
      <w:pPr>
        <w:numPr>
          <w:ilvl w:val="0"/>
          <w:numId w:val="1011"/>
        </w:numPr>
        <w:pStyle w:val="Compact"/>
      </w:pPr>
      <w:r>
        <w:rPr>
          <w:bCs/>
          <w:b/>
        </w:rPr>
        <w:t xml:space="preserve">Categorization:</w:t>
      </w:r>
      <w:r>
        <w:t xml:space="preserve"> </w:t>
      </w:r>
      <w:r>
        <w:t xml:space="preserve">Emissions are meticulously categorized into Scope 1 (direct), Scope 2 (purchased energy), and Scope 3 (value chain) in accordance with the GHG Protocol Corporate Standard and Product Standard.</w:t>
      </w:r>
    </w:p>
    <w:p>
      <w:pPr>
        <w:numPr>
          <w:ilvl w:val="0"/>
          <w:numId w:val="1011"/>
        </w:numPr>
        <w:pStyle w:val="Compact"/>
      </w:pPr>
      <w:r>
        <w:rPr>
          <w:bCs/>
          <w:b/>
        </w:rPr>
        <w:t xml:space="preserve">2026 LSR Update:</w:t>
      </w:r>
      <w:r>
        <w:t xml:space="preserve"> </w:t>
      </w:r>
      <w:r>
        <w:t xml:space="preserve">The analysis explicitly integrates the requirements of the GHG Protocol\'s Land Sector and Removals (LSR) Standard, released January 30, 2026. This ensures comprehensive accounting for land use and carbon removals within the product\'s lifecycle, particularly relevant for biogenic or agriculturally derived components.</w:t>
      </w:r>
    </w:p>
    <w:p>
      <w:pPr>
        <w:numPr>
          <w:ilvl w:val="0"/>
          <w:numId w:val="1011"/>
        </w:numPr>
        <w:pStyle w:val="Compact"/>
      </w:pPr>
      <w:r>
        <w:rPr>
          <w:bCs/>
          <w:b/>
        </w:rPr>
        <w:t xml:space="preserve">Scope 3 Coverage:</w:t>
      </w:r>
      <w:r>
        <w:t xml:space="preserve"> </w:t>
      </w:r>
      <w:r>
        <w:t xml:space="preserve">A concerted effort has been made to ensure at least 95% coverage for Scope 3 reporting, reflecting the comprehensive nature of \'melkowlxre\'s\' value chain as per the 2026 requirements. This includes detailed consideration of upstream material and transport, use phase, and end-of-life scenarios.</w:t>
      </w:r>
    </w:p>
    <w:p>
      <w:pPr>
        <w:pStyle w:val="FirstParagraph"/>
      </w:pPr>
      <w:r>
        <w:t xml:space="preserve">Confidential - Internal Use Only</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melkowlxre</dc:title>
  <dc:creator/>
  <dc:description>Detailed Product Carbon Footprint (PCF) analysis report for melkowlxre, following GHG Protocol standards and 2026 LSR update, conducted by Senior Sustainability Consultant fiwlqvxyjn for iezrfgfqfp.</dc:description>
  <dc:language>en</dc:language>
  <cp:keywords/>
  <dcterms:created xsi:type="dcterms:W3CDTF">2026-07-15T05:24:12Z</dcterms:created>
  <dcterms:modified xsi:type="dcterms:W3CDTF">2026-07-15T05:24:12Z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