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kqxswiexlw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kqxswiexlw</w:t>
      </w:r>
    </w:p>
    <w:p>
      <w:pPr>
        <w:pStyle w:val="BodyText"/>
      </w:pPr>
      <w:r>
        <w:rPr>
          <w:bCs/>
          <w:b/>
        </w:rPr>
        <w:t xml:space="preserve">Company Name:</w:t>
      </w:r>
      <w:r>
        <w:t xml:space="preserve"> </w:t>
      </w:r>
      <w:r>
        <w:t xml:space="preserve">jfdhzyqnnh</w:t>
      </w:r>
    </w:p>
    <w:p>
      <w:pPr>
        <w:pStyle w:val="BodyText"/>
      </w:pPr>
      <w:r>
        <w:rPr>
          <w:bCs/>
          <w:b/>
        </w:rPr>
        <w:t xml:space="preserve">Senior Sustainability Consultant:</w:t>
      </w:r>
      <w:r>
        <w:t xml:space="preserve"> </w:t>
      </w:r>
      <w:r>
        <w:t xml:space="preserve">rprkfpjgnj</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within this report utilize illustrative data for specific parameters (e.g., Bill of Materials, transport modes, energy usage, end-of-life scenarios) as the actual detailed data for these parameters were provided as placeholder strings in the prompt and not as parseable datasets. In a real-world scenario, precise primary and secondary data would be collected and used for exact calculations. This report serves to demonstrate the robust methodology of a Product Carbon Footprint analysis.</w:t>
      </w:r>
    </w:p>
    <w:bookmarkEnd w:id="20"/>
    <w:bookmarkStart w:id="21" w:name="X75be406ca49e59f2927ecf966d6656ee61da792"/>
    <w:p>
      <w:pPr>
        <w:pStyle w:val="Heading1"/>
      </w:pPr>
      <w:r>
        <w:t xml:space="preserve">Product Carbon Footprint Analysis for kqxswiexlw</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rprkfpjgnj</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detailed Product Carbon Footprint (PCF) analysis for \'kqxswiexlw\', manufactured by \'jfdhzyqnnh\'. The analysis adheres strictly to the GHG Protocol standards, including the 2026 Land Sector and Removals (LSR) update and aims for at least 95% Scope 3 coverage. The objective is to quantify the greenhouse gas (GHG) emissions associated with the product\'s entire lifecycle, from raw material extraction to end-of-life, expressed in kilograms of carbon dioxide equivalent (kg CO2e). This assessment identifies emission hotspots and provides a foundation for strategic decarbonization efforts. Due to the placeholder nature of certain input parameters, illustrative data has been utilized to demonstrate the comprehensive methodology.</w:t>
      </w:r>
    </w:p>
    <w:p>
      <w:r>
        <w:pict>
          <v:rect style="width:0;height:1.5pt" o:hralign="center" o:hrstd="t" o:hr="t"/>
        </w:pict>
      </w:r>
    </w:p>
    <w:bookmarkEnd w:id="22"/>
    <w:bookmarkStart w:id="23" w:name="X43b560502e73c805ad7bda4d61434419556c7ca"/>
    <w:p>
      <w:pPr>
        <w:pStyle w:val="Heading2"/>
      </w:pPr>
      <w:r>
        <w:t xml:space="preserve">1. Introduction to Product Carbon Footprint (PCF)</w:t>
      </w:r>
    </w:p>
    <w:p>
      <w:pPr>
        <w:pStyle w:val="FirstParagraph"/>
      </w:pPr>
      <w:r>
        <w:t xml:space="preserve">A Product Carbon Footprint (PCF) quantifies the total greenhouse gas emissions generated by a product throughout its entire lifecycle. This "cradle-to-grave" assessment includes emissions from raw material extraction, manufacturing, transportation, use, and end-of-life disposal or recycling. The primary goal of a PCF is to provide transparency, identify emission hotspots, and support informed decision-making for environmental improvement and climate action. This analysis for \'kqxswiexlw\' is conducted under the guidance of the GHG Protocol.</w:t>
      </w:r>
    </w:p>
    <w:p>
      <w:r>
        <w:pict>
          <v:rect style="width:0;height:1.5pt" o:hralign="center" o:hrstd="t" o:hr="t"/>
        </w:pict>
      </w:r>
    </w:p>
    <w:bookmarkEnd w:id="23"/>
    <w:bookmarkStart w:id="29" w:name="methodology-and-scope-definition"/>
    <w:p>
      <w:pPr>
        <w:pStyle w:val="Heading2"/>
      </w:pPr>
      <w:r>
        <w:t xml:space="preserve">2. Methodology and Scope Definition</w:t>
      </w:r>
    </w:p>
    <w:bookmarkStart w:id="24" w:name="accounting-standard"/>
    <w:p>
      <w:pPr>
        <w:pStyle w:val="Heading3"/>
      </w:pPr>
      <w:r>
        <w:t xml:space="preserve">2.1. Accounting Standard</w:t>
      </w:r>
    </w:p>
    <w:p>
      <w:pPr>
        <w:pStyle w:val="FirstParagraph"/>
      </w:pPr>
      <w:r>
        <w:t xml:space="preserve">This Product Carbon Footprint analysis is conducted in accordance with the</w:t>
      </w:r>
      <w:r>
        <w:t xml:space="preserve"> </w:t>
      </w:r>
      <w:r>
        <w:rPr>
          <w:bCs/>
          <w:b/>
        </w:rPr>
        <w:t xml:space="preserve">GHG Protocol Product Standard</w:t>
      </w:r>
      <w:r>
        <w:t xml:space="preserve"> </w:t>
      </w:r>
      <w:r>
        <w:t xml:space="preserve">(A Corporate Accounting and Reporting Standard for the Value Chain and Product Life Cycle). This standard provides a robust and internationally recognized framework for quantifying and reporting product-level GHG emissions.</w:t>
      </w:r>
    </w:p>
    <w:bookmarkEnd w:id="24"/>
    <w:bookmarkStart w:id="25"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kqxswiexlw</w:t>
      </w:r>
      <w:r>
        <w:t xml:space="preserve">. This unit serves as a reference basis for quantifying inputs and outputs and for comparing the environmental performance of products delivering the same function.</w:t>
      </w:r>
    </w:p>
    <w:bookmarkEnd w:id="25"/>
    <w:bookmarkStart w:id="26" w:name="system-boundary"/>
    <w:p>
      <w:pPr>
        <w:pStyle w:val="Heading3"/>
      </w:pPr>
      <w:r>
        <w:t xml:space="preserve">2.3. System Boundary</w:t>
      </w:r>
    </w:p>
    <w:p>
      <w:pPr>
        <w:pStyle w:val="FirstParagraph"/>
      </w:pPr>
      <w:r>
        <w:t xml:space="preserve">The system boundary for this PCF is "factory_gate". This implies that the assessment covers all lifecycle stages from raw material acquisition, through manufacturing processes up to the point the finished product leaves the factory gate. However, to provide a comprehensive "cradle-to-grave" perspective as per best practices and the prompt\'s requirements, downstream phases (transport to customer, use phase, and end-of-life) are also included and reported as part of Scope 3 emissions.</w:t>
      </w:r>
    </w:p>
    <w:p>
      <w:pPr>
        <w:pStyle w:val="BodyText"/>
      </w:pPr>
      <w:r>
        <w:t xml:space="preserve">The lifecycle stages included are:</w:t>
      </w:r>
    </w:p>
    <w:p>
      <w:pPr>
        <w:numPr>
          <w:ilvl w:val="0"/>
          <w:numId w:val="1001"/>
        </w:numPr>
        <w:pStyle w:val="Compact"/>
      </w:pPr>
      <w:r>
        <w:rPr>
          <w:bCs/>
          <w:b/>
        </w:rPr>
        <w:t xml:space="preserve">Raw Material Acquisition &amp; Pre-processing:</w:t>
      </w:r>
      <w:r>
        <w:t xml:space="preserve"> </w:t>
      </w:r>
      <w:r>
        <w:t xml:space="preserve">Extraction, processing, and manufacturing of all raw materials and components.</w:t>
      </w:r>
    </w:p>
    <w:p>
      <w:pPr>
        <w:numPr>
          <w:ilvl w:val="0"/>
          <w:numId w:val="1001"/>
        </w:numPr>
        <w:pStyle w:val="Compact"/>
      </w:pPr>
      <w:r>
        <w:rPr>
          <w:bCs/>
          <w:b/>
        </w:rPr>
        <w:t xml:space="preserve">Manufacturing:</w:t>
      </w:r>
      <w:r>
        <w:t xml:space="preserve"> </w:t>
      </w:r>
      <w:r>
        <w:t xml:space="preserve">All energy and processes involved in assembling \'kqxswiexlw\' at the final production facility.</w:t>
      </w:r>
    </w:p>
    <w:p>
      <w:pPr>
        <w:numPr>
          <w:ilvl w:val="0"/>
          <w:numId w:val="1001"/>
        </w:numPr>
        <w:pStyle w:val="Compact"/>
      </w:pPr>
      <w:r>
        <w:rPr>
          <w:bCs/>
          <w:b/>
        </w:rPr>
        <w:t xml:space="preserve">Transportation (Upstream &amp; Downstream):</w:t>
      </w:r>
      <w:r>
        <w:t xml:space="preserve"> </w:t>
      </w:r>
      <w:r>
        <w:t xml:space="preserve">Transport of raw materials/components to the factory, and transport of the finished product to the end-user.</w:t>
      </w:r>
    </w:p>
    <w:p>
      <w:pPr>
        <w:numPr>
          <w:ilvl w:val="0"/>
          <w:numId w:val="1001"/>
        </w:numPr>
        <w:pStyle w:val="Compact"/>
      </w:pPr>
      <w:r>
        <w:rPr>
          <w:bCs/>
          <w:b/>
        </w:rPr>
        <w:t xml:space="preserve">Use Phase:</w:t>
      </w:r>
      <w:r>
        <w:t xml:space="preserve"> </w:t>
      </w:r>
      <w:r>
        <w:t xml:space="preserve">Energy consumption and other impacts during the product\'s functional lifespan.</w:t>
      </w:r>
    </w:p>
    <w:p>
      <w:pPr>
        <w:numPr>
          <w:ilvl w:val="0"/>
          <w:numId w:val="1001"/>
        </w:numPr>
        <w:pStyle w:val="Compact"/>
      </w:pPr>
      <w:r>
        <w:rPr>
          <w:bCs/>
          <w:b/>
        </w:rPr>
        <w:t xml:space="preserve">End-of-Life (EoL):</w:t>
      </w:r>
      <w:r>
        <w:t xml:space="preserve"> </w:t>
      </w:r>
      <w:r>
        <w:t xml:space="preserve">Disposal or recycling processes after the product\'s lifespan.</w:t>
      </w:r>
    </w:p>
    <w:bookmarkEnd w:id="26"/>
    <w:bookmarkStart w:id="27" w:name="geographic-scope"/>
    <w:p>
      <w:pPr>
        <w:pStyle w:val="Heading3"/>
      </w:pPr>
      <w:r>
        <w:t xml:space="preserve">2.4.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Illustrative Use Phase Region:</w:t>
      </w:r>
      <w:r>
        <w:t xml:space="preserve"> </w:t>
      </w:r>
      <w:r>
        <w:t xml:space="preserve">Europe (for energy grid mix assumption)</w:t>
      </w:r>
    </w:p>
    <w:bookmarkEnd w:id="27"/>
    <w:bookmarkStart w:id="28" w:name="allocation"/>
    <w:p>
      <w:pPr>
        <w:pStyle w:val="Heading3"/>
      </w:pPr>
      <w:r>
        <w:t xml:space="preserve">2.5. Allocation</w:t>
      </w:r>
    </w:p>
    <w:p>
      <w:pPr>
        <w:pStyle w:val="FirstParagraph"/>
      </w:pPr>
      <w:r>
        <w:t xml:space="preserve">Economic allocation has been assumed for any co-product or waste streams, where emissions are allocated based on the relative economic value of the co-products. For end-of-life recycling, the "recycled content" approach (also known as the "closed loop" approach in some contexts) is generally applied where emissions from primary production are reduced by the amount of recycled material used, and burdens/benefits of recycling are accounted at the point where the material becomes a secondary material. Given the prompt, a simplified "cut-off" approach for virgin material vs. recycled content has been adopted, focusing on direct material impacts.</w:t>
      </w:r>
    </w:p>
    <w:p>
      <w:r>
        <w:pict>
          <v:rect style="width:0;height:1.5pt" o:hralign="center" o:hrstd="t" o:hr="t"/>
        </w:pict>
      </w:r>
    </w:p>
    <w:bookmarkEnd w:id="28"/>
    <w:bookmarkEnd w:id="29"/>
    <w:bookmarkStart w:id="33" w:name="X95f9e1977ba035130886477762c71b77b34d7f8"/>
    <w:p>
      <w:pPr>
        <w:pStyle w:val="Heading2"/>
      </w:pPr>
      <w:r>
        <w:t xml:space="preserve">3. Data Collection and Lifecycle Inventory (LCI)</w:t>
      </w:r>
    </w:p>
    <w:p>
      <w:pPr>
        <w:pStyle w:val="FirstParagraph"/>
      </w:pPr>
      <w:r>
        <w:t xml:space="preserve">This section details the primary and secondary data points collected and utilized for the PCF analysis. It\'s important to note that specific parameters were provided as placeholder strings (e.g., \'woxhiort\', \'djievxvmop\'). Therefore, for demonstration purposes,</w:t>
      </w:r>
      <w:r>
        <w:t xml:space="preserve"> </w:t>
      </w:r>
      <w:r>
        <w:rPr>
          <w:bCs/>
          <w:b/>
        </w:rPr>
        <w:t xml:space="preserve">illustrative data points have been generated and used for the calculations herein</w:t>
      </w:r>
      <w:r>
        <w:t xml:space="preserve">, as the actual data was not provided in a parseable format.</w:t>
      </w:r>
    </w:p>
    <w:bookmarkStart w:id="30" w:name="X9ed8ae74a502f3fc4caca02c521a4a92e587ab1"/>
    <w:p>
      <w:pPr>
        <w:pStyle w:val="Heading3"/>
      </w:pPr>
      <w:r>
        <w:t xml:space="preserve">3.1. Illustrative Detailed Bill of Materials (BOM)</w:t>
      </w:r>
    </w:p>
    <w:p>
      <w:pPr>
        <w:pStyle w:val="FirstParagraph"/>
      </w:pPr>
      <w:r>
        <w:t xml:space="preserve">The following table represents an illustrative Detailed Bill of Materials for \'kqxswiexlw\'. In a real assessment, this data would be sourced directly from the manufacturing specifications (the \'woxhiort\' parameter). The \'Total Carbon\' for each item is derived from its Quantity and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Aluminium Alloy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10.5</w:t>
            </w:r>
          </w:p>
        </w:tc>
        <w:tc>
          <w:tcPr/>
          <w:p>
            <w:pPr>
              <w:pStyle w:val="Compact"/>
              <w:jc w:val="left"/>
            </w:pPr>
            <w:r>
              <w:t xml:space="preserve">8.40</w:t>
            </w:r>
          </w:p>
        </w:tc>
      </w:tr>
      <w:tr>
        <w:tc>
          <w:tcPr/>
          <w:p>
            <w:pPr>
              <w:pStyle w:val="Compact"/>
              <w:jc w:val="left"/>
            </w:pPr>
            <w:r>
              <w:t xml:space="preserve">102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3.2</w:t>
            </w:r>
          </w:p>
        </w:tc>
        <w:tc>
          <w:tcPr/>
          <w:p>
            <w:pPr>
              <w:pStyle w:val="Compact"/>
              <w:jc w:val="left"/>
            </w:pPr>
            <w:r>
              <w:t xml:space="preserve">3.20</w:t>
            </w:r>
          </w:p>
        </w:tc>
      </w:tr>
      <w:tr>
        <w:tc>
          <w:tcPr/>
          <w:p>
            <w:pPr>
              <w:pStyle w:val="Compact"/>
              <w:jc w:val="left"/>
            </w:pPr>
            <w:r>
              <w:t xml:space="preserve">103</w:t>
            </w:r>
          </w:p>
        </w:tc>
        <w:tc>
          <w:tcPr/>
          <w:p>
            <w:pPr>
              <w:pStyle w:val="Compact"/>
              <w:jc w:val="left"/>
            </w:pPr>
            <w:r>
              <w:t xml:space="preserve">Polycarbonate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105</w:t>
            </w:r>
          </w:p>
        </w:tc>
        <w:tc>
          <w:tcPr/>
          <w:p>
            <w:pPr>
              <w:pStyle w:val="Compact"/>
              <w:jc w:val="left"/>
            </w:pPr>
            <w:r>
              <w:t xml:space="preserve">Copper Wire (internal)</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2.8</w:t>
            </w:r>
          </w:p>
        </w:tc>
        <w:tc>
          <w:tcPr/>
          <w:p>
            <w:pPr>
              <w:pStyle w:val="Compact"/>
              <w:jc w:val="left"/>
            </w:pPr>
            <w:r>
              <w:t xml:space="preserve">0.28</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0.09</w:t>
            </w:r>
          </w:p>
        </w:tc>
      </w:tr>
      <w:tr>
        <w:tc>
          <w:tcPr/>
          <w:p>
            <w:pPr>
              <w:pStyle w:val="Compact"/>
              <w:jc w:val="left"/>
            </w:pPr>
            <w:r>
              <w:t xml:space="preserve">107</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bl>
    <w:bookmarkEnd w:id="30"/>
    <w:bookmarkStart w:id="31" w:name="illustrative-energy-logistics-data"/>
    <w:p>
      <w:pPr>
        <w:pStyle w:val="Heading3"/>
      </w:pPr>
      <w:r>
        <w:t xml:space="preserve">3.2. Illustrative Energy &amp; Logistics Data</w:t>
      </w:r>
    </w:p>
    <w:p>
      <w:pPr>
        <w:pStyle w:val="FirstParagraph"/>
      </w:pPr>
      <w:r>
        <w:t xml:space="preserve">The following parameters were provided as placeholder strings. Illustrative values are used for calculation purposes.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Placeholder</w:t>
            </w:r>
          </w:p>
        </w:tc>
        <w:tc>
          <w:tcPr/>
          <w:p>
            <w:pPr>
              <w:pStyle w:val="Compact"/>
              <w:jc w:val="left"/>
            </w:pPr>
            <w:r>
              <w:t xml:space="preserve">Illustrative Value Used</w:t>
            </w:r>
          </w:p>
        </w:tc>
        <w:tc>
          <w:tcPr/>
          <w:p>
            <w:pPr>
              <w:pStyle w:val="Compact"/>
              <w:jc w:val="left"/>
            </w:pPr>
            <w:r>
              <w:t xml:space="preserve">Unit</w:t>
            </w:r>
          </w:p>
        </w:tc>
      </w:tr>
      <w:tr>
        <w:tc>
          <w:tcPr/>
          <w:p>
            <w:pPr>
              <w:pStyle w:val="Compact"/>
              <w:jc w:val="left"/>
            </w:pPr>
            <w:r>
              <w:t xml:space="preserve">Transport Mode (Primary Supply Chain)</w:t>
            </w:r>
          </w:p>
        </w:tc>
        <w:tc>
          <w:tcPr/>
          <w:p>
            <w:pPr>
              <w:pStyle w:val="Compact"/>
              <w:jc w:val="left"/>
            </w:pPr>
            <w:r>
              <w:t xml:space="preserve">Select Mode</w:t>
            </w:r>
          </w:p>
        </w:tc>
        <w:tc>
          <w:tcPr/>
          <w:p>
            <w:pPr>
              <w:pStyle w:val="Compact"/>
              <w:jc w:val="left"/>
            </w:pPr>
            <w:r>
              <w:t xml:space="preserve">Road Freight</w:t>
            </w:r>
          </w:p>
        </w:tc>
        <w:tc>
          <w:tcPr/>
          <w:p>
            <w:pPr>
              <w:pStyle w:val="Compact"/>
              <w:jc w:val="left"/>
            </w:pPr>
            <w:r>
              <w:t xml:space="preserve">-</w:t>
            </w:r>
          </w:p>
        </w:tc>
      </w:tr>
      <w:tr>
        <w:tc>
          <w:tcPr/>
          <w:p>
            <w:pPr>
              <w:pStyle w:val="Compact"/>
              <w:jc w:val="left"/>
            </w:pPr>
            <w:r>
              <w:t xml:space="preserve">Transport Distance (Primary Supply Chain)</w:t>
            </w:r>
          </w:p>
        </w:tc>
        <w:tc>
          <w:tcPr/>
          <w:p>
            <w:pPr>
              <w:pStyle w:val="Compact"/>
              <w:jc w:val="left"/>
            </w:pPr>
            <w:r>
              <w:t xml:space="preserve">djievxvmop</w:t>
            </w:r>
          </w:p>
        </w:tc>
        <w:tc>
          <w:tcPr/>
          <w:p>
            <w:pPr>
              <w:pStyle w:val="Compact"/>
              <w:jc w:val="left"/>
            </w:pPr>
            <w:r>
              <w:t xml:space="preserve">2,000 km</w:t>
            </w:r>
          </w:p>
        </w:tc>
        <w:tc>
          <w:tcPr/>
          <w:p>
            <w:pPr>
              <w:pStyle w:val="Compact"/>
              <w:jc w:val="left"/>
            </w:pPr>
            <w:r>
              <w:t xml:space="preserve">-</w:t>
            </w:r>
          </w:p>
        </w:tc>
      </w:tr>
      <w:tr>
        <w:tc>
          <w:tcPr/>
          <w:p>
            <w:pPr>
              <w:pStyle w:val="Compact"/>
              <w:jc w:val="left"/>
            </w:pPr>
            <w:r>
              <w:t xml:space="preserve">Transport Distance (Product to Distribution)</w:t>
            </w:r>
          </w:p>
        </w:tc>
        <w:tc>
          <w:tcPr/>
          <w:p>
            <w:pPr>
              <w:pStyle w:val="Compact"/>
              <w:jc w:val="left"/>
            </w:pPr>
            <w:r>
              <w:t xml:space="preserve">djievxvmop</w:t>
            </w:r>
          </w:p>
        </w:tc>
        <w:tc>
          <w:tcPr/>
          <w:p>
            <w:pPr>
              <w:pStyle w:val="Compact"/>
              <w:jc w:val="left"/>
            </w:pPr>
            <w:r>
              <w:t xml:space="preserve">500 km</w:t>
            </w:r>
          </w:p>
        </w:tc>
        <w:tc>
          <w:tcPr/>
          <w:p>
            <w:pPr>
              <w:pStyle w:val="Compact"/>
              <w:jc w:val="left"/>
            </w:pPr>
            <w:r>
              <w:t xml:space="preserve">-</w:t>
            </w:r>
          </w:p>
        </w:tc>
      </w:tr>
      <w:tr>
        <w:tc>
          <w:tcPr/>
          <w:p>
            <w:pPr>
              <w:pStyle w:val="Compact"/>
              <w:jc w:val="left"/>
            </w:pPr>
            <w:r>
              <w:t xml:space="preserve">Last-Mile Delivery Channel</w:t>
            </w:r>
          </w:p>
        </w:tc>
        <w:tc>
          <w:tcPr/>
          <w:p>
            <w:pPr>
              <w:pStyle w:val="Compact"/>
              <w:jc w:val="left"/>
            </w:pPr>
            <w:r>
              <w:t xml:space="preserve">Delivery Type</w:t>
            </w:r>
          </w:p>
        </w:tc>
        <w:tc>
          <w:tcPr/>
          <w:p>
            <w:pPr>
              <w:pStyle w:val="Compact"/>
              <w:jc w:val="left"/>
            </w:pPr>
            <w:r>
              <w:t xml:space="preserve">Parcel Carrier (Road)</w:t>
            </w:r>
          </w:p>
        </w:tc>
        <w:tc>
          <w:tcPr/>
          <w:p>
            <w:pPr>
              <w:pStyle w:val="Compact"/>
              <w:jc w:val="left"/>
            </w:pPr>
            <w:r>
              <w:t xml:space="preserve">-</w:t>
            </w:r>
          </w:p>
        </w:tc>
      </w:tr>
      <w:tr>
        <w:tc>
          <w:tcPr/>
          <w:p>
            <w:pPr>
              <w:pStyle w:val="Compact"/>
              <w:jc w:val="left"/>
            </w:pPr>
            <w:r>
              <w:t xml:space="preserve">Renewable Energy Usage (Production)</w:t>
            </w:r>
          </w:p>
        </w:tc>
        <w:tc>
          <w:tcPr/>
          <w:p>
            <w:pPr>
              <w:pStyle w:val="Compact"/>
              <w:jc w:val="left"/>
            </w:pPr>
            <w:r>
              <w:t xml:space="preserve">tdydleiewz</w:t>
            </w:r>
          </w:p>
        </w:tc>
        <w:tc>
          <w:tcPr/>
          <w:p>
            <w:pPr>
              <w:pStyle w:val="Compact"/>
              <w:jc w:val="left"/>
            </w:pPr>
            <w:r>
              <w:t xml:space="preserve">60%</w:t>
            </w:r>
          </w:p>
        </w:tc>
        <w:tc>
          <w:tcPr/>
          <w:p>
            <w:pPr>
              <w:pStyle w:val="Compact"/>
              <w:jc w:val="left"/>
            </w:pPr>
            <w:r>
              <w:t xml:space="preserve">-</w:t>
            </w:r>
          </w:p>
        </w:tc>
      </w:tr>
      <w:tr>
        <w:tc>
          <w:tcPr/>
          <w:p>
            <w:pPr>
              <w:pStyle w:val="Compact"/>
              <w:jc w:val="left"/>
            </w:pPr>
            <w:r>
              <w:t xml:space="preserve">Energy Intensity (Production)</w:t>
            </w:r>
          </w:p>
        </w:tc>
        <w:tc>
          <w:tcPr/>
          <w:p>
            <w:pPr>
              <w:pStyle w:val="Compact"/>
              <w:jc w:val="left"/>
            </w:pPr>
            <w:r>
              <w:t xml:space="preserve">zezmqyhwvf</w:t>
            </w:r>
          </w:p>
        </w:tc>
        <w:tc>
          <w:tcPr/>
          <w:p>
            <w:pPr>
              <w:pStyle w:val="Compact"/>
              <w:jc w:val="left"/>
            </w:pPr>
            <w:r>
              <w:t xml:space="preserve">1.5</w:t>
            </w:r>
          </w:p>
        </w:tc>
        <w:tc>
          <w:tcPr/>
          <w:p>
            <w:pPr>
              <w:pStyle w:val="Compact"/>
              <w:jc w:val="left"/>
            </w:pPr>
            <w:r>
              <w:t xml:space="preserve">kWh/unit</w:t>
            </w:r>
          </w:p>
        </w:tc>
      </w:tr>
      <w:tr>
        <w:tc>
          <w:tcPr/>
          <w:p>
            <w:pPr>
              <w:pStyle w:val="Compact"/>
              <w:jc w:val="left"/>
            </w:pPr>
            <w:r>
              <w:t xml:space="preserve">Product Lifespan</w:t>
            </w:r>
          </w:p>
        </w:tc>
        <w:tc>
          <w:tcPr/>
          <w:p>
            <w:pPr>
              <w:pStyle w:val="Compact"/>
              <w:jc w:val="left"/>
            </w:pPr>
            <w:r>
              <w:t xml:space="preserve">yzwlgzrqtw</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w:t>
            </w:r>
          </w:p>
        </w:tc>
        <w:tc>
          <w:tcPr/>
          <w:p>
            <w:pPr>
              <w:pStyle w:val="Compact"/>
              <w:jc w:val="left"/>
            </w:pPr>
            <w:r>
              <w:t xml:space="preserve">iheqpfqotr</w:t>
            </w:r>
          </w:p>
        </w:tc>
        <w:tc>
          <w:tcPr/>
          <w:p>
            <w:pPr>
              <w:pStyle w:val="Compact"/>
              <w:jc w:val="left"/>
            </w:pPr>
            <w:r>
              <w:t xml:space="preserve">5</w:t>
            </w:r>
          </w:p>
        </w:tc>
        <w:tc>
          <w:tcPr/>
          <w:p>
            <w:pPr>
              <w:pStyle w:val="Compact"/>
              <w:jc w:val="left"/>
            </w:pPr>
            <w:r>
              <w:t xml:space="preserve">kWh/year</w:t>
            </w:r>
          </w:p>
        </w:tc>
      </w:tr>
      <w:tr>
        <w:tc>
          <w:tcPr/>
          <w:p>
            <w:pPr>
              <w:pStyle w:val="Compact"/>
              <w:jc w:val="left"/>
            </w:pPr>
            <w:r>
              <w:t xml:space="preserve">Recyclability Percentage (EoL)</w:t>
            </w:r>
          </w:p>
        </w:tc>
        <w:tc>
          <w:tcPr/>
          <w:p>
            <w:pPr>
              <w:pStyle w:val="Compact"/>
              <w:jc w:val="left"/>
            </w:pPr>
            <w:r>
              <w:t xml:space="preserve">ohwotjwnjn</w:t>
            </w:r>
          </w:p>
        </w:tc>
        <w:tc>
          <w:tcPr/>
          <w:p>
            <w:pPr>
              <w:pStyle w:val="Compact"/>
              <w:jc w:val="left"/>
            </w:pPr>
            <w:r>
              <w:t xml:space="preserve">75%</w:t>
            </w:r>
          </w:p>
        </w:tc>
        <w:tc>
          <w:tcPr/>
          <w:p>
            <w:pPr>
              <w:pStyle w:val="Compact"/>
              <w:jc w:val="left"/>
            </w:pPr>
            <w:r>
              <w:t xml:space="preserve">-</w:t>
            </w:r>
          </w:p>
        </w:tc>
      </w:tr>
      <w:tr>
        <w:tc>
          <w:tcPr/>
          <w:p>
            <w:pPr>
              <w:pStyle w:val="Compact"/>
              <w:jc w:val="left"/>
            </w:pPr>
            <w:r>
              <w:t xml:space="preserve">Circular/Take-back Programs</w:t>
            </w:r>
          </w:p>
        </w:tc>
        <w:tc>
          <w:tcPr/>
          <w:p>
            <w:pPr>
              <w:pStyle w:val="Compact"/>
              <w:jc w:val="left"/>
            </w:pPr>
            <w:r>
              <w:t xml:space="preserve">skrlltkigi</w:t>
            </w:r>
          </w:p>
        </w:tc>
        <w:tc>
          <w:tcPr/>
          <w:p>
            <w:pPr>
              <w:pStyle w:val="Compact"/>
              <w:jc w:val="left"/>
            </w:pPr>
            <w:r>
              <w:t xml:space="preserve">Yes (Company Recycling Program)</w:t>
            </w:r>
          </w:p>
        </w:tc>
        <w:tc>
          <w:tcPr/>
          <w:p>
            <w:pPr>
              <w:pStyle w:val="Compact"/>
              <w:jc w:val="left"/>
            </w:pPr>
            <w:r>
              <w:t xml:space="preserve">-</w:t>
            </w:r>
          </w:p>
        </w:tc>
      </w:tr>
    </w:tbl>
    <w:bookmarkEnd w:id="31"/>
    <w:bookmarkStart w:id="32" w:name="X13a970cde950d423f40a9e1dad256159bddb29d"/>
    <w:p>
      <w:pPr>
        <w:pStyle w:val="Heading3"/>
      </w:pPr>
      <w:r>
        <w:t xml:space="preserve">3.3. Illustrative Emission Factors (Secondary Data)</w:t>
      </w:r>
    </w:p>
    <w:p>
      <w:pPr>
        <w:pStyle w:val="FirstParagraph"/>
      </w:pPr>
      <w:r>
        <w:t xml:space="preserve">Industry-standard emission factors, typically sourced from databases like Ecoinvent or DEFRA, are used for various activities. For the purpose of this illustrative report, the following representative emission factors are assumed:</w:t>
      </w:r>
    </w:p>
    <w:p>
      <w:pPr>
        <w:numPr>
          <w:ilvl w:val="0"/>
          <w:numId w:val="1003"/>
        </w:numPr>
        <w:pStyle w:val="Compact"/>
      </w:pPr>
      <w:r>
        <w:rPr>
          <w:bCs/>
          <w:b/>
        </w:rPr>
        <w:t xml:space="preserve">Grid Electricity (China, Production):</w:t>
      </w:r>
      <w:r>
        <w:t xml:space="preserve"> </w:t>
      </w:r>
      <w:r>
        <w:t xml:space="preserve">0.57 kg CO2e/kWh</w:t>
      </w:r>
    </w:p>
    <w:p>
      <w:pPr>
        <w:numPr>
          <w:ilvl w:val="0"/>
          <w:numId w:val="1003"/>
        </w:numPr>
        <w:pStyle w:val="Compact"/>
      </w:pPr>
      <w:r>
        <w:rPr>
          <w:bCs/>
          <w:b/>
        </w:rPr>
        <w:t xml:space="preserve">Grid Electricity (Europe, Use Phase):</w:t>
      </w:r>
      <w:r>
        <w:t xml:space="preserve"> </w:t>
      </w:r>
      <w:r>
        <w:t xml:space="preserve">0.25 kg CO2e/kWh</w:t>
      </w:r>
    </w:p>
    <w:p>
      <w:pPr>
        <w:numPr>
          <w:ilvl w:val="0"/>
          <w:numId w:val="1003"/>
        </w:numPr>
        <w:pStyle w:val="Compact"/>
      </w:pPr>
      <w:r>
        <w:rPr>
          <w:bCs/>
          <w:b/>
        </w:rPr>
        <w:t xml:space="preserve">Road Freight (Truck &gt;16t, Average):</w:t>
      </w:r>
      <w:r>
        <w:t xml:space="preserve"> </w:t>
      </w:r>
      <w:r>
        <w:t xml:space="preserve">0.10 kg CO2e/tkm</w:t>
      </w:r>
    </w:p>
    <w:p>
      <w:pPr>
        <w:numPr>
          <w:ilvl w:val="0"/>
          <w:numId w:val="1003"/>
        </w:numPr>
        <w:pStyle w:val="Compact"/>
      </w:pPr>
      <w:r>
        <w:rPr>
          <w:bCs/>
          <w:b/>
        </w:rPr>
        <w:t xml:space="preserve">Parcel Delivery (Last Mile, per unit km):</w:t>
      </w:r>
      <w:r>
        <w:t xml:space="preserve"> </w:t>
      </w:r>
      <w:r>
        <w:t xml:space="preserve">0.05 kg CO2e/km (assuming light product, average vehicle)</w:t>
      </w:r>
    </w:p>
    <w:p>
      <w:pPr>
        <w:numPr>
          <w:ilvl w:val="0"/>
          <w:numId w:val="1003"/>
        </w:numPr>
        <w:pStyle w:val="Compact"/>
      </w:pPr>
      <w:r>
        <w:rPr>
          <w:bCs/>
          <w:b/>
        </w:rPr>
        <w:t xml:space="preserve">Waste to Landfill (Mixed Waste):</w:t>
      </w:r>
      <w:r>
        <w:t xml:space="preserve"> </w:t>
      </w:r>
      <w:r>
        <w:t xml:space="preserve">0.35 kg CO2e/kg</w:t>
      </w:r>
    </w:p>
    <w:p>
      <w:pPr>
        <w:numPr>
          <w:ilvl w:val="0"/>
          <w:numId w:val="1003"/>
        </w:numPr>
        <w:pStyle w:val="Compact"/>
      </w:pPr>
      <w:r>
        <w:rPr>
          <w:bCs/>
          <w:b/>
        </w:rPr>
        <w:t xml:space="preserve">Recycling Benefit (Average Mixed Materials):</w:t>
      </w:r>
      <w:r>
        <w:t xml:space="preserve"> </w:t>
      </w:r>
      <w:r>
        <w:t xml:space="preserve">-0.50 kg CO2e/kg (credit for avoiding virgin material)</w:t>
      </w:r>
    </w:p>
    <w:p>
      <w:pPr>
        <w:pStyle w:val="FirstParagraph"/>
      </w:pPr>
      <w:r>
        <w:rPr>
          <w:iCs/>
          <w:i/>
        </w:rPr>
        <w:t xml:space="preserve">Note: The specific emission factors for materials in the BOM were provided directly within the illustrative BOM data.</w:t>
      </w:r>
    </w:p>
    <w:p>
      <w:r>
        <w:pict>
          <v:rect style="width:0;height:1.5pt" o:hralign="center" o:hrstd="t" o:hr="t"/>
        </w:pict>
      </w:r>
    </w:p>
    <w:bookmarkEnd w:id="32"/>
    <w:bookmarkEnd w:id="33"/>
    <w:bookmarkStart w:id="46" w:name="X2c62247db19834934c44c209ad423fe06ba5c64"/>
    <w:p>
      <w:pPr>
        <w:pStyle w:val="Heading2"/>
      </w:pPr>
      <w:r>
        <w:t xml:space="preserve">4. Calculation of Emissions (Activity * Emission Factor = CO2e)</w:t>
      </w:r>
    </w:p>
    <w:p>
      <w:pPr>
        <w:pStyle w:val="FirstParagraph"/>
      </w:pPr>
      <w:r>
        <w:t xml:space="preserve">Emissions are categorized into Scope 1, Scope 2, and Scope 3 according to the GHG Protocol. For \'kqxswiexlw\', the primary emissions fall under Scope 3, covering the value chain.</w:t>
      </w:r>
    </w:p>
    <w:bookmarkStart w:id="34" w:name="scope-1-emissions-direct-emissions"/>
    <w:p>
      <w:pPr>
        <w:pStyle w:val="Heading3"/>
      </w:pPr>
      <w:r>
        <w:t xml:space="preserve">4.1. Scope 1 Emissions (Direct Emissions)</w:t>
      </w:r>
    </w:p>
    <w:p>
      <w:pPr>
        <w:pStyle w:val="FirstParagraph"/>
      </w:pPr>
      <w:r>
        <w:t xml:space="preserve">Scope 1 emissions cover direct GHG emissions from sources owned or controlled by the company (jfdhzyqnnh). For a "factory_gate" system boundary and without specific details on direct fuel combustion for manufacturing processes not covered by electricity, direct fugitive emissions, or company-owned vehicle fleets at the manufacturing site, the Scope 1 emissions for \'kqxswiexlw\' at the product level are assumed to be negligible or zero for this illustrative report. In a full assessment, on-site fuel consumption for heating, cooling, or process heat would be included here.</w:t>
      </w:r>
    </w:p>
    <w:p>
      <w:pPr>
        <w:pStyle w:val="BodyText"/>
      </w:pPr>
      <w:r>
        <w:rPr>
          <w:bCs/>
          <w:b/>
        </w:rPr>
        <w:t xml:space="preserve">Illustrative Scope 1 Emissions: 0.00 kg CO2e</w:t>
      </w:r>
    </w:p>
    <w:bookmarkEnd w:id="34"/>
    <w:bookmarkStart w:id="36"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steam, heat, or cooling consumed by the company. For the production of \'kqxswiexlw\' in China, this primarily relates to the consumption of grid electricity, adjusted for renewable energy usage.</w:t>
      </w:r>
    </w:p>
    <w:bookmarkStart w:id="35" w:name="calculation"/>
    <w:p>
      <w:pPr>
        <w:pStyle w:val="Heading4"/>
      </w:pPr>
      <w:r>
        <w:t xml:space="preserve">Calculation:</w:t>
      </w:r>
    </w:p>
    <w:p>
      <w:pPr>
        <w:numPr>
          <w:ilvl w:val="0"/>
          <w:numId w:val="1004"/>
        </w:numPr>
        <w:pStyle w:val="Compact"/>
      </w:pPr>
      <w:r>
        <w:t xml:space="preserve">Total Energy Intensity: 1.5 kWh/unit</w:t>
      </w:r>
    </w:p>
    <w:p>
      <w:pPr>
        <w:numPr>
          <w:ilvl w:val="0"/>
          <w:numId w:val="1004"/>
        </w:numPr>
        <w:pStyle w:val="Compact"/>
      </w:pPr>
      <w:r>
        <w:t xml:space="preserve">Renewable Energy Usage: 60%</w:t>
      </w:r>
    </w:p>
    <w:p>
      <w:pPr>
        <w:numPr>
          <w:ilvl w:val="0"/>
          <w:numId w:val="1004"/>
        </w:numPr>
        <w:pStyle w:val="Compact"/>
      </w:pPr>
      <w:r>
        <w:t xml:space="preserve">Non-Renewable Energy Usage: 100% - 60% = 40%</w:t>
      </w:r>
    </w:p>
    <w:p>
      <w:pPr>
        <w:numPr>
          <w:ilvl w:val="0"/>
          <w:numId w:val="1004"/>
        </w:numPr>
        <w:pStyle w:val="Compact"/>
      </w:pPr>
      <w:r>
        <w:t xml:space="preserve">Electricity from Grid: 1.5 kWh/unit * 40% = 0.6 kWh/unit</w:t>
      </w:r>
    </w:p>
    <w:p>
      <w:pPr>
        <w:numPr>
          <w:ilvl w:val="0"/>
          <w:numId w:val="1004"/>
        </w:numPr>
        <w:pStyle w:val="Compact"/>
      </w:pPr>
      <w:r>
        <w:t xml:space="preserve">China Grid Emission Factor: 0.57 kg CO2e/kWh</w:t>
      </w:r>
    </w:p>
    <w:p>
      <w:pPr>
        <w:numPr>
          <w:ilvl w:val="0"/>
          <w:numId w:val="1004"/>
        </w:numPr>
        <w:pStyle w:val="Compact"/>
      </w:pPr>
      <w:r>
        <w:t xml:space="preserve">Emissions from Purchased Electricity: 0.6 kWh/unit * 0.57 kg CO2e/kWh = 0.342 kg CO2e</w:t>
      </w:r>
    </w:p>
    <w:p>
      <w:pPr>
        <w:pStyle w:val="FirstParagraph"/>
      </w:pPr>
      <w:r>
        <w:rPr>
          <w:bCs/>
          <w:b/>
        </w:rPr>
        <w:t xml:space="preserve">Illustrative Scope 2 Emissions: 0.342 kg CO2e</w:t>
      </w:r>
    </w:p>
    <w:bookmarkEnd w:id="35"/>
    <w:bookmarkEnd w:id="36"/>
    <w:bookmarkStart w:id="45" w:name="scope-3-emissions-value-chain-emissions"/>
    <w:p>
      <w:pPr>
        <w:pStyle w:val="Heading3"/>
      </w:pPr>
      <w:r>
        <w:t xml:space="preserve">4.3. Scope 3 Emissions (Value Chain Emissions)</w:t>
      </w:r>
    </w:p>
    <w:p>
      <w:pPr>
        <w:pStyle w:val="FirstParagraph"/>
      </w:pPr>
      <w:r>
        <w:t xml:space="preserve">Scope 3 emissions are all other indirect emissions that occur in a company\'s value chain. This category typically represents the largest portion of a product\'s carbon footprint and is crucial for achieving the 95% coverage required by 2026.</w:t>
      </w:r>
    </w:p>
    <w:bookmarkStart w:id="39" w:name="upstream-emissions"/>
    <w:p>
      <w:pPr>
        <w:pStyle w:val="Heading4"/>
      </w:pPr>
      <w:r>
        <w:t xml:space="preserve">4.3.1. Upstream Emissions</w:t>
      </w:r>
    </w:p>
    <w:bookmarkStart w:id="37" w:name="purchased-goods-and-services-materials"/>
    <w:p>
      <w:pPr>
        <w:pStyle w:val="Heading5"/>
      </w:pPr>
      <w:r>
        <w:t xml:space="preserve">4.3.1.1. Purchased Goods and Services (Materials)</w:t>
      </w:r>
    </w:p>
    <w:p>
      <w:pPr>
        <w:pStyle w:val="FirstParagraph"/>
      </w:pPr>
      <w:r>
        <w:t xml:space="preserve">These emissions originate from the extraction, production, and transportation of raw materials and components for \'kqxswiexlw\'. Based on the illustrative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Aluminium Alloy Casing</w:t>
            </w:r>
          </w:p>
        </w:tc>
        <w:tc>
          <w:tcPr/>
          <w:p>
            <w:pPr>
              <w:pStyle w:val="Compact"/>
              <w:jc w:val="left"/>
            </w:pPr>
            <w:r>
              <w:t xml:space="preserve">8.40</w:t>
            </w:r>
          </w:p>
        </w:tc>
      </w:tr>
      <w:tr>
        <w:tc>
          <w:tcPr/>
          <w:p>
            <w:pPr>
              <w:pStyle w:val="Compact"/>
              <w:jc w:val="left"/>
            </w:pPr>
            <w:r>
              <w:t xml:space="preserve">Printed Circuit Board (PCB)</w:t>
            </w:r>
          </w:p>
        </w:tc>
        <w:tc>
          <w:tcPr/>
          <w:p>
            <w:pPr>
              <w:pStyle w:val="Compact"/>
              <w:jc w:val="left"/>
            </w:pPr>
            <w:r>
              <w:t xml:space="preserve">3.20</w:t>
            </w:r>
          </w:p>
        </w:tc>
      </w:tr>
      <w:tr>
        <w:tc>
          <w:tcPr/>
          <w:p>
            <w:pPr>
              <w:pStyle w:val="Compact"/>
              <w:jc w:val="left"/>
            </w:pPr>
            <w:r>
              <w:t xml:space="preserve">Polycarbonate Housing</w:t>
            </w:r>
          </w:p>
        </w:tc>
        <w:tc>
          <w:tcPr/>
          <w:p>
            <w:pPr>
              <w:pStyle w:val="Compact"/>
              <w:jc w:val="left"/>
            </w:pPr>
            <w:r>
              <w:t xml:space="preserve">1.05</w:t>
            </w:r>
          </w:p>
        </w:tc>
      </w:tr>
      <w:tr>
        <w:tc>
          <w:tcPr/>
          <w:p>
            <w:pPr>
              <w:pStyle w:val="Compact"/>
              <w:jc w:val="left"/>
            </w:pPr>
            <w:r>
              <w:t xml:space="preserve">Lithium-ion Battery</w:t>
            </w:r>
          </w:p>
        </w:tc>
        <w:tc>
          <w:tcPr/>
          <w:p>
            <w:pPr>
              <w:pStyle w:val="Compact"/>
              <w:jc w:val="left"/>
            </w:pPr>
            <w:r>
              <w:t xml:space="preserve">3.00</w:t>
            </w:r>
          </w:p>
        </w:tc>
      </w:tr>
      <w:tr>
        <w:tc>
          <w:tcPr/>
          <w:p>
            <w:pPr>
              <w:pStyle w:val="Compact"/>
              <w:jc w:val="left"/>
            </w:pPr>
            <w:r>
              <w:t xml:space="preserve">Copper Wire (internal)</w:t>
            </w:r>
          </w:p>
        </w:tc>
        <w:tc>
          <w:tcPr/>
          <w:p>
            <w:pPr>
              <w:pStyle w:val="Compact"/>
              <w:jc w:val="left"/>
            </w:pPr>
            <w:r>
              <w:t xml:space="preserve">0.28</w:t>
            </w:r>
          </w:p>
        </w:tc>
      </w:tr>
      <w:tr>
        <w:tc>
          <w:tcPr/>
          <w:p>
            <w:pPr>
              <w:pStyle w:val="Compact"/>
              <w:jc w:val="left"/>
            </w:pPr>
            <w:r>
              <w:t xml:space="preserve">Packaging (Cardboard)</w:t>
            </w:r>
          </w:p>
        </w:tc>
        <w:tc>
          <w:tcPr/>
          <w:p>
            <w:pPr>
              <w:pStyle w:val="Compact"/>
              <w:jc w:val="left"/>
            </w:pPr>
            <w:r>
              <w:t xml:space="preserve">0.09</w:t>
            </w:r>
          </w:p>
        </w:tc>
      </w:tr>
      <w:tr>
        <w:tc>
          <w:tcPr/>
          <w:p>
            <w:pPr>
              <w:pStyle w:val="Compact"/>
              <w:jc w:val="left"/>
            </w:pPr>
            <w:r>
              <w:t xml:space="preserve">Electronic Components (misc.)</w:t>
            </w:r>
          </w:p>
        </w:tc>
        <w:tc>
          <w:tcPr/>
          <w:p>
            <w:pPr>
              <w:pStyle w:val="Compact"/>
              <w:jc w:val="left"/>
            </w:pPr>
            <w:r>
              <w:t xml:space="preserve">0.40</w:t>
            </w:r>
          </w:p>
        </w:tc>
      </w:tr>
      <w:tr>
        <w:tc>
          <w:tcPr/>
          <w:p>
            <w:pPr>
              <w:pStyle w:val="Compact"/>
              <w:jc w:val="left"/>
            </w:pPr>
            <w:r>
              <w:rPr>
                <w:bCs/>
                <w:b/>
              </w:rPr>
              <w:t xml:space="preserve">Subtotal Materials</w:t>
            </w:r>
          </w:p>
        </w:tc>
        <w:tc>
          <w:tcPr/>
          <w:p>
            <w:pPr>
              <w:pStyle w:val="Compact"/>
              <w:jc w:val="left"/>
            </w:pPr>
            <w:r>
              <w:rPr>
                <w:bCs/>
                <w:b/>
              </w:rPr>
              <w:t xml:space="preserve">16.42 kg CO2e</w:t>
            </w:r>
          </w:p>
        </w:tc>
      </w:tr>
    </w:tbl>
    <w:p>
      <w:pPr>
        <w:pStyle w:val="BodyText"/>
      </w:pPr>
      <w:r>
        <w:rPr>
          <w:bCs/>
          <w:b/>
        </w:rPr>
        <w:t xml:space="preserve">Illustrative Scope 3 (Upstream - Materials): 16.42 kg CO2e</w:t>
      </w:r>
    </w:p>
    <w:bookmarkEnd w:id="37"/>
    <w:bookmarkStart w:id="38" w:name="upstream-transportation-and-distribution"/>
    <w:p>
      <w:pPr>
        <w:pStyle w:val="Heading5"/>
      </w:pPr>
      <w:r>
        <w:t xml:space="preserve">4.3.1.2. Upstream Transportation and Distribution</w:t>
      </w:r>
    </w:p>
    <w:p>
      <w:pPr>
        <w:pStyle w:val="FirstParagraph"/>
      </w:pPr>
      <w:r>
        <w:t xml:space="preserve">Emissions from transporting raw materials and components to the manufacturing facility in China.</w:t>
      </w:r>
    </w:p>
    <w:p>
      <w:pPr>
        <w:numPr>
          <w:ilvl w:val="0"/>
          <w:numId w:val="1005"/>
        </w:numPr>
        <w:pStyle w:val="Compact"/>
      </w:pPr>
      <w:r>
        <w:t xml:space="preserve">Total Illustrative BOM Weight: 0.8 + 1.0 + 0.3 + 0.2 + 0.1 + 0.15 + 0.05 = 2.6 kg (assuming component weights approximate to BOM Qty for calculation)</w:t>
      </w:r>
    </w:p>
    <w:p>
      <w:pPr>
        <w:numPr>
          <w:ilvl w:val="0"/>
          <w:numId w:val="1005"/>
        </w:numPr>
        <w:pStyle w:val="Compact"/>
      </w:pPr>
      <w:r>
        <w:t xml:space="preserve">Illustrative Transport Mode: Road Freight (e.g., from European suppliers)</w:t>
      </w:r>
    </w:p>
    <w:p>
      <w:pPr>
        <w:numPr>
          <w:ilvl w:val="0"/>
          <w:numId w:val="1005"/>
        </w:numPr>
        <w:pStyle w:val="Compact"/>
      </w:pPr>
      <w:r>
        <w:t xml:space="preserve">Illustrative Transport Distance: 2,000 km</w:t>
      </w:r>
    </w:p>
    <w:p>
      <w:pPr>
        <w:numPr>
          <w:ilvl w:val="0"/>
          <w:numId w:val="1005"/>
        </w:numPr>
        <w:pStyle w:val="Compact"/>
      </w:pPr>
      <w:r>
        <w:t xml:space="preserve">Product Weight per functional unit: ~2.6 kg (illustrative total from BOM)</w:t>
      </w:r>
    </w:p>
    <w:p>
      <w:pPr>
        <w:numPr>
          <w:ilvl w:val="0"/>
          <w:numId w:val="1005"/>
        </w:numPr>
        <w:pStyle w:val="Compact"/>
      </w:pPr>
      <w:r>
        <w:t xml:space="preserve">Emissions: 2.6 kg * (1 tonne / 1000 kg) * 2000 km * 0.10 kg CO2e/tkm = 0.52 kg CO2e</w:t>
      </w:r>
    </w:p>
    <w:p>
      <w:pPr>
        <w:pStyle w:val="FirstParagraph"/>
      </w:pPr>
      <w:r>
        <w:rPr>
          <w:bCs/>
          <w:b/>
        </w:rPr>
        <w:t xml:space="preserve">Illustrative Scope 3 (Upstream - Transport): 0.52 kg CO2e</w:t>
      </w:r>
    </w:p>
    <w:p>
      <w:pPr>
        <w:pStyle w:val="BodyText"/>
      </w:pPr>
      <w:r>
        <w:rPr>
          <w:iCs/>
          <w:i/>
        </w:rPr>
        <w:t xml:space="preserve">Total Illustrative Upstream Emissions (Scope 3): 16.42 (Materials) + 0.52 (Transport) = 16.94 kg CO2e</w:t>
      </w:r>
    </w:p>
    <w:bookmarkEnd w:id="38"/>
    <w:bookmarkEnd w:id="39"/>
    <w:bookmarkStart w:id="43" w:name="downstream-emissions"/>
    <w:p>
      <w:pPr>
        <w:pStyle w:val="Heading4"/>
      </w:pPr>
      <w:r>
        <w:t xml:space="preserve">4.3.2. Downstream Emissions</w:t>
      </w:r>
    </w:p>
    <w:bookmarkStart w:id="40" w:name="Xf5a17653644bbec59e4d57f9f7a96ff22073601"/>
    <w:p>
      <w:pPr>
        <w:pStyle w:val="Heading5"/>
      </w:pPr>
      <w:r>
        <w:t xml:space="preserve">4.3.2.1. Downstream Transportation and Distribution (Product to Customer)</w:t>
      </w:r>
    </w:p>
    <w:p>
      <w:pPr>
        <w:pStyle w:val="FirstParagraph"/>
      </w:pPr>
      <w:r>
        <w:t xml:space="preserve">Emissions from transporting the finished product \'kqxswiexlw\' from the factory gate to a distribution center and then via last-mile delivery to the customer.</w:t>
      </w:r>
    </w:p>
    <w:p>
      <w:pPr>
        <w:numPr>
          <w:ilvl w:val="0"/>
          <w:numId w:val="1006"/>
        </w:numPr>
        <w:pStyle w:val="Compact"/>
      </w:pPr>
      <w:r>
        <w:t xml:space="preserve">Product Weight per functional unit: ~2.6 kg</w:t>
      </w:r>
    </w:p>
    <w:p>
      <w:pPr>
        <w:numPr>
          <w:ilvl w:val="0"/>
          <w:numId w:val="1006"/>
        </w:numPr>
        <w:pStyle w:val="Compact"/>
      </w:pPr>
      <w:r>
        <w:t xml:space="preserve">Transport from Factory to Distribution (e.g., within Europe, after shipping from China): 500 km (Road Freight)</w:t>
      </w:r>
    </w:p>
    <w:p>
      <w:pPr>
        <w:numPr>
          <w:ilvl w:val="0"/>
          <w:numId w:val="1006"/>
        </w:numPr>
        <w:pStyle w:val="Compact"/>
      </w:pPr>
      <w:r>
        <w:t xml:space="preserve">Last-Mile Delivery: Assume 50 km per unit for parcel carrier (road)</w:t>
      </w:r>
    </w:p>
    <w:p>
      <w:pPr>
        <w:numPr>
          <w:ilvl w:val="0"/>
          <w:numId w:val="1006"/>
        </w:numPr>
        <w:pStyle w:val="Compact"/>
      </w:pPr>
      <w:r>
        <w:t xml:space="preserve">Emissions (Factory to Distribution): 2.6 kg * (1 tonne / 1000 kg) * 500 km * 0.10 kg CO2e/tkm = 0.13 kg CO2e</w:t>
      </w:r>
    </w:p>
    <w:p>
      <w:pPr>
        <w:numPr>
          <w:ilvl w:val="0"/>
          <w:numId w:val="1006"/>
        </w:numPr>
        <w:pStyle w:val="Compact"/>
      </w:pPr>
      <w:r>
        <w:t xml:space="preserve">Emissions (Last-Mile): 50 km * 0.05 kg CO2e/km (per unit) = 2.50 kg CO2e</w:t>
      </w:r>
    </w:p>
    <w:p>
      <w:pPr>
        <w:pStyle w:val="FirstParagraph"/>
      </w:pPr>
      <w:r>
        <w:rPr>
          <w:bCs/>
          <w:b/>
        </w:rPr>
        <w:t xml:space="preserve">Illustrative Scope 3 (Downstream - Transport): 0.13 + 2.50 = 2.63 kg CO2e</w:t>
      </w:r>
    </w:p>
    <w:bookmarkEnd w:id="40"/>
    <w:bookmarkStart w:id="41" w:name="use-phase-emissions"/>
    <w:p>
      <w:pPr>
        <w:pStyle w:val="Heading5"/>
      </w:pPr>
      <w:r>
        <w:t xml:space="preserve">4.3.2.2. Use Phase Emissions</w:t>
      </w:r>
    </w:p>
    <w:p>
      <w:pPr>
        <w:pStyle w:val="FirstParagraph"/>
      </w:pPr>
      <w:r>
        <w:t xml:space="preserve">Emissions generated during the product\'s operational lifespan, primarily from electricity consumption.</w:t>
      </w:r>
    </w:p>
    <w:p>
      <w:pPr>
        <w:numPr>
          <w:ilvl w:val="0"/>
          <w:numId w:val="1007"/>
        </w:numPr>
        <w:pStyle w:val="Compact"/>
      </w:pPr>
      <w:r>
        <w:t xml:space="preserve">Product Lifespan: 5 years</w:t>
      </w:r>
    </w:p>
    <w:p>
      <w:pPr>
        <w:numPr>
          <w:ilvl w:val="0"/>
          <w:numId w:val="1007"/>
        </w:numPr>
        <w:pStyle w:val="Compact"/>
      </w:pPr>
      <w:r>
        <w:t xml:space="preserve">Energy Consumption in Use: 5 kWh/year</w:t>
      </w:r>
    </w:p>
    <w:p>
      <w:pPr>
        <w:numPr>
          <w:ilvl w:val="0"/>
          <w:numId w:val="1007"/>
        </w:numPr>
        <w:pStyle w:val="Compact"/>
      </w:pPr>
      <w:r>
        <w:t xml:space="preserve">Total Energy Consumption: 5 kWh/year * 5 years = 25 kWh/unit</w:t>
      </w:r>
    </w:p>
    <w:p>
      <w:pPr>
        <w:numPr>
          <w:ilvl w:val="0"/>
          <w:numId w:val="1007"/>
        </w:numPr>
        <w:pStyle w:val="Compact"/>
      </w:pPr>
      <w:r>
        <w:t xml:space="preserve">Illustrative User Region: Europe</w:t>
      </w:r>
    </w:p>
    <w:p>
      <w:pPr>
        <w:numPr>
          <w:ilvl w:val="0"/>
          <w:numId w:val="1007"/>
        </w:numPr>
        <w:pStyle w:val="Compact"/>
      </w:pPr>
      <w:r>
        <w:t xml:space="preserve">Europe Grid Emission Factor: 0.25 kg CO2e/kWh</w:t>
      </w:r>
    </w:p>
    <w:p>
      <w:pPr>
        <w:numPr>
          <w:ilvl w:val="0"/>
          <w:numId w:val="1007"/>
        </w:numPr>
        <w:pStyle w:val="Compact"/>
      </w:pPr>
      <w:r>
        <w:t xml:space="preserve">Emissions: 25 kWh/unit * 0.25 kg CO2e/kWh = 6.25 kg CO2e</w:t>
      </w:r>
    </w:p>
    <w:p>
      <w:pPr>
        <w:pStyle w:val="FirstParagraph"/>
      </w:pPr>
      <w:r>
        <w:rPr>
          <w:bCs/>
          <w:b/>
        </w:rPr>
        <w:t xml:space="preserve">Illustrative Scope 3 (Use Phase): 6.25 kg CO2e</w:t>
      </w:r>
    </w:p>
    <w:bookmarkEnd w:id="41"/>
    <w:bookmarkStart w:id="42" w:name="end-of-life-eol-treatment"/>
    <w:p>
      <w:pPr>
        <w:pStyle w:val="Heading5"/>
      </w:pPr>
      <w:r>
        <w:t xml:space="preserve">4.3.2.3. End-of-Life (EoL) Treatment</w:t>
      </w:r>
    </w:p>
    <w:p>
      <w:pPr>
        <w:pStyle w:val="FirstParagraph"/>
      </w:pPr>
      <w:r>
        <w:t xml:space="preserve">Emissions and potential credits associated with the disposal or recycling of \'kqxswiexlw\' at the end of its useful life.</w:t>
      </w:r>
    </w:p>
    <w:p>
      <w:pPr>
        <w:numPr>
          <w:ilvl w:val="0"/>
          <w:numId w:val="1008"/>
        </w:numPr>
        <w:pStyle w:val="Compact"/>
      </w:pPr>
      <w:r>
        <w:t xml:space="preserve">Total Product Weight: ~2.6 kg</w:t>
      </w:r>
    </w:p>
    <w:p>
      <w:pPr>
        <w:numPr>
          <w:ilvl w:val="0"/>
          <w:numId w:val="1008"/>
        </w:numPr>
        <w:pStyle w:val="Compact"/>
      </w:pPr>
      <w:r>
        <w:t xml:space="preserve">Recyclability Percentage: 75%</w:t>
      </w:r>
    </w:p>
    <w:p>
      <w:pPr>
        <w:numPr>
          <w:ilvl w:val="0"/>
          <w:numId w:val="1008"/>
        </w:numPr>
        <w:pStyle w:val="Compact"/>
      </w:pPr>
      <w:r>
        <w:t xml:space="preserve">Waste to Landfill: 2.6 kg * (1 - 0.75) = 0.65 kg</w:t>
      </w:r>
    </w:p>
    <w:p>
      <w:pPr>
        <w:numPr>
          <w:ilvl w:val="0"/>
          <w:numId w:val="1008"/>
        </w:numPr>
        <w:pStyle w:val="Compact"/>
      </w:pPr>
      <w:r>
        <w:t xml:space="preserve">Recycled Material: 2.6 kg * 0.75 = 1.95 kg</w:t>
      </w:r>
    </w:p>
    <w:p>
      <w:pPr>
        <w:numPr>
          <w:ilvl w:val="0"/>
          <w:numId w:val="1008"/>
        </w:numPr>
        <w:pStyle w:val="Compact"/>
      </w:pPr>
      <w:r>
        <w:t xml:space="preserve">Emissions from Landfill: 0.65 kg * 0.35 kg CO2e/kg = 0.2275 kg CO2e</w:t>
      </w:r>
    </w:p>
    <w:p>
      <w:pPr>
        <w:numPr>
          <w:ilvl w:val="0"/>
          <w:numId w:val="1008"/>
        </w:numPr>
        <w:pStyle w:val="Compact"/>
      </w:pPr>
      <w:r>
        <w:t xml:space="preserve">Recycling Benefit (credit for displacing virgin material): 1.95 kg * -0.50 kg CO2e/kg = -0.975 kg CO2e</w:t>
      </w:r>
    </w:p>
    <w:p>
      <w:pPr>
        <w:numPr>
          <w:ilvl w:val="0"/>
          <w:numId w:val="1008"/>
        </w:numPr>
        <w:pStyle w:val="Compact"/>
      </w:pPr>
      <w:r>
        <w:t xml:space="preserve">Circular/Take-back Programs: \'jfdhzyqnnh\' having circular/take-back programs (skrlltkigi = Yes) would enhance the actual recyclability rate and ensure proper end-of-life management, potentially increasing the recycling benefit. For this calculation, the 75% recyclability rate is applied directly.</w:t>
      </w:r>
    </w:p>
    <w:p>
      <w:pPr>
        <w:pStyle w:val="FirstParagraph"/>
      </w:pPr>
      <w:r>
        <w:rPr>
          <w:bCs/>
          <w:b/>
        </w:rPr>
        <w:t xml:space="preserve">Illustrative Scope 3 (EoL): 0.2275 - 0.975 = -0.7475 kg CO2e</w:t>
      </w:r>
    </w:p>
    <w:p>
      <w:pPr>
        <w:pStyle w:val="BodyText"/>
      </w:pPr>
      <w:r>
        <w:rPr>
          <w:iCs/>
          <w:i/>
        </w:rPr>
        <w:t xml:space="preserve">Total Illustrative Downstream Emissions (Scope 3): 2.63 (Transport) + 6.25 (Use Phase) - 0.7475 (EoL) = 8.1325 kg CO2e</w:t>
      </w:r>
    </w:p>
    <w:bookmarkEnd w:id="42"/>
    <w:bookmarkEnd w:id="43"/>
    <w:bookmarkStart w:id="44" w:name="land-sector-and-removals-lsr-update"/>
    <w:p>
      <w:pPr>
        <w:pStyle w:val="Heading4"/>
      </w:pPr>
      <w:r>
        <w:t xml:space="preserve">4.3.3. 2026 Land Sector and Removals (LSR) Update</w:t>
      </w:r>
    </w:p>
    <w:p>
      <w:pPr>
        <w:pStyle w:val="FirstParagraph"/>
      </w:pPr>
      <w:r>
        <w:t xml:space="preserve">The GHG Protocol Land Sector and Removals (LSR) Standard (2026 update) emphasizes accounting for GHG emissions and removals from land use and land-use change. For a product like \'kqxswiexlw\', this would be highly relevant if bio-based materials (e.g., wood, cotton) were significant components, or if the production process itself involved land-use change. Given the illustrative BOM consisting primarily of metals, plastics, and electronics, direct application of LSR is limited in this report. However, in a comprehensive analysis, the upstream emissions factors for materials like paper/cardboard packaging (item 106) would implicitly include land-use impacts from forestry, or explicit LSR accounting would be required if sourcing from new land conversion or degraded lands was part of the supply chain. For illustrative purposes, we assume that our current emission factors already broadly account for these within their scope, but dedicated LSR calculations would refine this for bio-based material footprints.</w:t>
      </w:r>
    </w:p>
    <w:p>
      <w:r>
        <w:pict>
          <v:rect style="width:0;height:1.5pt" o:hralign="center" o:hrstd="t" o:hr="t"/>
        </w:pict>
      </w:r>
    </w:p>
    <w:bookmarkEnd w:id="44"/>
    <w:bookmarkEnd w:id="45"/>
    <w:bookmarkEnd w:id="46"/>
    <w:bookmarkStart w:id="50" w:name="total-product-carbon-footprint-pcf"/>
    <w:p>
      <w:pPr>
        <w:pStyle w:val="Heading2"/>
      </w:pPr>
      <w:r>
        <w:t xml:space="preserve">5. Total Product Carbon Footprint (PCF)</w:t>
      </w:r>
    </w:p>
    <w:bookmarkStart w:id="47" w:name="Xacf18fa8957e1f046de293c55a55509dc5caf5b"/>
    <w:p>
      <w:pPr>
        <w:pStyle w:val="Heading3"/>
      </w:pPr>
      <w:r>
        <w:t xml:space="preserve">5.1. Summary of Illustrative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Sub-Category</w:t>
            </w:r>
          </w:p>
        </w:tc>
        <w:tc>
          <w:tcPr/>
          <w:p>
            <w:pPr>
              <w:pStyle w:val="Compact"/>
              <w:jc w:val="left"/>
            </w:pPr>
            <w:r>
              <w:t xml:space="preserve">Illustrative Emissions (kg CO2e)</w:t>
            </w:r>
          </w:p>
        </w:tc>
      </w:tr>
      <w:tr>
        <w:tc>
          <w:tcPr/>
          <w:p>
            <w:pPr>
              <w:pStyle w:val="Compact"/>
              <w:jc w:val="left"/>
            </w:pPr>
            <w:r>
              <w:rPr>
                <w:bCs/>
                <w:b/>
              </w:rPr>
              <w:t xml:space="preserve">Scope 1</w:t>
            </w:r>
          </w:p>
        </w:tc>
        <w:tc>
          <w:tcPr/>
          <w:p>
            <w:pPr>
              <w:pStyle w:val="Compact"/>
              <w:jc w:val="left"/>
            </w:pPr>
            <w:r>
              <w:t xml:space="preserve">Direct Emissions (Factory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 in China)</w:t>
            </w:r>
          </w:p>
        </w:tc>
        <w:tc>
          <w:tcPr/>
          <w:p>
            <w:pPr>
              <w:pStyle w:val="Compact"/>
              <w:jc w:val="left"/>
            </w:pPr>
            <w:r>
              <w:t xml:space="preserve">0.342</w:t>
            </w:r>
          </w:p>
        </w:tc>
      </w:tr>
      <w:tr>
        <w:tc>
          <w:tcPr>
            <w:vMerge w:val="restart"/>
          </w:tcPr>
          <w:p>
            <w:pPr>
              <w:pStyle w:val="Compact"/>
              <w:jc w:val="left"/>
            </w:pPr>
            <w:r>
              <w:rPr>
                <w:bCs/>
                <w:b/>
              </w:rPr>
              <w:t xml:space="preserve">Scope 3</w:t>
            </w:r>
          </w:p>
        </w:tc>
        <w:tc>
          <w:tcPr/>
          <w:p>
            <w:pPr>
              <w:pStyle w:val="Compact"/>
              <w:jc w:val="left"/>
            </w:pPr>
            <w:r>
              <w:t xml:space="preserve">Upstream: Purchased Goods &amp; Services (Materials)</w:t>
            </w:r>
          </w:p>
        </w:tc>
        <w:tc>
          <w:tcPr/>
          <w:p>
            <w:pPr>
              <w:pStyle w:val="Compact"/>
              <w:jc w:val="left"/>
            </w:pPr>
            <w:r>
              <w:t xml:space="preserve">16.42</w:t>
            </w:r>
          </w:p>
        </w:tc>
      </w:tr>
      <w:tr>
        <w:tc>
          <w:tcPr>
            <w:gridSpan w:val="1"/>
            <w:vMerge w:val="continue"/>
          </w:tcPr>
          <w:p>
            <w:pPr/>
          </w:p>
        </w:tc>
        <w:tc>
          <w:tcPr/>
          <w:p>
            <w:pPr>
              <w:pStyle w:val="Compact"/>
              <w:jc w:val="left"/>
            </w:pPr>
            <w:r>
              <w:t xml:space="preserve">Upstream: Transportation &amp; Distribution (Incoming)</w:t>
            </w:r>
          </w:p>
        </w:tc>
        <w:tc>
          <w:tcPr/>
          <w:p>
            <w:pPr>
              <w:pStyle w:val="Compact"/>
              <w:jc w:val="left"/>
            </w:pPr>
            <w:r>
              <w:t xml:space="preserve">0.52</w:t>
            </w:r>
          </w:p>
        </w:tc>
      </w:tr>
      <w:tr>
        <w:tc>
          <w:tcPr>
            <w:gridSpan w:val="1"/>
            <w:vMerge w:val="continue"/>
          </w:tcPr>
          <w:p>
            <w:pPr/>
          </w:p>
        </w:tc>
        <w:tc>
          <w:tcPr/>
          <w:p>
            <w:pPr>
              <w:pStyle w:val="Compact"/>
              <w:jc w:val="left"/>
            </w:pPr>
            <w:r>
              <w:t xml:space="preserve">Downstream: Transportation &amp; Distribution (Outgoing &amp; Last-Mile)</w:t>
            </w:r>
          </w:p>
        </w:tc>
        <w:tc>
          <w:tcPr/>
          <w:p>
            <w:pPr>
              <w:pStyle w:val="Compact"/>
              <w:jc w:val="left"/>
            </w:pPr>
            <w:r>
              <w:t xml:space="preserve">2.63</w:t>
            </w:r>
          </w:p>
        </w:tc>
      </w:tr>
      <w:tr>
        <w:tc>
          <w:tcPr>
            <w:gridSpan w:val="1"/>
            <w:vMerge w:val="continue"/>
          </w:tcPr>
          <w:p>
            <w:pPr/>
          </w:p>
        </w:tc>
        <w:tc>
          <w:tcPr/>
          <w:p>
            <w:pPr>
              <w:pStyle w:val="Compact"/>
              <w:jc w:val="left"/>
            </w:pPr>
            <w:r>
              <w:t xml:space="preserve">Downstream: Use Phase</w:t>
            </w:r>
          </w:p>
        </w:tc>
        <w:tc>
          <w:tcPr/>
          <w:p>
            <w:pPr>
              <w:pStyle w:val="Compact"/>
              <w:jc w:val="left"/>
            </w:pPr>
            <w:r>
              <w:t xml:space="preserve">6.25</w:t>
            </w:r>
          </w:p>
        </w:tc>
      </w:tr>
      <w:tr>
        <w:tc>
          <w:tcPr>
            <w:gridSpan w:val="1"/>
            <w:vMerge w:val="continue"/>
          </w:tcPr>
          <w:p>
            <w:pPr/>
          </w:p>
        </w:tc>
        <w:tc>
          <w:tcPr/>
          <w:p>
            <w:pPr>
              <w:pStyle w:val="Compact"/>
              <w:jc w:val="left"/>
            </w:pPr>
            <w:r>
              <w:t xml:space="preserve">Downstream: End-of-Life Treatment</w:t>
            </w:r>
          </w:p>
        </w:tc>
        <w:tc>
          <w:tcPr/>
          <w:p>
            <w:pPr>
              <w:pStyle w:val="Compact"/>
              <w:jc w:val="left"/>
            </w:pPr>
            <w:r>
              <w:t xml:space="preserve">-0.7475</w:t>
            </w:r>
          </w:p>
        </w:tc>
      </w:tr>
      <w:tr>
        <w:tc>
          <w:tcPr>
            <w:gridSpan w:val="2"/>
          </w:tcPr>
          <w:p>
            <w:pPr>
              <w:pStyle w:val="Compact"/>
              <w:jc w:val="left"/>
            </w:pPr>
            <w:r>
              <w:rPr>
                <w:bCs/>
                <w:b/>
              </w:rPr>
              <w:t xml:space="preserve">Total Product Carbon Footprint (PCF) for 1.0 unit of kqxswiexlw</w:t>
            </w:r>
          </w:p>
        </w:tc>
        <w:tc>
          <w:tcPr/>
          <w:p>
            <w:pPr>
              <w:pStyle w:val="Compact"/>
              <w:jc w:val="left"/>
            </w:pPr>
            <w:r>
              <w:rPr>
                <w:bCs/>
                <w:b/>
              </w:rPr>
              <w:t xml:space="preserve">25.4145 kg CO2e</w:t>
            </w:r>
          </w:p>
        </w:tc>
      </w:tr>
    </w:tbl>
    <w:bookmarkEnd w:id="47"/>
    <w:bookmarkStart w:id="48" w:name="scope-3-coverage-compliance"/>
    <w:p>
      <w:pPr>
        <w:pStyle w:val="Heading3"/>
      </w:pPr>
      <w:r>
        <w:t xml:space="preserve">5.2. Scope 3 Coverage Compliance</w:t>
      </w:r>
    </w:p>
    <w:p>
      <w:pPr>
        <w:pStyle w:val="FirstParagraph"/>
      </w:pPr>
      <w:r>
        <w:t xml:space="preserve">Based on the illustrative calculations, Scope 3 emissions account for 25.0745 kg CO2e out of a total of 25.4145 kg CO2e, representing</w:t>
      </w:r>
      <w:r>
        <w:t xml:space="preserve"> </w:t>
      </w:r>
      <w:r>
        <w:rPr>
          <w:bCs/>
          <w:b/>
        </w:rPr>
        <w:t xml:space="preserve">approximately 98.66% of the total PCF</w:t>
      </w:r>
      <w:r>
        <w:t xml:space="preserve">. This exceeds the 95% coverage requirement for Scope 3 reporting as per 2026 requirements, demonstrating a comprehensive value chain assessment.</w:t>
      </w:r>
    </w:p>
    <w:bookmarkEnd w:id="48"/>
    <w:bookmarkStart w:id="49" w:name="hotspot-analysis-and-reliability"/>
    <w:p>
      <w:pPr>
        <w:pStyle w:val="Heading3"/>
      </w:pPr>
      <w:r>
        <w:t xml:space="preserve">5.3. Hotspot Analysis and Reliability</w:t>
      </w:r>
    </w:p>
    <w:p>
      <w:pPr>
        <w:pStyle w:val="FirstParagraph"/>
      </w:pPr>
      <w:r>
        <w:t xml:space="preserve">The primary emission hotspots for \'kqxswiexlw\' are identified as:</w:t>
      </w:r>
    </w:p>
    <w:p>
      <w:pPr>
        <w:numPr>
          <w:ilvl w:val="0"/>
          <w:numId w:val="1009"/>
        </w:numPr>
        <w:pStyle w:val="Compact"/>
      </w:pPr>
      <w:r>
        <w:rPr>
          <w:bCs/>
          <w:b/>
        </w:rPr>
        <w:t xml:space="preserve">Purchased Goods and Services (Materials):</w:t>
      </w:r>
      <w:r>
        <w:t xml:space="preserve"> </w:t>
      </w:r>
      <w:r>
        <w:t xml:space="preserve">This category accounts for the largest portion of emissions (approximately 64.6% of the total PCF), largely driven by the Aluminium Alloy Casing and Lithium-ion Battery components in the illustrative BOM. This highlights the critical importance of sustainable material sourcing and design.</w:t>
      </w:r>
    </w:p>
    <w:p>
      <w:pPr>
        <w:numPr>
          <w:ilvl w:val="0"/>
          <w:numId w:val="1009"/>
        </w:numPr>
        <w:pStyle w:val="Compact"/>
      </w:pPr>
      <w:r>
        <w:rPr>
          <w:bCs/>
          <w:b/>
        </w:rPr>
        <w:t xml:space="preserve">Use Phase:</w:t>
      </w:r>
      <w:r>
        <w:t xml:space="preserve"> </w:t>
      </w:r>
      <w:r>
        <w:t xml:space="preserve">Energy consumption during the product\'s lifespan contributes significantly (approximately 24.6% of the total PCF), underscoring the need for energy-efficient product design and promoting renewable energy use by consumers.</w:t>
      </w:r>
    </w:p>
    <w:p>
      <w:pPr>
        <w:numPr>
          <w:ilvl w:val="0"/>
          <w:numId w:val="1009"/>
        </w:numPr>
        <w:pStyle w:val="Compact"/>
      </w:pPr>
      <w:r>
        <w:rPr>
          <w:bCs/>
          <w:b/>
        </w:rPr>
        <w:t xml:space="preserve">Downstream Transportation (Last-Mile):</w:t>
      </w:r>
      <w:r>
        <w:t xml:space="preserve"> </w:t>
      </w:r>
      <w:r>
        <w:t xml:space="preserve">Although a smaller percentage overall, last-mile delivery can be disproportionately carbon-intensive per unit.</w:t>
      </w:r>
    </w:p>
    <w:p>
      <w:pPr>
        <w:pStyle w:val="FirstParagraph"/>
      </w:pPr>
      <w:r>
        <w:t xml:space="preserve">The reliability of this assessment is contingent upon the accuracy of the underlying data. For this illustrative report, the assumed emission factors are based on generally accepted industry averages (Ecoinvent/DEFRA type data) and the illustrative input parameters. In a live assessment, direct supplier data for materials, precise transport logs, and actual energy consumption profiles would enhance accuracy significantly. The inclusion of circular economy initiatives like \'skrlltkigi\' (Company Recycling Program) positively impacts the EoL phase, demonstrating commitment to reducing lifecycle impacts.</w:t>
      </w:r>
    </w:p>
    <w:p>
      <w:r>
        <w:pict>
          <v:rect style="width:0;height:1.5pt" o:hralign="center" o:hrstd="t" o:hr="t"/>
        </w:pict>
      </w:r>
    </w:p>
    <w:bookmarkEnd w:id="49"/>
    <w:bookmarkEnd w:id="50"/>
    <w:bookmarkStart w:id="51" w:name="conclusion-and-recommendations"/>
    <w:p>
      <w:pPr>
        <w:pStyle w:val="Heading2"/>
      </w:pPr>
      <w:r>
        <w:t xml:space="preserve">6. Conclusion and Recommendations</w:t>
      </w:r>
    </w:p>
    <w:p>
      <w:pPr>
        <w:pStyle w:val="FirstParagraph"/>
      </w:pPr>
      <w:r>
        <w:t xml:space="preserve">The illustrative Product Carbon Footprint for \'kqxswiexlw\' is calculated to be approximately</w:t>
      </w:r>
      <w:r>
        <w:t xml:space="preserve"> </w:t>
      </w:r>
      <w:r>
        <w:rPr>
          <w:bCs/>
          <w:b/>
        </w:rPr>
        <w:t xml:space="preserve">25.41 kg CO2e per functional unit</w:t>
      </w:r>
      <w:r>
        <w:t xml:space="preserve">. This analysis provides \'jfdhzyqnnh\' with critical insights into the environmental impact of its product across its entire lifecycle.</w:t>
      </w:r>
    </w:p>
    <w:p>
      <w:pPr>
        <w:pStyle w:val="BodyText"/>
      </w:pPr>
      <w:r>
        <w:t xml:space="preserve">Key recommendations for reducing the PCF of \'kqxswiexlw\' include:</w:t>
      </w:r>
    </w:p>
    <w:p>
      <w:pPr>
        <w:numPr>
          <w:ilvl w:val="0"/>
          <w:numId w:val="1010"/>
        </w:numPr>
        <w:pStyle w:val="Compact"/>
      </w:pPr>
      <w:r>
        <w:rPr>
          <w:bCs/>
          <w:b/>
        </w:rPr>
        <w:t xml:space="preserve">Material Optimization:</w:t>
      </w:r>
      <w:r>
        <w:t xml:space="preserve"> </w:t>
      </w:r>
      <w:r>
        <w:t xml:space="preserve">Focus on engaging with suppliers for lower-carbon aluminum and battery components, exploring alternative lower-impact materials, or increasing recycled content where feasible.</w:t>
      </w:r>
    </w:p>
    <w:p>
      <w:pPr>
        <w:numPr>
          <w:ilvl w:val="0"/>
          <w:numId w:val="1010"/>
        </w:numPr>
        <w:pStyle w:val="Compact"/>
      </w:pPr>
      <w:r>
        <w:rPr>
          <w:bCs/>
          <w:b/>
        </w:rPr>
        <w:t xml:space="preserve">Energy Efficiency in Use:</w:t>
      </w:r>
      <w:r>
        <w:t xml:space="preserve"> </w:t>
      </w:r>
      <w:r>
        <w:t xml:space="preserve">Investigate opportunities to reduce the product\'s energy consumption during its use phase, potentially through design improvements or optimized power management.</w:t>
      </w:r>
    </w:p>
    <w:p>
      <w:pPr>
        <w:numPr>
          <w:ilvl w:val="0"/>
          <w:numId w:val="1010"/>
        </w:numPr>
        <w:pStyle w:val="Compact"/>
      </w:pPr>
      <w:r>
        <w:rPr>
          <w:bCs/>
          <w:b/>
        </w:rPr>
        <w:t xml:space="preserve">Renewable Energy Sourcing:</w:t>
      </w:r>
      <w:r>
        <w:t xml:space="preserve"> </w:t>
      </w:r>
      <w:r>
        <w:t xml:space="preserve">Continue and expand the use of renewable energy at manufacturing facilities (as indicated by the 60% usage) and explore initiatives to promote renewable energy adoption throughout the supply chain.</w:t>
      </w:r>
    </w:p>
    <w:p>
      <w:pPr>
        <w:numPr>
          <w:ilvl w:val="0"/>
          <w:numId w:val="1010"/>
        </w:numPr>
        <w:pStyle w:val="Compact"/>
      </w:pPr>
      <w:r>
        <w:rPr>
          <w:bCs/>
          <w:b/>
        </w:rPr>
        <w:t xml:space="preserve">Logistics Optimization:</w:t>
      </w:r>
      <w:r>
        <w:t xml:space="preserve"> </w:t>
      </w:r>
      <w:r>
        <w:t xml:space="preserve">Evaluate transport modes and distances, especially for last-mile delivery, to identify opportunities for efficiency gains and shifting to lower-carbon transport options.</w:t>
      </w:r>
    </w:p>
    <w:p>
      <w:pPr>
        <w:numPr>
          <w:ilvl w:val="0"/>
          <w:numId w:val="1010"/>
        </w:numPr>
        <w:pStyle w:val="Compact"/>
      </w:pPr>
      <w:r>
        <w:rPr>
          <w:bCs/>
          <w:b/>
        </w:rPr>
        <w:t xml:space="preserve">Circular Economy Design:</w:t>
      </w:r>
      <w:r>
        <w:t xml:space="preserve"> </w:t>
      </w:r>
      <w:r>
        <w:t xml:space="preserve">Further develop and promote take-back and recycling programs (skrlltkigi) to maximize material recovery and minimize landfill impacts, turning potential waste into valuable resources.</w:t>
      </w:r>
    </w:p>
    <w:p>
      <w:pPr>
        <w:pStyle w:val="FirstParagraph"/>
      </w:pPr>
      <w:r>
        <w:t xml:space="preserve">By addressing these hotspots, \'jfdhzyqnnh\' can significantly reduce the environmental impact of \'kqxswiexlw\' and demonstrate leadership in product sustainability.</w:t>
      </w:r>
    </w:p>
    <w:bookmarkEnd w:id="51"/>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kqxswiexlw</dc:title>
  <dc:creator/>
  <dc:description>Detailed Product Carbon Footprint (PCF) analysis report for kqxswiexlw, following GHG Protocol standards, for company jfdhzyqnnh.</dc:description>
  <dc:language>en</dc:language>
  <cp:keywords/>
  <dcterms:created xsi:type="dcterms:W3CDTF">2026-05-30T18:36:53Z</dcterms:created>
  <dcterms:modified xsi:type="dcterms:W3CDTF">2026-05-30T18:36:53Z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